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Times New Roman" w:cs="Times New Roman" w:eastAsia="Times New Roman" w:hAnsi="Times New Roman"/>
          <w:b/>
          <w:bCs/>
          <w:color w:val="1F3864"/>
          <w:sz w:val="32"/>
          <w:szCs w:val="32"/>
        </w:rPr>
        <w:t xml:space="preserve">Indice</w:t>
      </w:r>
    </w:p>
    <w:sdt>
      <w:sdtPr>
        <w:alias w:val="Sommario"/>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sz w:val="24"/>
          <w:szCs w:val="24"/>
        </w:rPr>
        <w:t xml:space="preserve">Il vettore e il tribunale</w:t>
      </w:r>
    </w:p>
    <w:p>
      <w:pPr>
        <w:pStyle w:val="Heading2"/>
        <w:spacing w:after="100" w:before="200"/>
      </w:pPr>
      <w:r>
        <w:rPr>
          <w:rFonts w:ascii="Times New Roman" w:cs="Times New Roman" w:eastAsia="Times New Roman" w:hAnsi="Times New Roman"/>
          <w:sz w:val="24"/>
          <w:szCs w:val="24"/>
        </w:rPr>
        <w:t xml:space="preserve">Due studi italiani del corpus (1926-1972)</w:t>
      </w:r>
    </w:p>
    <w:p>
      <w:pPr>
        <w:spacing w:after="120" w:line="276"/>
        <w:jc w:val="both"/>
      </w:pPr>
      <w:r>
        <w:rPr>
          <w:rFonts w:ascii="Times New Roman" w:cs="Times New Roman" w:eastAsia="Times New Roman" w:hAnsi="Times New Roman"/>
          <w:b/>
          <w:bCs/>
          <w:sz w:val="24"/>
          <w:szCs w:val="24"/>
        </w:rPr>
        <w:t xml:space="preserve">Giangiacomo Feltrinelli: il vettore del mito</w:t>
      </w:r>
      <w:r>
        <w:rPr>
          <w:rFonts w:ascii="Times New Roman" w:cs="Times New Roman" w:eastAsia="Times New Roman" w:hAnsi="Times New Roman"/>
          <w:sz w:val="24"/>
          <w:szCs w:val="24"/>
        </w:rPr>
        <w:t xml:space="preserve"> · con la triangolazione integrale</w:t>
      </w:r>
    </w:p>
    <w:p>
      <w:pPr>
        <w:spacing w:after="120" w:line="276"/>
        <w:jc w:val="both"/>
      </w:pPr>
      <w:r>
        <w:rPr>
          <w:rFonts w:ascii="Times New Roman" w:cs="Times New Roman" w:eastAsia="Times New Roman" w:hAnsi="Times New Roman"/>
          <w:b/>
          <w:bCs/>
          <w:sz w:val="24"/>
          <w:szCs w:val="24"/>
        </w:rPr>
        <w:t xml:space="preserve">Il nodo Hyperion</w:t>
      </w:r>
      <w:r>
        <w:rPr>
          <w:rFonts w:ascii="Times New Roman" w:cs="Times New Roman" w:eastAsia="Times New Roman" w:hAnsi="Times New Roman"/>
          <w:sz w:val="24"/>
          <w:szCs w:val="24"/>
        </w:rPr>
        <w:t xml:space="preserve"> · triangolazione della «scuola di lingue» di Parigi con il corpus</w:t>
      </w:r>
    </w:p>
    <w:p>
      <w:pPr>
        <w:spacing w:after="120" w:line="276"/>
        <w:jc w:val="both"/>
      </w:pPr>
      <w:r>
        <w:rPr>
          <w:rFonts w:ascii="Times New Roman" w:cs="Times New Roman" w:eastAsia="Times New Roman" w:hAnsi="Times New Roman"/>
          <w:b/>
          <w:bCs/>
          <w:sz w:val="24"/>
          <w:szCs w:val="24"/>
        </w:rPr>
        <w:t xml:space="preserve">Feltrinelli e Hyperion</w:t>
      </w:r>
      <w:r>
        <w:rPr>
          <w:rFonts w:ascii="Times New Roman" w:cs="Times New Roman" w:eastAsia="Times New Roman" w:hAnsi="Times New Roman"/>
          <w:sz w:val="24"/>
          <w:szCs w:val="24"/>
        </w:rPr>
        <w:t xml:space="preserve"> · triangolazione d'incrocio: la matrice milanese e le tre strade</w:t>
      </w:r>
    </w:p>
    <w:p>
      <w:pPr>
        <w:spacing w:after="120" w:line="276"/>
        <w:jc w:val="both"/>
      </w:pPr>
      <w:r>
        <w:rPr>
          <w:rFonts w:ascii="Times New Roman" w:cs="Times New Roman" w:eastAsia="Times New Roman" w:hAnsi="Times New Roman"/>
          <w:b/>
          <w:bCs/>
          <w:sz w:val="24"/>
          <w:szCs w:val="24"/>
        </w:rPr>
        <w:t xml:space="preserve">Il Tribunale Speciale per la Difesa dello Stato: storia di un'istituzione</w:t>
      </w:r>
      <w:r>
        <w:rPr>
          <w:rFonts w:ascii="Times New Roman" w:cs="Times New Roman" w:eastAsia="Times New Roman" w:hAnsi="Times New Roman"/>
          <w:sz w:val="24"/>
          <w:szCs w:val="24"/>
        </w:rPr>
        <w:t xml:space="preserve"> · con l'approfondimento in otto sottonodi</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Edizione rilegata — 24 agosto 2026 · Branch pubblico del corpus storico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Il filo del 1926.</w:t>
      </w:r>
      <w:r>
        <w:rPr>
          <w:rFonts w:ascii="Times New Roman" w:cs="Times New Roman" w:eastAsia="Times New Roman" w:hAnsi="Times New Roman"/>
          <w:i w:val="false"/>
          <w:iCs w:val="false"/>
          <w:sz w:val="24"/>
          <w:szCs w:val="24"/>
        </w:rPr>
        <w:t xml:space="preserve"> I due studi qui rilegati si aprono nello stesso anno. Il 19 giugno 1926 nasce a Milano Giangiacomo Feltrinelli; il 25 novembre 1926 la legge n. 2008 istituisce il Tribunale Speciale per la Difesa dello Stato. Non è un nesso: è una data condivisa, e la si lascia tale. Ma i due fronti si toccano davvero in un punto documentato — l'asse fascismo/antifascismo del Novecento italiano: il Tribunale colpì l'antifascismo e ne riempì le carceri fino al 1943; i GAP fondati da Feltrinelli nel 1970 ripresero dalla Resistenza il proprio nome, come rivendicazione simbolica e senza continuità reale. In mezzo stanno la Costituzione, che vietò per sempre il giudice speciale (art. 102), e la stagione in cui quel divieto fu messo alla prova.</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Disciplina dell'edizione.</w:t>
      </w:r>
      <w:r>
        <w:rPr>
          <w:rFonts w:ascii="Times New Roman" w:cs="Times New Roman" w:eastAsia="Times New Roman" w:hAnsi="Times New Roman"/>
          <w:i w:val="false"/>
          <w:iCs w:val="false"/>
          <w:sz w:val="24"/>
          <w:szCs w:val="24"/>
        </w:rPr>
        <w:t xml:space="preserve"> Vale in ogni pagina la Regola di Ferro del corpus: dove la fonte documenta, l'opera certifica; dove tace, indaga e non afferma. Le tre categorie — documentato, convergenza, congettura — sono dichiarate; le correzioni della triangolazione sono nel testo con note di revisione; le fonti sono citate per esteso, con gli indirizzi, perché il lettore possa rifare il cammino. Nessuna persona è nominata come responsabile al di là del giudicato.</w:t>
      </w:r>
    </w:p>
    <w:p>
      <w:r>
        <w:br w:type="page"/>
      </w:r>
    </w:p>
    <w:p>
      <w:pPr>
        <w:pStyle w:val="Heading1"/>
        <w:spacing w:after="120" w:before="240"/>
      </w:pPr>
      <w:r>
        <w:rPr>
          <w:rFonts w:ascii="Times New Roman" w:cs="Times New Roman" w:eastAsia="Times New Roman" w:hAnsi="Times New Roman"/>
          <w:sz w:val="24"/>
          <w:szCs w:val="24"/>
        </w:rPr>
        <w:t xml:space="preserve">Giangiacomo Feltrinelli: il vettore del mito (1926-1972)</w:t>
      </w:r>
    </w:p>
    <w:p>
      <w:pPr>
        <w:spacing w:after="120" w:line="276"/>
        <w:jc w:val="both"/>
      </w:pPr>
      <w:r>
        <w:rPr>
          <w:rFonts w:ascii="Times New Roman" w:cs="Times New Roman" w:eastAsia="Times New Roman" w:hAnsi="Times New Roman"/>
          <w:i/>
          <w:iCs/>
          <w:sz w:val="24"/>
          <w:szCs w:val="24"/>
        </w:rPr>
        <w:t xml:space="preserve">Studio monografico — 24 agosto 2026 · Nuovo fronte del corpus storico</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disciplina.</w:t>
      </w:r>
      <w:r>
        <w:rPr>
          <w:rFonts w:ascii="Times New Roman" w:cs="Times New Roman" w:eastAsia="Times New Roman" w:hAnsi="Times New Roman"/>
          <w:i w:val="false"/>
          <w:iCs w:val="false"/>
          <w:sz w:val="24"/>
          <w:szCs w:val="24"/>
        </w:rPr>
        <w:t xml:space="preserve"> Questo studio apre un nuovo fronte documentato del corpus: la biografia di </w:t>
      </w:r>
      <w:r>
        <w:rPr>
          <w:rFonts w:ascii="Times New Roman" w:cs="Times New Roman" w:eastAsia="Times New Roman" w:hAnsi="Times New Roman"/>
          <w:b/>
          <w:bCs/>
          <w:i w:val="false"/>
          <w:iCs w:val="false"/>
          <w:sz w:val="24"/>
          <w:szCs w:val="24"/>
        </w:rPr>
        <w:t xml:space="preserve">Giangiacomo Feltrinelli</w:t>
      </w:r>
      <w:r>
        <w:rPr>
          <w:rFonts w:ascii="Times New Roman" w:cs="Times New Roman" w:eastAsia="Times New Roman" w:hAnsi="Times New Roman"/>
          <w:i w:val="false"/>
          <w:iCs w:val="false"/>
          <w:sz w:val="24"/>
          <w:szCs w:val="24"/>
        </w:rPr>
        <w:t xml:space="preserve">, l'uomo che il corpus aveva già nominato come il </w:t>
      </w:r>
      <w:r>
        <w:rPr>
          <w:rFonts w:ascii="Times New Roman" w:cs="Times New Roman" w:eastAsia="Times New Roman" w:hAnsi="Times New Roman"/>
          <w:i w:val="false"/>
          <w:iCs w:val="false"/>
          <w:sz w:val="24"/>
          <w:szCs w:val="24"/>
        </w:rPr>
        <w:t xml:space="preserve">vettore</w:t>
      </w:r>
      <w:r>
        <w:rPr>
          <w:rFonts w:ascii="Times New Roman" w:cs="Times New Roman" w:eastAsia="Times New Roman" w:hAnsi="Times New Roman"/>
          <w:i w:val="false"/>
          <w:iCs w:val="false"/>
          <w:sz w:val="24"/>
          <w:szCs w:val="24"/>
        </w:rPr>
        <w:t xml:space="preserve"> del mito del Che ma non aveva mai trattato per sé. È l'anello che lega la parabola guevariana alla lotta armata italiana, e merita d'essere ricostruito con esattezza — perché, come tutti gli anelli, tende a farsi dire più di quanto dica. Vale qui la Regola di Ferro dell'intero lavoro: </w:t>
      </w:r>
      <w:r>
        <w:rPr>
          <w:rFonts w:ascii="Times New Roman" w:cs="Times New Roman" w:eastAsia="Times New Roman" w:hAnsi="Times New Roman"/>
          <w:b/>
          <w:bCs/>
          <w:i w:val="false"/>
          <w:iCs w:val="false"/>
          <w:sz w:val="24"/>
          <w:szCs w:val="24"/>
        </w:rPr>
        <w:t xml:space="preserve">dove la fonte documenta, si certifica; dove tace, si tace.</w:t>
      </w:r>
      <w:r>
        <w:rPr>
          <w:rFonts w:ascii="Times New Roman" w:cs="Times New Roman" w:eastAsia="Times New Roman" w:hAnsi="Times New Roman"/>
          <w:i w:val="false"/>
          <w:iCs w:val="false"/>
          <w:sz w:val="24"/>
          <w:szCs w:val="24"/>
        </w:rPr>
        <w:t xml:space="preserve"> Le tre categorie di prova — documentato / convergenza / congettura — sono tenute distinte fino in fondo. Nessuna persona è nominata come responsabile al di là del giudicato. Sulla morte a Segrate, in particolare, si distingue con cura la ricostruzione giudiziaria dai sospetti mai provati.</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I. L'erede: la ricchezza come premessa (1926-1947)</w:t>
      </w:r>
    </w:p>
    <w:p>
      <w:pPr>
        <w:spacing w:after="120" w:line="276"/>
        <w:jc w:val="both"/>
      </w:pPr>
      <w:r>
        <w:rPr>
          <w:rFonts w:ascii="Times New Roman" w:cs="Times New Roman" w:eastAsia="Times New Roman" w:hAnsi="Times New Roman"/>
          <w:sz w:val="24"/>
          <w:szCs w:val="24"/>
        </w:rPr>
        <w:t xml:space="preserve">Giangiacomo Feltrinelli nacque a </w:t>
      </w:r>
      <w:r>
        <w:rPr>
          <w:rFonts w:ascii="Times New Roman" w:cs="Times New Roman" w:eastAsia="Times New Roman" w:hAnsi="Times New Roman"/>
          <w:b/>
          <w:bCs/>
          <w:sz w:val="24"/>
          <w:szCs w:val="24"/>
        </w:rPr>
        <w:t xml:space="preserve">Milano il 19 giugno 1926</w:t>
      </w:r>
      <w:r>
        <w:rPr>
          <w:rFonts w:ascii="Times New Roman" w:cs="Times New Roman" w:eastAsia="Times New Roman" w:hAnsi="Times New Roman"/>
          <w:sz w:val="24"/>
          <w:szCs w:val="24"/>
        </w:rPr>
        <w:t xml:space="preserve">, in una delle più grandi fortune d'Italia. I Feltrinelli avevano fatto i loro soldi fornendo </w:t>
      </w:r>
      <w:r>
        <w:rPr>
          <w:rFonts w:ascii="Times New Roman" w:cs="Times New Roman" w:eastAsia="Times New Roman" w:hAnsi="Times New Roman"/>
          <w:b/>
          <w:bCs/>
          <w:sz w:val="24"/>
          <w:szCs w:val="24"/>
        </w:rPr>
        <w:t xml:space="preserve">legname</w:t>
      </w:r>
      <w:r>
        <w:rPr>
          <w:rFonts w:ascii="Times New Roman" w:cs="Times New Roman" w:eastAsia="Times New Roman" w:hAnsi="Times New Roman"/>
          <w:sz w:val="24"/>
          <w:szCs w:val="24"/>
        </w:rPr>
        <w:t xml:space="preserve"> all'edilizia, per poi entrare nella </w:t>
      </w:r>
      <w:r>
        <w:rPr>
          <w:rFonts w:ascii="Times New Roman" w:cs="Times New Roman" w:eastAsia="Times New Roman" w:hAnsi="Times New Roman"/>
          <w:b/>
          <w:bCs/>
          <w:sz w:val="24"/>
          <w:szCs w:val="24"/>
        </w:rPr>
        <w:t xml:space="preserve">banca</w:t>
      </w:r>
      <w:r>
        <w:rPr>
          <w:rFonts w:ascii="Times New Roman" w:cs="Times New Roman" w:eastAsia="Times New Roman" w:hAnsi="Times New Roman"/>
          <w:sz w:val="24"/>
          <w:szCs w:val="24"/>
        </w:rPr>
        <w:t xml:space="preserve">: il padre, Carlo, controllava un impero che toccava il Credito Italiano, la Edison e la Legnami Feltrinelli, con vasti possedimenti forestali nell'Europa centrale (LRB, John Foot (https://www.lrb.co.uk/the-paper/v24/n03/john-foot/no.-1-scapegoat); Wikipedia EN (https://en.wikipedia.org/wiki/Giangiacomo_Feltrinelli)). Alla morte del padre, il giovane Giangiacomo </w:t>
      </w:r>
      <w:r>
        <w:rPr>
          <w:rFonts w:ascii="Times New Roman" w:cs="Times New Roman" w:eastAsia="Times New Roman" w:hAnsi="Times New Roman"/>
          <w:b/>
          <w:bCs/>
          <w:sz w:val="24"/>
          <w:szCs w:val="24"/>
        </w:rPr>
        <w:t xml:space="preserve">ereditò nel 1947 la parte maggiore</w:t>
      </w:r>
      <w:r>
        <w:rPr>
          <w:rFonts w:ascii="Times New Roman" w:cs="Times New Roman" w:eastAsia="Times New Roman" w:hAnsi="Times New Roman"/>
          <w:sz w:val="24"/>
          <w:szCs w:val="24"/>
        </w:rPr>
        <w:t xml:space="preserve"> di quel patrimonio.</w:t>
      </w:r>
    </w:p>
    <w:p>
      <w:pPr>
        <w:spacing w:after="120" w:line="276"/>
        <w:jc w:val="both"/>
      </w:pPr>
      <w:r>
        <w:rPr>
          <w:rFonts w:ascii="Times New Roman" w:cs="Times New Roman" w:eastAsia="Times New Roman" w:hAnsi="Times New Roman"/>
          <w:sz w:val="24"/>
          <w:szCs w:val="24"/>
        </w:rPr>
        <w:t xml:space="preserve">Qui sta la prima chiave della sua figura, e va enunciata senza ironia perché è il cardine di tutto: fu un </w:t>
      </w:r>
      <w:r>
        <w:rPr>
          <w:rFonts w:ascii="Times New Roman" w:cs="Times New Roman" w:eastAsia="Times New Roman" w:hAnsi="Times New Roman"/>
          <w:b/>
          <w:bCs/>
          <w:sz w:val="24"/>
          <w:szCs w:val="24"/>
        </w:rPr>
        <w:t xml:space="preserve">rivoluzionario ricchissimo</w:t>
      </w:r>
      <w:r>
        <w:rPr>
          <w:rFonts w:ascii="Times New Roman" w:cs="Times New Roman" w:eastAsia="Times New Roman" w:hAnsi="Times New Roman"/>
          <w:sz w:val="24"/>
          <w:szCs w:val="24"/>
        </w:rPr>
        <w:t xml:space="preserve">. Durante la guerra si arruolò nell'esercito cobelligerante e aderì al </w:t>
      </w:r>
      <w:r>
        <w:rPr>
          <w:rFonts w:ascii="Times New Roman" w:cs="Times New Roman" w:eastAsia="Times New Roman" w:hAnsi="Times New Roman"/>
          <w:b/>
          <w:bCs/>
          <w:sz w:val="24"/>
          <w:szCs w:val="24"/>
        </w:rPr>
        <w:t xml:space="preserve">Partito Comunista Italiano</w:t>
      </w:r>
      <w:r>
        <w:rPr>
          <w:rFonts w:ascii="Times New Roman" w:cs="Times New Roman" w:eastAsia="Times New Roman" w:hAnsi="Times New Roman"/>
          <w:sz w:val="24"/>
          <w:szCs w:val="24"/>
        </w:rPr>
        <w:t xml:space="preserve">, combattendo contro la Wehrmacht e i resti della Repubblica di Salò. La contraddizione fra le origini e la scelta di campo non fu, in lui, un'ipocrisia da salotto: fu il motore biografico che lo portò, per gradi, dalla cultura all'azione, e infine alla morte. Chi voglia capire il vettore deve tenere insieme i due termini — l'oro di famiglia e la fede comunista — perché è dalla loro tensione che nacque tutto ciò che seguì.</w:t>
      </w:r>
    </w:p>
    <w:p>
      <w:pPr>
        <w:pStyle w:val="Heading2"/>
        <w:spacing w:after="100" w:before="200"/>
      </w:pPr>
      <w:r>
        <w:rPr>
          <w:rFonts w:ascii="Times New Roman" w:cs="Times New Roman" w:eastAsia="Times New Roman" w:hAnsi="Times New Roman"/>
          <w:sz w:val="24"/>
          <w:szCs w:val="24"/>
        </w:rPr>
        <w:t xml:space="preserve">II. Il costruttore di cultura: la biblioteca e la casa editrice (1949-1958)</w:t>
      </w:r>
    </w:p>
    <w:p>
      <w:pPr>
        <w:spacing w:after="120" w:line="276"/>
        <w:jc w:val="both"/>
      </w:pPr>
      <w:r>
        <w:rPr>
          <w:rFonts w:ascii="Times New Roman" w:cs="Times New Roman" w:eastAsia="Times New Roman" w:hAnsi="Times New Roman"/>
          <w:sz w:val="24"/>
          <w:szCs w:val="24"/>
        </w:rPr>
        <w:t xml:space="preserve">Prima dell'editore ci fu il </w:t>
      </w:r>
      <w:r>
        <w:rPr>
          <w:rFonts w:ascii="Times New Roman" w:cs="Times New Roman" w:eastAsia="Times New Roman" w:hAnsi="Times New Roman"/>
          <w:b/>
          <w:bCs/>
          <w:sz w:val="24"/>
          <w:szCs w:val="24"/>
        </w:rPr>
        <w:t xml:space="preserve">bibliotecario</w:t>
      </w:r>
      <w:r>
        <w:rPr>
          <w:rFonts w:ascii="Times New Roman" w:cs="Times New Roman" w:eastAsia="Times New Roman" w:hAnsi="Times New Roman"/>
          <w:sz w:val="24"/>
          <w:szCs w:val="24"/>
        </w:rPr>
        <w:t xml:space="preserve">. Nel </w:t>
      </w:r>
      <w:r>
        <w:rPr>
          <w:rFonts w:ascii="Times New Roman" w:cs="Times New Roman" w:eastAsia="Times New Roman" w:hAnsi="Times New Roman"/>
          <w:b/>
          <w:bCs/>
          <w:sz w:val="24"/>
          <w:szCs w:val="24"/>
        </w:rPr>
        <w:t xml:space="preserve">1949</w:t>
      </w:r>
      <w:r>
        <w:rPr>
          <w:rFonts w:ascii="Times New Roman" w:cs="Times New Roman" w:eastAsia="Times New Roman" w:hAnsi="Times New Roman"/>
          <w:sz w:val="24"/>
          <w:szCs w:val="24"/>
        </w:rPr>
        <w:t xml:space="preserve"> Feltrinelli fondò, per iniziativa privata, una </w:t>
      </w:r>
      <w:r>
        <w:rPr>
          <w:rFonts w:ascii="Times New Roman" w:cs="Times New Roman" w:eastAsia="Times New Roman" w:hAnsi="Times New Roman"/>
          <w:b/>
          <w:bCs/>
          <w:sz w:val="24"/>
          <w:szCs w:val="24"/>
        </w:rPr>
        <w:t xml:space="preserve">biblioteca specializzata</w:t>
      </w:r>
      <w:r>
        <w:rPr>
          <w:rFonts w:ascii="Times New Roman" w:cs="Times New Roman" w:eastAsia="Times New Roman" w:hAnsi="Times New Roman"/>
          <w:sz w:val="24"/>
          <w:szCs w:val="24"/>
        </w:rPr>
        <w:t xml:space="preserve"> nella raccolta e conservazione dei materiali sulla storia del movimento operaio e socialista: quella che sarebbe diventata Istituto e poi, per decreto del Presidente della Repubblica del </w:t>
      </w:r>
      <w:r>
        <w:rPr>
          <w:rFonts w:ascii="Times New Roman" w:cs="Times New Roman" w:eastAsia="Times New Roman" w:hAnsi="Times New Roman"/>
          <w:b/>
          <w:bCs/>
          <w:sz w:val="24"/>
          <w:szCs w:val="24"/>
        </w:rPr>
        <w:t xml:space="preserve">27 aprile 1974</w:t>
      </w:r>
      <w:r>
        <w:rPr>
          <w:rFonts w:ascii="Times New Roman" w:cs="Times New Roman" w:eastAsia="Times New Roman" w:hAnsi="Times New Roman"/>
          <w:sz w:val="24"/>
          <w:szCs w:val="24"/>
        </w:rPr>
        <w:t xml:space="preserve">, la </w:t>
      </w:r>
      <w:r>
        <w:rPr>
          <w:rFonts w:ascii="Times New Roman" w:cs="Times New Roman" w:eastAsia="Times New Roman" w:hAnsi="Times New Roman"/>
          <w:b/>
          <w:bCs/>
          <w:sz w:val="24"/>
          <w:szCs w:val="24"/>
        </w:rPr>
        <w:t xml:space="preserve">Fondazione Giangiacomo Feltrinelli</w:t>
      </w:r>
      <w:r>
        <w:rPr>
          <w:rFonts w:ascii="Times New Roman" w:cs="Times New Roman" w:eastAsia="Times New Roman" w:hAnsi="Times New Roman"/>
          <w:sz w:val="24"/>
          <w:szCs w:val="24"/>
        </w:rPr>
        <w:t xml:space="preserve"> (Fondazione Feltrinelli, About (https://fondazionefeltrinelli.it/en/about-us-4/)). È un dato che si tende a dimenticare, e che invece dà la misura dell'uomo: prima di essere il finanziatore della lotta armata, fu il custode paziente di un patrimonio documentario oggi immenso — 1,5 milioni di schede d'archivio, 250.000 volumi, 15.000 manifesti (Fondazione Feltrinelli, Library (https://fondazionefeltrinelli.it/en/library/)).</w:t>
      </w:r>
    </w:p>
    <w:p>
      <w:pPr>
        <w:spacing w:after="120" w:line="276"/>
        <w:jc w:val="both"/>
      </w:pPr>
      <w:r>
        <w:rPr>
          <w:rFonts w:ascii="Times New Roman" w:cs="Times New Roman" w:eastAsia="Times New Roman" w:hAnsi="Times New Roman"/>
          <w:sz w:val="24"/>
          <w:szCs w:val="24"/>
        </w:rPr>
        <w:t xml:space="preserve">Nel </w:t>
      </w:r>
      <w:r>
        <w:rPr>
          <w:rFonts w:ascii="Times New Roman" w:cs="Times New Roman" w:eastAsia="Times New Roman" w:hAnsi="Times New Roman"/>
          <w:b/>
          <w:bCs/>
          <w:sz w:val="24"/>
          <w:szCs w:val="24"/>
        </w:rPr>
        <w:t xml:space="preserve">1954</w:t>
      </w:r>
      <w:r>
        <w:rPr>
          <w:rFonts w:ascii="Times New Roman" w:cs="Times New Roman" w:eastAsia="Times New Roman" w:hAnsi="Times New Roman"/>
          <w:sz w:val="24"/>
          <w:szCs w:val="24"/>
        </w:rPr>
        <w:t xml:space="preserve"> fondò a Milano la casa editrice </w:t>
      </w:r>
      <w:r>
        <w:rPr>
          <w:rFonts w:ascii="Times New Roman" w:cs="Times New Roman" w:eastAsia="Times New Roman" w:hAnsi="Times New Roman"/>
          <w:b/>
          <w:bCs/>
          <w:sz w:val="24"/>
          <w:szCs w:val="24"/>
        </w:rPr>
        <w:t xml:space="preserve">Giangiacomo Feltrinelli Editore</w:t>
      </w:r>
      <w:r>
        <w:rPr>
          <w:rFonts w:ascii="Times New Roman" w:cs="Times New Roman" w:eastAsia="Times New Roman" w:hAnsi="Times New Roman"/>
          <w:sz w:val="24"/>
          <w:szCs w:val="24"/>
        </w:rPr>
        <w:t xml:space="preserve">, e in pochi anni mise a segno due colpi che da soli le avrebbero garantito un posto nella storia dell'editoria del Novecento:</w:t>
      </w:r>
    </w:p>
    <w:p>
      <w:pPr>
        <w:pStyle w:val="ListParagraph"/>
        <w:numPr>
          <w:ilvl w:val="0"/>
          <w:numId w:val="1"/>
        </w:numPr>
        <w:spacing w:after="4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1957 — </w:t>
      </w:r>
      <w:r>
        <w:rPr>
          <w:rFonts w:ascii="Times New Roman" w:cs="Times New Roman" w:eastAsia="Times New Roman" w:hAnsi="Times New Roman"/>
          <w:sz w:val="24"/>
          <w:szCs w:val="24"/>
        </w:rPr>
        <w:t xml:space="preserve">Il dottor Živago</w:t>
      </w:r>
      <w:r>
        <w:rPr>
          <w:rFonts w:ascii="Times New Roman" w:cs="Times New Roman" w:eastAsia="Times New Roman" w:hAnsi="Times New Roman"/>
          <w:i/>
          <w:iCs/>
          <w:sz w:val="24"/>
          <w:szCs w:val="24"/>
        </w:rPr>
        <w:t xml:space="preserve"> di Boris Pasternak.</w:t>
      </w:r>
      <w:r>
        <w:rPr>
          <w:rFonts w:ascii="Times New Roman" w:cs="Times New Roman" w:eastAsia="Times New Roman" w:hAnsi="Times New Roman"/>
          <w:i/>
          <w:iCs/>
          <w:sz w:val="24"/>
          <w:szCs w:val="24"/>
        </w:rPr>
        <w:t xml:space="preserve"> Fu la </w:t>
      </w:r>
      <w:r>
        <w:rPr>
          <w:rFonts w:ascii="Times New Roman" w:cs="Times New Roman" w:eastAsia="Times New Roman" w:hAnsi="Times New Roman"/>
          <w:i/>
          <w:iCs/>
          <w:sz w:val="24"/>
          <w:szCs w:val="24"/>
        </w:rPr>
        <w:t xml:space="preserve">prima edizione mondiale</w:t>
      </w:r>
      <w:r>
        <w:rPr>
          <w:rFonts w:ascii="Times New Roman" w:cs="Times New Roman" w:eastAsia="Times New Roman" w:hAnsi="Times New Roman"/>
          <w:i/>
          <w:iCs/>
          <w:sz w:val="24"/>
          <w:szCs w:val="24"/>
        </w:rPr>
        <w:t xml:space="preserve"> del romanzo: un'edizione italiana pubblicata nel novembre 1957, sulla base di un contratto firmato con Pasternak nel giugno 1956. Feltrinelli resistette a ogni pressione del Cremlino </w:t>
      </w:r>
      <w:r>
        <w:rPr>
          <w:rFonts w:ascii="Times New Roman" w:cs="Times New Roman" w:eastAsia="Times New Roman" w:hAnsi="Times New Roman"/>
          <w:sz w:val="24"/>
          <w:szCs w:val="24"/>
        </w:rPr>
        <w:t xml:space="preserve">e</w:t>
      </w:r>
      <w:r>
        <w:rPr>
          <w:rFonts w:ascii="Times New Roman" w:cs="Times New Roman" w:eastAsia="Times New Roman" w:hAnsi="Times New Roman"/>
          <w:i/>
          <w:iCs/>
          <w:sz w:val="24"/>
          <w:szCs w:val="24"/>
        </w:rPr>
        <w:t xml:space="preserve"> del PCI perché il libro non uscisse (Wikipedia, </w:t>
      </w:r>
      <w:r>
        <w:rPr>
          <w:rFonts w:ascii="Times New Roman" w:cs="Times New Roman" w:eastAsia="Times New Roman" w:hAnsi="Times New Roman"/>
          <w:sz w:val="24"/>
          <w:szCs w:val="24"/>
        </w:rPr>
        <w:t xml:space="preserve">Doctor Zhivago</w:t>
      </w:r>
      <w:r>
        <w:rPr>
          <w:rFonts w:ascii="Times New Roman" w:cs="Times New Roman" w:eastAsia="Times New Roman" w:hAnsi="Times New Roman"/>
          <w:i/>
          <w:iCs/>
          <w:sz w:val="24"/>
          <w:szCs w:val="24"/>
        </w:rPr>
        <w:t xml:space="preserve"> (https://en.wikipedia.org/wiki/Doctor_Zhivago_(novel))). Fu anche il fatto che, insieme ai contrasti sui fatti d'Ungheria, lo condusse fuori dal partito: secondo il Dizionario Biografico Treccani (https://www.treccani.it/enciclopedia/giangiacomo-feltrinelli_(Dizionario-Biografico)/) </w:t>
      </w:r>
      <w:r>
        <w:rPr>
          <w:rFonts w:ascii="Times New Roman" w:cs="Times New Roman" w:eastAsia="Times New Roman" w:hAnsi="Times New Roman"/>
          <w:i/>
          <w:iCs/>
          <w:sz w:val="24"/>
          <w:szCs w:val="24"/>
        </w:rPr>
        <w:t xml:space="preserve">il 1957 fu l'ultimo anno di tessera</w:t>
      </w:r>
      <w:r>
        <w:rPr>
          <w:rFonts w:ascii="Times New Roman" w:cs="Times New Roman" w:eastAsia="Times New Roman" w:hAnsi="Times New Roman"/>
          <w:i/>
          <w:iCs/>
          <w:sz w:val="24"/>
          <w:szCs w:val="24"/>
        </w:rPr>
        <w:t xml:space="preserve"> — la rottura maturò proprio sul </w:t>
      </w:r>
      <w:r>
        <w:rPr>
          <w:rFonts w:ascii="Times New Roman" w:cs="Times New Roman" w:eastAsia="Times New Roman" w:hAnsi="Times New Roman"/>
          <w:sz w:val="24"/>
          <w:szCs w:val="24"/>
        </w:rPr>
        <w:t xml:space="preserve">Živago</w:t>
      </w:r>
      <w:r>
        <w:rPr>
          <w:rFonts w:ascii="Times New Roman" w:cs="Times New Roman" w:eastAsia="Times New Roman" w:hAnsi="Times New Roman"/>
          <w:i/>
          <w:iCs/>
          <w:sz w:val="24"/>
          <w:szCs w:val="24"/>
        </w:rPr>
        <w:t xml:space="preserve"> e su una lettera al partito del 28 settembre 1957 che gli valse una minaccia di espulsione — mentre altre fonti collocano l'uscita definitiva nel 1958. I rapporti restarono non ostili. </w:t>
      </w:r>
      <w:r>
        <w:rPr>
          <w:rFonts w:ascii="Times New Roman" w:cs="Times New Roman" w:eastAsia="Times New Roman" w:hAnsi="Times New Roman"/>
          <w:sz w:val="24"/>
          <w:szCs w:val="24"/>
        </w:rPr>
        <w:t xml:space="preserve">(Nota di revisione: la prima stesura datava l'uscita al solo «1958»; la triangolazione su Treccani la precisa come processo 1957-58, con il mancato rinnovo della tessera dopo il 1957.)*</w:t>
      </w:r>
    </w:p>
    <w:p>
      <w:pPr>
        <w:pStyle w:val="ListParagraph"/>
        <w:numPr>
          <w:ilvl w:val="0"/>
          <w:numId w:val="1"/>
        </w:numPr>
        <w:spacing w:after="40"/>
        <w:jc w:val="both"/>
      </w:pP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1958 — </w:t>
      </w:r>
      <w:r>
        <w:rPr>
          <w:rFonts w:ascii="Times New Roman" w:cs="Times New Roman" w:eastAsia="Times New Roman" w:hAnsi="Times New Roman"/>
          <w:sz w:val="24"/>
          <w:szCs w:val="24"/>
        </w:rPr>
        <w:t xml:space="preserve">Il Gattopardo</w:t>
      </w:r>
      <w:r>
        <w:rPr>
          <w:rFonts w:ascii="Times New Roman" w:cs="Times New Roman" w:eastAsia="Times New Roman" w:hAnsi="Times New Roman"/>
          <w:i/>
          <w:iCs/>
          <w:sz w:val="24"/>
          <w:szCs w:val="24"/>
        </w:rPr>
        <w:t xml:space="preserve"> di Giuseppe Tomasi di Lampedusa.</w:t>
      </w:r>
      <w:r>
        <w:rPr>
          <w:rFonts w:ascii="Times New Roman" w:cs="Times New Roman" w:eastAsia="Times New Roman" w:hAnsi="Times New Roman"/>
          <w:i/>
          <w:iCs/>
          <w:sz w:val="24"/>
          <w:szCs w:val="24"/>
        </w:rPr>
        <w:t xml:space="preserve"> Rifiutato da ogni altro editore importante d'Italia, uscì da Feltrinelli nel novembre 1958 e divenne un caso: </w:t>
      </w:r>
      <w:r>
        <w:rPr>
          <w:rFonts w:ascii="Times New Roman" w:cs="Times New Roman" w:eastAsia="Times New Roman" w:hAnsi="Times New Roman"/>
          <w:i/>
          <w:iCs/>
          <w:sz w:val="24"/>
          <w:szCs w:val="24"/>
        </w:rPr>
        <w:t xml:space="preserve">cinquantadue edizioni in meno di sei mesi</w:t>
      </w:r>
      <w:r>
        <w:rPr>
          <w:rFonts w:ascii="Times New Roman" w:cs="Times New Roman" w:eastAsia="Times New Roman" w:hAnsi="Times New Roman"/>
          <w:i/>
          <w:iCs/>
          <w:sz w:val="24"/>
          <w:szCs w:val="24"/>
        </w:rPr>
        <w:t xml:space="preserve"> (Wikipedia, </w:t>
      </w:r>
      <w:r>
        <w:rPr>
          <w:rFonts w:ascii="Times New Roman" w:cs="Times New Roman" w:eastAsia="Times New Roman" w:hAnsi="Times New Roman"/>
          <w:sz w:val="24"/>
          <w:szCs w:val="24"/>
        </w:rPr>
        <w:t xml:space="preserve">The Leopard* (https://en.wikipedia.org/wiki/The_Leopard)).</w:t>
      </w:r>
    </w:p>
    <w:p>
      <w:pPr>
        <w:spacing w:after="120" w:line="276"/>
        <w:jc w:val="both"/>
      </w:pPr>
      <w:r>
        <w:rPr>
          <w:rFonts w:ascii="Times New Roman" w:cs="Times New Roman" w:eastAsia="Times New Roman" w:hAnsi="Times New Roman"/>
          <w:sz w:val="24"/>
          <w:szCs w:val="24"/>
        </w:rPr>
        <w:t xml:space="preserve">A questi si aggiunse la creazione della </w:t>
      </w:r>
      <w:r>
        <w:rPr>
          <w:rFonts w:ascii="Times New Roman" w:cs="Times New Roman" w:eastAsia="Times New Roman" w:hAnsi="Times New Roman"/>
          <w:b/>
          <w:bCs/>
          <w:sz w:val="24"/>
          <w:szCs w:val="24"/>
        </w:rPr>
        <w:t xml:space="preserve">prima catena di librerie</w:t>
      </w:r>
      <w:r>
        <w:rPr>
          <w:rFonts w:ascii="Times New Roman" w:cs="Times New Roman" w:eastAsia="Times New Roman" w:hAnsi="Times New Roman"/>
          <w:sz w:val="24"/>
          <w:szCs w:val="24"/>
        </w:rPr>
        <w:t xml:space="preserve"> d'Italia, che porta ancora il suo nome. Il ritratto, a questo punto della vita, è quello di un grande editore civile: un uomo che sapeva riconoscere il libro giusto contro il parere di tutti. Questa competenza — l'occhio per ciò che sarebbe diventato </w:t>
      </w:r>
      <w:r>
        <w:rPr>
          <w:rFonts w:ascii="Times New Roman" w:cs="Times New Roman" w:eastAsia="Times New Roman" w:hAnsi="Times New Roman"/>
          <w:b/>
          <w:bCs/>
          <w:sz w:val="24"/>
          <w:szCs w:val="24"/>
        </w:rPr>
        <w:t xml:space="preserve">simbolo</w:t>
      </w:r>
      <w:r>
        <w:rPr>
          <w:rFonts w:ascii="Times New Roman" w:cs="Times New Roman" w:eastAsia="Times New Roman" w:hAnsi="Times New Roman"/>
          <w:sz w:val="24"/>
          <w:szCs w:val="24"/>
        </w:rPr>
        <w:t xml:space="preserve"> — è la stessa che, pochi anni dopo, avrebbe fatto di una fotografia scartata l'icona del secolo.</w:t>
      </w:r>
    </w:p>
    <w:p>
      <w:pPr>
        <w:pStyle w:val="Heading2"/>
        <w:spacing w:after="100" w:before="200"/>
      </w:pPr>
      <w:r>
        <w:rPr>
          <w:rFonts w:ascii="Times New Roman" w:cs="Times New Roman" w:eastAsia="Times New Roman" w:hAnsi="Times New Roman"/>
          <w:sz w:val="24"/>
          <w:szCs w:val="24"/>
        </w:rPr>
        <w:t xml:space="preserve">III. Il vettore: come un editore fabbrica un'icona (1960-1968)</w:t>
      </w:r>
    </w:p>
    <w:p>
      <w:pPr>
        <w:spacing w:after="120" w:line="276"/>
        <w:jc w:val="both"/>
      </w:pPr>
      <w:r>
        <w:rPr>
          <w:rFonts w:ascii="Times New Roman" w:cs="Times New Roman" w:eastAsia="Times New Roman" w:hAnsi="Times New Roman"/>
          <w:sz w:val="24"/>
          <w:szCs w:val="24"/>
        </w:rPr>
        <w:t xml:space="preserve">Qui il corpus tocca il suo nodo, e conviene enunciarlo con la massima precisione, perché è </w:t>
      </w:r>
      <w:r>
        <w:rPr>
          <w:rFonts w:ascii="Times New Roman" w:cs="Times New Roman" w:eastAsia="Times New Roman" w:hAnsi="Times New Roman"/>
          <w:b/>
          <w:bCs/>
          <w:sz w:val="24"/>
          <w:szCs w:val="24"/>
        </w:rPr>
        <w:t xml:space="preserve">documentato</w:t>
      </w:r>
      <w:r>
        <w:rPr>
          <w:rFonts w:ascii="Times New Roman" w:cs="Times New Roman" w:eastAsia="Times New Roman" w:hAnsi="Times New Roman"/>
          <w:sz w:val="24"/>
          <w:szCs w:val="24"/>
        </w:rPr>
        <w:t xml:space="preserve"> e non va né gonfiato né sminuito.</w:t>
      </w:r>
    </w:p>
    <w:p>
      <w:pPr>
        <w:spacing w:after="120" w:line="276"/>
        <w:jc w:val="both"/>
      </w:pPr>
      <w:r>
        <w:rPr>
          <w:rFonts w:ascii="Times New Roman" w:cs="Times New Roman" w:eastAsia="Times New Roman" w:hAnsi="Times New Roman"/>
          <w:sz w:val="24"/>
          <w:szCs w:val="24"/>
        </w:rPr>
        <w:t xml:space="preserve">Nei primi anni Sessanta Feltrinelli fu </w:t>
      </w:r>
      <w:r>
        <w:rPr>
          <w:rFonts w:ascii="Times New Roman" w:cs="Times New Roman" w:eastAsia="Times New Roman" w:hAnsi="Times New Roman"/>
          <w:b/>
          <w:bCs/>
          <w:sz w:val="24"/>
          <w:szCs w:val="24"/>
        </w:rPr>
        <w:t xml:space="preserve">assiduo di Cuba</w:t>
      </w:r>
      <w:r>
        <w:rPr>
          <w:rFonts w:ascii="Times New Roman" w:cs="Times New Roman" w:eastAsia="Times New Roman" w:hAnsi="Times New Roman"/>
          <w:sz w:val="24"/>
          <w:szCs w:val="24"/>
        </w:rPr>
        <w:t xml:space="preserve">: visitò più volte l'isola negli anni della rivoluzione, fu vicino al nuovo regime, e a un certo punto aveva perfino </w:t>
      </w:r>
      <w:r>
        <w:rPr>
          <w:rFonts w:ascii="Times New Roman" w:cs="Times New Roman" w:eastAsia="Times New Roman" w:hAnsi="Times New Roman"/>
          <w:b/>
          <w:bCs/>
          <w:sz w:val="24"/>
          <w:szCs w:val="24"/>
        </w:rPr>
        <w:t xml:space="preserve">progettato di scrivere come ghost-writer la biografia di Fidel Castro</w:t>
      </w:r>
      <w:r>
        <w:rPr>
          <w:rFonts w:ascii="Times New Roman" w:cs="Times New Roman" w:eastAsia="Times New Roman" w:hAnsi="Times New Roman"/>
          <w:sz w:val="24"/>
          <w:szCs w:val="24"/>
        </w:rPr>
        <w:t xml:space="preserve"> (History Ireland (https://historyireland.com/che-guevara-jim-fitzpatrick-and-the-making-of-an-icon/)). Da quel rapporto nacque il fatto che lega Milano all'Avana.</w:t>
      </w:r>
    </w:p>
    <w:p>
      <w:pPr>
        <w:spacing w:after="120" w:line="276"/>
        <w:jc w:val="both"/>
      </w:pPr>
      <w:r>
        <w:rPr>
          <w:rFonts w:ascii="Times New Roman" w:cs="Times New Roman" w:eastAsia="Times New Roman" w:hAnsi="Times New Roman"/>
          <w:sz w:val="24"/>
          <w:szCs w:val="24"/>
        </w:rPr>
        <w:t xml:space="preserve">La fotografia era già stata scattata: il </w:t>
      </w:r>
      <w:r>
        <w:rPr>
          <w:rFonts w:ascii="Times New Roman" w:cs="Times New Roman" w:eastAsia="Times New Roman" w:hAnsi="Times New Roman"/>
          <w:b/>
          <w:bCs/>
          <w:sz w:val="24"/>
          <w:szCs w:val="24"/>
        </w:rPr>
        <w:t xml:space="preserve">5 marzo 1960</w:t>
      </w:r>
      <w:r>
        <w:rPr>
          <w:rFonts w:ascii="Times New Roman" w:cs="Times New Roman" w:eastAsia="Times New Roman" w:hAnsi="Times New Roman"/>
          <w:sz w:val="24"/>
          <w:szCs w:val="24"/>
        </w:rPr>
        <w:t xml:space="preserve">, all'Avana, durante le esequie delle vittime del piroscafo </w:t>
      </w:r>
      <w:r>
        <w:rPr>
          <w:rFonts w:ascii="Times New Roman" w:cs="Times New Roman" w:eastAsia="Times New Roman" w:hAnsi="Times New Roman"/>
          <w:i/>
          <w:iCs/>
          <w:sz w:val="24"/>
          <w:szCs w:val="24"/>
        </w:rPr>
        <w:t xml:space="preserve">La Coubre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Alberto Korda</w:t>
      </w:r>
      <w:r>
        <w:rPr>
          <w:rFonts w:ascii="Times New Roman" w:cs="Times New Roman" w:eastAsia="Times New Roman" w:hAnsi="Times New Roman"/>
          <w:sz w:val="24"/>
          <w:szCs w:val="24"/>
        </w:rPr>
        <w:t xml:space="preserve"> aveva colto il ritratto di Guevara — il </w:t>
      </w:r>
      <w:r>
        <w:rPr>
          <w:rFonts w:ascii="Times New Roman" w:cs="Times New Roman" w:eastAsia="Times New Roman" w:hAnsi="Times New Roman"/>
          <w:i/>
          <w:iCs/>
          <w:sz w:val="24"/>
          <w:szCs w:val="24"/>
        </w:rPr>
        <w:t xml:space="preserve">Guerrillero Heroico</w:t>
      </w:r>
      <w:r>
        <w:rPr>
          <w:rFonts w:ascii="Times New Roman" w:cs="Times New Roman" w:eastAsia="Times New Roman" w:hAnsi="Times New Roman"/>
          <w:sz w:val="24"/>
          <w:szCs w:val="24"/>
        </w:rPr>
        <w:t xml:space="preserve"> — poi accantonato per la scarsa qualità e rimasto per anni </w:t>
      </w:r>
      <w:r>
        <w:rPr>
          <w:rFonts w:ascii="Times New Roman" w:cs="Times New Roman" w:eastAsia="Times New Roman" w:hAnsi="Times New Roman"/>
          <w:b/>
          <w:bCs/>
          <w:sz w:val="24"/>
          <w:szCs w:val="24"/>
        </w:rPr>
        <w:t xml:space="preserve">oscuro</w:t>
      </w:r>
      <w:r>
        <w:rPr>
          <w:rFonts w:ascii="Times New Roman" w:cs="Times New Roman" w:eastAsia="Times New Roman" w:hAnsi="Times New Roman"/>
          <w:sz w:val="24"/>
          <w:szCs w:val="24"/>
        </w:rPr>
        <w:t xml:space="preserve"> (Wikipedia, </w:t>
      </w:r>
      <w:r>
        <w:rPr>
          <w:rFonts w:ascii="Times New Roman" w:cs="Times New Roman" w:eastAsia="Times New Roman" w:hAnsi="Times New Roman"/>
          <w:i/>
          <w:iCs/>
          <w:sz w:val="24"/>
          <w:szCs w:val="24"/>
        </w:rPr>
        <w:t xml:space="preserve">Guerrillero Heroico</w:t>
      </w:r>
      <w:r>
        <w:rPr>
          <w:rFonts w:ascii="Times New Roman" w:cs="Times New Roman" w:eastAsia="Times New Roman" w:hAnsi="Times New Roman"/>
          <w:sz w:val="24"/>
          <w:szCs w:val="24"/>
        </w:rPr>
        <w:t xml:space="preserve"> (https://en.wikipedia.org/wiki/Guerrillero_Heroico)). Fu Feltrinelli a strapparlo all'oblio. Nell'</w:t>
      </w:r>
      <w:r>
        <w:rPr>
          <w:rFonts w:ascii="Times New Roman" w:cs="Times New Roman" w:eastAsia="Times New Roman" w:hAnsi="Times New Roman"/>
          <w:b/>
          <w:bCs/>
          <w:sz w:val="24"/>
          <w:szCs w:val="24"/>
        </w:rPr>
        <w:t xml:space="preserve">estate del 1967</w:t>
      </w:r>
      <w:r>
        <w:rPr>
          <w:rFonts w:ascii="Times New Roman" w:cs="Times New Roman" w:eastAsia="Times New Roman" w:hAnsi="Times New Roman"/>
          <w:sz w:val="24"/>
          <w:szCs w:val="24"/>
        </w:rPr>
        <w:t xml:space="preserve"> acquisì i diritti per pubblicare il </w:t>
      </w:r>
      <w:r>
        <w:rPr>
          <w:rFonts w:ascii="Times New Roman" w:cs="Times New Roman" w:eastAsia="Times New Roman" w:hAnsi="Times New Roman"/>
          <w:b/>
          <w:bCs/>
          <w:sz w:val="24"/>
          <w:szCs w:val="24"/>
        </w:rPr>
        <w:t xml:space="preserve">Diario boliviano</w:t>
      </w:r>
      <w:r>
        <w:rPr>
          <w:rFonts w:ascii="Times New Roman" w:cs="Times New Roman" w:eastAsia="Times New Roman" w:hAnsi="Times New Roman"/>
          <w:sz w:val="24"/>
          <w:szCs w:val="24"/>
        </w:rPr>
        <w:t xml:space="preserve"> di Guevara </w:t>
      </w:r>
      <w:r>
        <w:rPr>
          <w:rFonts w:ascii="Times New Roman" w:cs="Times New Roman" w:eastAsia="Times New Roman" w:hAnsi="Times New Roman"/>
          <w:i/>
          <w:iCs/>
          <w:sz w:val="24"/>
          <w:szCs w:val="24"/>
        </w:rPr>
        <w:t xml:space="preserve">insieme</w:t>
      </w:r>
      <w:r>
        <w:rPr>
          <w:rFonts w:ascii="Times New Roman" w:cs="Times New Roman" w:eastAsia="Times New Roman" w:hAnsi="Times New Roman"/>
          <w:sz w:val="24"/>
          <w:szCs w:val="24"/>
        </w:rPr>
        <w:t xml:space="preserve"> alla fotografia di Korda; e dopo che il diario riaffiorò all'Avana, </w:t>
      </w:r>
      <w:r>
        <w:rPr>
          <w:rFonts w:ascii="Times New Roman" w:cs="Times New Roman" w:eastAsia="Times New Roman" w:hAnsi="Times New Roman"/>
          <w:b/>
          <w:bCs/>
          <w:sz w:val="24"/>
          <w:szCs w:val="24"/>
        </w:rPr>
        <w:t xml:space="preserve">Castro gli concedette i diritti italiani</w:t>
      </w:r>
      <w:r>
        <w:rPr>
          <w:rFonts w:ascii="Times New Roman" w:cs="Times New Roman" w:eastAsia="Times New Roman" w:hAnsi="Times New Roman"/>
          <w:sz w:val="24"/>
          <w:szCs w:val="24"/>
        </w:rPr>
        <w:t xml:space="preserve">, e il libro uscì nel </w:t>
      </w:r>
      <w:r>
        <w:rPr>
          <w:rFonts w:ascii="Times New Roman" w:cs="Times New Roman" w:eastAsia="Times New Roman" w:hAnsi="Times New Roman"/>
          <w:b/>
          <w:bCs/>
          <w:sz w:val="24"/>
          <w:szCs w:val="24"/>
        </w:rPr>
        <w:t xml:space="preserve">1968</w:t>
      </w:r>
      <w:r>
        <w:rPr>
          <w:rFonts w:ascii="Times New Roman" w:cs="Times New Roman" w:eastAsia="Times New Roman" w:hAnsi="Times New Roman"/>
          <w:sz w:val="24"/>
          <w:szCs w:val="24"/>
        </w:rPr>
        <w:t xml:space="preserve"> con il ritratto di Korda in copertina e la prefazione di Castro.</w:t>
      </w:r>
    </w:p>
    <w:p>
      <w:pPr>
        <w:spacing w:after="120" w:line="276"/>
        <w:jc w:val="both"/>
      </w:pPr>
      <w:r>
        <w:rPr>
          <w:rFonts w:ascii="Times New Roman" w:cs="Times New Roman" w:eastAsia="Times New Roman" w:hAnsi="Times New Roman"/>
          <w:b/>
          <w:bCs/>
          <w:sz w:val="24"/>
          <w:szCs w:val="24"/>
        </w:rPr>
        <w:t xml:space="preserve">Integrazione post-triangolazione: la Bolivia, di persona (agosto 1967).</w:t>
      </w:r>
      <w:r>
        <w:rPr>
          <w:rFonts w:ascii="Times New Roman" w:cs="Times New Roman" w:eastAsia="Times New Roman" w:hAnsi="Times New Roman"/>
          <w:sz w:val="24"/>
          <w:szCs w:val="24"/>
        </w:rPr>
        <w:t xml:space="preserve"> La verifica del corpus ha fatto emergere un fatto che la prima stesura non registrava e che salda fisicamente il vettore alla campagna boliviana: nell'</w:t>
      </w:r>
      <w:r>
        <w:rPr>
          <w:rFonts w:ascii="Times New Roman" w:cs="Times New Roman" w:eastAsia="Times New Roman" w:hAnsi="Times New Roman"/>
          <w:b/>
          <w:bCs/>
          <w:sz w:val="24"/>
          <w:szCs w:val="24"/>
        </w:rPr>
        <w:t xml:space="preserve">agosto 1967</w:t>
      </w:r>
      <w:r>
        <w:rPr>
          <w:rFonts w:ascii="Times New Roman" w:cs="Times New Roman" w:eastAsia="Times New Roman" w:hAnsi="Times New Roman"/>
          <w:sz w:val="24"/>
          <w:szCs w:val="24"/>
        </w:rPr>
        <w:t xml:space="preserve"> — a campagna in corso, con Régis Debray sotto processo a </w:t>
      </w:r>
      <w:r>
        <w:rPr>
          <w:rFonts w:ascii="Times New Roman" w:cs="Times New Roman" w:eastAsia="Times New Roman" w:hAnsi="Times New Roman"/>
          <w:b/>
          <w:bCs/>
          <w:sz w:val="24"/>
          <w:szCs w:val="24"/>
        </w:rPr>
        <w:t xml:space="preserve">Camiri</w:t>
      </w:r>
      <w:r>
        <w:rPr>
          <w:rFonts w:ascii="Times New Roman" w:cs="Times New Roman" w:eastAsia="Times New Roman" w:hAnsi="Times New Roman"/>
          <w:sz w:val="24"/>
          <w:szCs w:val="24"/>
        </w:rPr>
        <w:t xml:space="preserve"> — Feltrinelli </w:t>
      </w:r>
      <w:r>
        <w:rPr>
          <w:rFonts w:ascii="Times New Roman" w:cs="Times New Roman" w:eastAsia="Times New Roman" w:hAnsi="Times New Roman"/>
          <w:b/>
          <w:bCs/>
          <w:sz w:val="24"/>
          <w:szCs w:val="24"/>
        </w:rPr>
        <w:t xml:space="preserve">andò in Bolivia</w:t>
      </w:r>
      <w:r>
        <w:rPr>
          <w:rFonts w:ascii="Times New Roman" w:cs="Times New Roman" w:eastAsia="Times New Roman" w:hAnsi="Times New Roman"/>
          <w:sz w:val="24"/>
          <w:szCs w:val="24"/>
        </w:rPr>
        <w:t xml:space="preserve"> con Sibilla Melega, vi fu </w:t>
      </w:r>
      <w:r>
        <w:rPr>
          <w:rFonts w:ascii="Times New Roman" w:cs="Times New Roman" w:eastAsia="Times New Roman" w:hAnsi="Times New Roman"/>
          <w:b/>
          <w:bCs/>
          <w:sz w:val="24"/>
          <w:szCs w:val="24"/>
        </w:rPr>
        <w:t xml:space="preserve">arrestato</w:t>
      </w:r>
      <w:r>
        <w:rPr>
          <w:rFonts w:ascii="Times New Roman" w:cs="Times New Roman" w:eastAsia="Times New Roman" w:hAnsi="Times New Roman"/>
          <w:sz w:val="24"/>
          <w:szCs w:val="24"/>
        </w:rPr>
        <w:t xml:space="preserve"> dalla polizia boliviana e, solo per pressione diplomatica, ottenne l'</w:t>
      </w:r>
      <w:r>
        <w:rPr>
          <w:rFonts w:ascii="Times New Roman" w:cs="Times New Roman" w:eastAsia="Times New Roman" w:hAnsi="Times New Roman"/>
          <w:b/>
          <w:bCs/>
          <w:sz w:val="24"/>
          <w:szCs w:val="24"/>
        </w:rPr>
        <w:t xml:space="preserve">espulsione</w:t>
      </w:r>
      <w:r>
        <w:rPr>
          <w:rFonts w:ascii="Times New Roman" w:cs="Times New Roman" w:eastAsia="Times New Roman" w:hAnsi="Times New Roman"/>
          <w:sz w:val="24"/>
          <w:szCs w:val="24"/>
        </w:rPr>
        <w:t xml:space="preserve"> come indesiderato; nel viaggio prese contatti con l'ambiente dell'ELN (Treccani, Dizionario Biografico (https://www.treccani.it/enciclopedia/giangiacomo-feltrinelli_(Dizionario-Biografico)/); A ca' l'Alveare (https://www.acalveare.it/2025/11/15/giangiacomo-feltrinelli-leditore-rivoluzionario/); Salto.bz (https://salto.bz/it/article/08042026/bolivia-sulle-tracce-del-che)). L'editore che di lì a pochi mesi avrebbe pubblicato il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non comprò dunque i diritti da lontano: si presentò sul bordo stesso della guerriglia, due mesi prima della Quebrada del Churo. È il punto di massima prossimità fisica tra il vettore e la parabola che avrebbe trasformato in mito.</w:t>
      </w:r>
    </w:p>
    <w:p>
      <w:pPr>
        <w:spacing w:after="120" w:line="276"/>
        <w:jc w:val="both"/>
      </w:pPr>
      <w:r>
        <w:rPr>
          <w:rFonts w:ascii="Times New Roman" w:cs="Times New Roman" w:eastAsia="Times New Roman" w:hAnsi="Times New Roman"/>
          <w:sz w:val="24"/>
          <w:szCs w:val="24"/>
        </w:rPr>
        <w:t xml:space="preserve">Ma il gesto decisivo fu un altro, e fu di </w:t>
      </w:r>
      <w:r>
        <w:rPr>
          <w:rFonts w:ascii="Times New Roman" w:cs="Times New Roman" w:eastAsia="Times New Roman" w:hAnsi="Times New Roman"/>
          <w:b/>
          <w:bCs/>
          <w:sz w:val="24"/>
          <w:szCs w:val="24"/>
        </w:rPr>
        <w:t xml:space="preserve">marketing</w:t>
      </w:r>
      <w:r>
        <w:rPr>
          <w:rFonts w:ascii="Times New Roman" w:cs="Times New Roman" w:eastAsia="Times New Roman" w:hAnsi="Times New Roman"/>
          <w:sz w:val="24"/>
          <w:szCs w:val="24"/>
        </w:rPr>
        <w:t xml:space="preserve"> prima che di politica: per lanciare il libro, Feltrinelli </w:t>
      </w:r>
      <w:r>
        <w:rPr>
          <w:rFonts w:ascii="Times New Roman" w:cs="Times New Roman" w:eastAsia="Times New Roman" w:hAnsi="Times New Roman"/>
          <w:b/>
          <w:bCs/>
          <w:sz w:val="24"/>
          <w:szCs w:val="24"/>
        </w:rPr>
        <w:t xml:space="preserve">fece stampare centinaia di manifesti</w:t>
      </w:r>
      <w:r>
        <w:rPr>
          <w:rFonts w:ascii="Times New Roman" w:cs="Times New Roman" w:eastAsia="Times New Roman" w:hAnsi="Times New Roman"/>
          <w:sz w:val="24"/>
          <w:szCs w:val="24"/>
        </w:rPr>
        <w:t xml:space="preserve"> con quella fotografia. Furono quei manifesti che gli studenti italiani presero e moltiplicarono nell'estate calda del 1968 (History Ireland (https://historyireland.com/che-guevara-jim-fitzpatrick-and-the-making-of-an-icon/)). È il momento esatto in cui l'immagine si stacca dall'uomo e comincia la sua seconda vita.</w:t>
      </w:r>
    </w:p>
    <w:p>
      <w:pPr>
        <w:spacing w:after="120" w:line="276"/>
        <w:jc w:val="both"/>
      </w:pPr>
      <w:r>
        <w:rPr>
          <w:rFonts w:ascii="Times New Roman" w:cs="Times New Roman" w:eastAsia="Times New Roman" w:hAnsi="Times New Roman"/>
          <w:sz w:val="24"/>
          <w:szCs w:val="24"/>
        </w:rPr>
        <w:t xml:space="preserve">Va detto con la disciplina del corpus: </w:t>
      </w:r>
      <w:r>
        <w:rPr>
          <w:rFonts w:ascii="Times New Roman" w:cs="Times New Roman" w:eastAsia="Times New Roman" w:hAnsi="Times New Roman"/>
          <w:b/>
          <w:bCs/>
          <w:sz w:val="24"/>
          <w:szCs w:val="24"/>
        </w:rPr>
        <w:t xml:space="preserve">il vettore fu questo, e va nominato per quello che è.</w:t>
      </w:r>
      <w:r>
        <w:rPr>
          <w:rFonts w:ascii="Times New Roman" w:cs="Times New Roman" w:eastAsia="Times New Roman" w:hAnsi="Times New Roman"/>
          <w:sz w:val="24"/>
          <w:szCs w:val="24"/>
        </w:rPr>
        <w:t xml:space="preserve"> Non un ordine che passa dall'Avana a Roma, ma un'operazione editoriale — un libro, una copertina, un manifesto — che trasformò un guerrigliero morto in un segno universale. Feltrinelli non </w:t>
      </w:r>
      <w:r>
        <w:rPr>
          <w:rFonts w:ascii="Times New Roman" w:cs="Times New Roman" w:eastAsia="Times New Roman" w:hAnsi="Times New Roman"/>
          <w:i/>
          <w:iCs/>
          <w:sz w:val="24"/>
          <w:szCs w:val="24"/>
        </w:rPr>
        <w:t xml:space="preserve">inventò</w:t>
      </w:r>
      <w:r>
        <w:rPr>
          <w:rFonts w:ascii="Times New Roman" w:cs="Times New Roman" w:eastAsia="Times New Roman" w:hAnsi="Times New Roman"/>
          <w:sz w:val="24"/>
          <w:szCs w:val="24"/>
        </w:rPr>
        <w:t xml:space="preserve"> il mito del Che: lo </w:t>
      </w:r>
      <w:r>
        <w:rPr>
          <w:rFonts w:ascii="Times New Roman" w:cs="Times New Roman" w:eastAsia="Times New Roman" w:hAnsi="Times New Roman"/>
          <w:b/>
          <w:bCs/>
          <w:sz w:val="24"/>
          <w:szCs w:val="24"/>
        </w:rPr>
        <w:t xml:space="preserve">fabbricò materialmente</w:t>
      </w:r>
      <w:r>
        <w:rPr>
          <w:rFonts w:ascii="Times New Roman" w:cs="Times New Roman" w:eastAsia="Times New Roman" w:hAnsi="Times New Roman"/>
          <w:sz w:val="24"/>
          <w:szCs w:val="24"/>
        </w:rPr>
        <w:t xml:space="preserve">, con i mezzi che padroneggiava meglio di chiunque, la stampa e la distribuzione. In questo è, alla lettera, il vettore.</w:t>
      </w:r>
    </w:p>
    <w:p>
      <w:pPr>
        <w:pStyle w:val="Heading2"/>
        <w:spacing w:after="100" w:before="200"/>
      </w:pPr>
      <w:r>
        <w:rPr>
          <w:rFonts w:ascii="Times New Roman" w:cs="Times New Roman" w:eastAsia="Times New Roman" w:hAnsi="Times New Roman"/>
          <w:sz w:val="24"/>
          <w:szCs w:val="24"/>
        </w:rPr>
        <w:t xml:space="preserve">IV. La traversata: dall'editore al clandestino (1968-1970)</w:t>
      </w:r>
    </w:p>
    <w:p>
      <w:pPr>
        <w:spacing w:after="120" w:line="276"/>
        <w:jc w:val="both"/>
      </w:pPr>
      <w:r>
        <w:rPr>
          <w:rFonts w:ascii="Times New Roman" w:cs="Times New Roman" w:eastAsia="Times New Roman" w:hAnsi="Times New Roman"/>
          <w:sz w:val="24"/>
          <w:szCs w:val="24"/>
        </w:rPr>
        <w:t xml:space="preserve">Il passaggio dall'editore al combattente fu la parabola del decennio, e la sua logica è ricostruibile senza dietrologia. Radicalizzatosi dopo il 1968, convinto che in Italia fosse imminente una svolta autoritaria di stampo «greco» (il riferimento era il colpo dei colonnelli del 1967), Feltrinelli passò progressivamente </w:t>
      </w:r>
      <w:r>
        <w:rPr>
          <w:rFonts w:ascii="Times New Roman" w:cs="Times New Roman" w:eastAsia="Times New Roman" w:hAnsi="Times New Roman"/>
          <w:b/>
          <w:bCs/>
          <w:sz w:val="24"/>
          <w:szCs w:val="24"/>
        </w:rPr>
        <w:t xml:space="preserve">alla clandestinità</w:t>
      </w:r>
      <w:r>
        <w:rPr>
          <w:rFonts w:ascii="Times New Roman" w:cs="Times New Roman" w:eastAsia="Times New Roman" w:hAnsi="Times New Roman"/>
          <w:sz w:val="24"/>
          <w:szCs w:val="24"/>
        </w:rPr>
        <w:t xml:space="preserve"> — dove assunse il nome di battaglia </w:t>
      </w:r>
      <w:r>
        <w:rPr>
          <w:rFonts w:ascii="Times New Roman" w:cs="Times New Roman" w:eastAsia="Times New Roman" w:hAnsi="Times New Roman"/>
          <w:b/>
          <w:bCs/>
          <w:sz w:val="24"/>
          <w:szCs w:val="24"/>
        </w:rPr>
        <w:t xml:space="preserve">«Osvaldo»</w:t>
      </w:r>
      <w:r>
        <w:rPr>
          <w:rFonts w:ascii="Times New Roman" w:cs="Times New Roman" w:eastAsia="Times New Roman" w:hAnsi="Times New Roman"/>
          <w:sz w:val="24"/>
          <w:szCs w:val="24"/>
        </w:rPr>
        <w:t xml:space="preserve"> — e fondò </w:t>
      </w:r>
      <w:r>
        <w:rPr>
          <w:rFonts w:ascii="Times New Roman" w:cs="Times New Roman" w:eastAsia="Times New Roman" w:hAnsi="Times New Roman"/>
          <w:b/>
          <w:bCs/>
          <w:sz w:val="24"/>
          <w:szCs w:val="24"/>
        </w:rPr>
        <w:t xml:space="preserve">tra l'aprile e il maggio 1970</w:t>
      </w:r>
      <w:r>
        <w:rPr>
          <w:rFonts w:ascii="Times New Roman" w:cs="Times New Roman" w:eastAsia="Times New Roman" w:hAnsi="Times New Roman"/>
          <w:sz w:val="24"/>
          <w:szCs w:val="24"/>
        </w:rPr>
        <w:t xml:space="preserve"> i </w:t>
      </w:r>
      <w:r>
        <w:rPr>
          <w:rFonts w:ascii="Times New Roman" w:cs="Times New Roman" w:eastAsia="Times New Roman" w:hAnsi="Times New Roman"/>
          <w:b/>
          <w:bCs/>
          <w:sz w:val="24"/>
          <w:szCs w:val="24"/>
        </w:rPr>
        <w:t xml:space="preserve">Gruppi d'Azione Partigiana (GAP)</w:t>
      </w:r>
      <w:r>
        <w:rPr>
          <w:rFonts w:ascii="Times New Roman" w:cs="Times New Roman" w:eastAsia="Times New Roman" w:hAnsi="Times New Roman"/>
          <w:sz w:val="24"/>
          <w:szCs w:val="24"/>
        </w:rPr>
        <w:t xml:space="preserve">: una delle prime formazioni armate italiane, ramificata soprattutto nel Milanese con diramazioni a Genova, in Trentino e a Torino (Wikipedia IT, </w:t>
      </w:r>
      <w:r>
        <w:rPr>
          <w:rFonts w:ascii="Times New Roman" w:cs="Times New Roman" w:eastAsia="Times New Roman" w:hAnsi="Times New Roman"/>
          <w:i/>
          <w:iCs/>
          <w:sz w:val="24"/>
          <w:szCs w:val="24"/>
        </w:rPr>
        <w:t xml:space="preserve">Gruppi d'Azione Partigiana</w:t>
      </w:r>
      <w:r>
        <w:rPr>
          <w:rFonts w:ascii="Times New Roman" w:cs="Times New Roman" w:eastAsia="Times New Roman" w:hAnsi="Times New Roman"/>
          <w:sz w:val="24"/>
          <w:szCs w:val="24"/>
        </w:rPr>
        <w:t xml:space="preserve"> (https://it.wikipedia.org/wiki/Gruppi_d%27Azione_Partigiana)). La sigla fu scelta deliberatamente per </w:t>
      </w:r>
      <w:r>
        <w:rPr>
          <w:rFonts w:ascii="Times New Roman" w:cs="Times New Roman" w:eastAsia="Times New Roman" w:hAnsi="Times New Roman"/>
          <w:b/>
          <w:bCs/>
          <w:sz w:val="24"/>
          <w:szCs w:val="24"/>
        </w:rPr>
        <w:t xml:space="preserve">riprendere quella dei Gruppi di Azione Patriottica</w:t>
      </w:r>
      <w:r>
        <w:rPr>
          <w:rFonts w:ascii="Times New Roman" w:cs="Times New Roman" w:eastAsia="Times New Roman" w:hAnsi="Times New Roman"/>
          <w:sz w:val="24"/>
          <w:szCs w:val="24"/>
        </w:rPr>
        <w:t xml:space="preserve"> della Resistenza (1943-45): un'operazione simbolica che rivendicava una continuità con l'antifascismo armato — rivendicazione, va detto subito, </w:t>
      </w:r>
      <w:r>
        <w:rPr>
          <w:rFonts w:ascii="Times New Roman" w:cs="Times New Roman" w:eastAsia="Times New Roman" w:hAnsi="Times New Roman"/>
          <w:b/>
          <w:bCs/>
          <w:sz w:val="24"/>
          <w:szCs w:val="24"/>
        </w:rPr>
        <w:t xml:space="preserve">non</w:t>
      </w:r>
      <w:r>
        <w:rPr>
          <w:rFonts w:ascii="Times New Roman" w:cs="Times New Roman" w:eastAsia="Times New Roman" w:hAnsi="Times New Roman"/>
          <w:sz w:val="24"/>
          <w:szCs w:val="24"/>
        </w:rPr>
        <w:t xml:space="preserve"> una continuità organizzativa reale, che non esisteva. </w:t>
      </w:r>
      <w:r>
        <w:rPr>
          <w:rFonts w:ascii="Times New Roman" w:cs="Times New Roman" w:eastAsia="Times New Roman" w:hAnsi="Times New Roman"/>
          <w:i/>
          <w:iCs/>
          <w:sz w:val="24"/>
          <w:szCs w:val="24"/>
        </w:rPr>
        <w:t xml:space="preserve">(Nota di revisione: la prima stesura datava la fondazione «intorno al 1970»; la triangolazione la precisa ad aprile-maggio 1970 e documenta la genealogia del nome.)</w:t>
      </w:r>
    </w:p>
    <w:p>
      <w:pPr>
        <w:spacing w:after="120" w:line="276"/>
        <w:jc w:val="both"/>
      </w:pPr>
      <w:r>
        <w:rPr>
          <w:rFonts w:ascii="Times New Roman" w:cs="Times New Roman" w:eastAsia="Times New Roman" w:hAnsi="Times New Roman"/>
          <w:sz w:val="24"/>
          <w:szCs w:val="24"/>
        </w:rPr>
        <w:t xml:space="preserve">Qui il corpus si salda al suo filo maggiore, e il grado di prova resta </w:t>
      </w:r>
      <w:r>
        <w:rPr>
          <w:rFonts w:ascii="Times New Roman" w:cs="Times New Roman" w:eastAsia="Times New Roman" w:hAnsi="Times New Roman"/>
          <w:b/>
          <w:bCs/>
          <w:sz w:val="24"/>
          <w:szCs w:val="24"/>
        </w:rPr>
        <w:t xml:space="preserve">alto</w:t>
      </w:r>
      <w:r>
        <w:rPr>
          <w:rFonts w:ascii="Times New Roman" w:cs="Times New Roman" w:eastAsia="Times New Roman" w:hAnsi="Times New Roman"/>
          <w:sz w:val="24"/>
          <w:szCs w:val="24"/>
        </w:rPr>
        <w:t xml:space="preserve">: le </w:t>
      </w:r>
      <w:r>
        <w:rPr>
          <w:rFonts w:ascii="Times New Roman" w:cs="Times New Roman" w:eastAsia="Times New Roman" w:hAnsi="Times New Roman"/>
          <w:b/>
          <w:bCs/>
          <w:sz w:val="24"/>
          <w:szCs w:val="24"/>
        </w:rPr>
        <w:t xml:space="preserve">Brigate Rosse</w:t>
      </w:r>
      <w:r>
        <w:rPr>
          <w:rFonts w:ascii="Times New Roman" w:cs="Times New Roman" w:eastAsia="Times New Roman" w:hAnsi="Times New Roman"/>
          <w:sz w:val="24"/>
          <w:szCs w:val="24"/>
        </w:rPr>
        <w:t xml:space="preserve">, fondate al convegno di </w:t>
      </w:r>
      <w:r>
        <w:rPr>
          <w:rFonts w:ascii="Times New Roman" w:cs="Times New Roman" w:eastAsia="Times New Roman" w:hAnsi="Times New Roman"/>
          <w:b/>
          <w:bCs/>
          <w:sz w:val="24"/>
          <w:szCs w:val="24"/>
        </w:rPr>
        <w:t xml:space="preserve">Pecorile nell'agosto 1970</w:t>
      </w:r>
      <w:r>
        <w:rPr>
          <w:rFonts w:ascii="Times New Roman" w:cs="Times New Roman" w:eastAsia="Times New Roman" w:hAnsi="Times New Roman"/>
          <w:sz w:val="24"/>
          <w:szCs w:val="24"/>
        </w:rPr>
        <w:t xml:space="preserve">, presero Guevara a modello individuale di riferimento, e — per stessa ammissione di Renato Curcio — i brigatisti andarono «a scuola di guerriglia da Feltrinelli». La genealogia è dichiarata, non congetturata: l'editore che aveva fabbricato l'icona del Che divenne, con i GAP, uno degli </w:t>
      </w:r>
      <w:r>
        <w:rPr>
          <w:rFonts w:ascii="Times New Roman" w:cs="Times New Roman" w:eastAsia="Times New Roman" w:hAnsi="Times New Roman"/>
          <w:b/>
          <w:bCs/>
          <w:sz w:val="24"/>
          <w:szCs w:val="24"/>
        </w:rPr>
        <w:t xml:space="preserve">iniziatori materiali</w:t>
      </w:r>
      <w:r>
        <w:rPr>
          <w:rFonts w:ascii="Times New Roman" w:cs="Times New Roman" w:eastAsia="Times New Roman" w:hAnsi="Times New Roman"/>
          <w:sz w:val="24"/>
          <w:szCs w:val="24"/>
        </w:rPr>
        <w:t xml:space="preserve"> della stagione armata italiana. Il mito che aveva contribuito a costruire con la carta stampata gli si rovesciò addosso come pratica.</w:t>
      </w:r>
    </w:p>
    <w:p>
      <w:pPr>
        <w:pStyle w:val="Heading2"/>
        <w:spacing w:after="100" w:before="200"/>
      </w:pPr>
      <w:r>
        <w:rPr>
          <w:rFonts w:ascii="Times New Roman" w:cs="Times New Roman" w:eastAsia="Times New Roman" w:hAnsi="Times New Roman"/>
          <w:sz w:val="24"/>
          <w:szCs w:val="24"/>
        </w:rPr>
        <w:t xml:space="preserve">V. Segrate: la morte, e ciò che di essa è provato (14-15 marzo 1972)</w:t>
      </w:r>
    </w:p>
    <w:p>
      <w:pPr>
        <w:spacing w:after="120" w:line="276"/>
        <w:jc w:val="both"/>
      </w:pPr>
      <w:r>
        <w:rPr>
          <w:rFonts w:ascii="Times New Roman" w:cs="Times New Roman" w:eastAsia="Times New Roman" w:hAnsi="Times New Roman"/>
          <w:sz w:val="24"/>
          <w:szCs w:val="24"/>
        </w:rPr>
        <w:t xml:space="preserve">Sulla fine bisogna procedere con la massima cautela metodologica, perché è il punto in cui la biografia sfuma nel mistero italiano e la tentazione dietrologica è massima.</w:t>
      </w:r>
    </w:p>
    <w:p>
      <w:pPr>
        <w:spacing w:after="120" w:line="276"/>
        <w:jc w:val="both"/>
      </w:pPr>
      <w:r>
        <w:rPr>
          <w:rFonts w:ascii="Times New Roman" w:cs="Times New Roman" w:eastAsia="Times New Roman" w:hAnsi="Times New Roman"/>
          <w:b/>
          <w:bCs/>
          <w:sz w:val="24"/>
          <w:szCs w:val="24"/>
        </w:rPr>
        <w:t xml:space="preserve">Ciò che è documentato.</w:t>
      </w:r>
      <w:r>
        <w:rPr>
          <w:rFonts w:ascii="Times New Roman" w:cs="Times New Roman" w:eastAsia="Times New Roman" w:hAnsi="Times New Roman"/>
          <w:sz w:val="24"/>
          <w:szCs w:val="24"/>
        </w:rPr>
        <w:t xml:space="preserve"> Feltrinelli morì </w:t>
      </w:r>
      <w:r>
        <w:rPr>
          <w:rFonts w:ascii="Times New Roman" w:cs="Times New Roman" w:eastAsia="Times New Roman" w:hAnsi="Times New Roman"/>
          <w:b/>
          <w:bCs/>
          <w:sz w:val="24"/>
          <w:szCs w:val="24"/>
        </w:rPr>
        <w:t xml:space="preserve">il 14 marzo 1972</w:t>
      </w:r>
      <w:r>
        <w:rPr>
          <w:rFonts w:ascii="Times New Roman" w:cs="Times New Roman" w:eastAsia="Times New Roman" w:hAnsi="Times New Roman"/>
          <w:sz w:val="24"/>
          <w:szCs w:val="24"/>
        </w:rPr>
        <w:t xml:space="preserve">, dilaniato dall'esplosivo </w:t>
      </w:r>
      <w:r>
        <w:rPr>
          <w:rFonts w:ascii="Times New Roman" w:cs="Times New Roman" w:eastAsia="Times New Roman" w:hAnsi="Times New Roman"/>
          <w:b/>
          <w:bCs/>
          <w:sz w:val="24"/>
          <w:szCs w:val="24"/>
        </w:rPr>
        <w:t xml:space="preserve">ai piedi di un traliccio dell'alta tensione presso la Cascina Nuova di Segrate</w:t>
      </w:r>
      <w:r>
        <w:rPr>
          <w:rFonts w:ascii="Times New Roman" w:cs="Times New Roman" w:eastAsia="Times New Roman" w:hAnsi="Times New Roman"/>
          <w:sz w:val="24"/>
          <w:szCs w:val="24"/>
        </w:rPr>
        <w:t xml:space="preserve">, alla periferia di Milano. Il corpo fu </w:t>
      </w:r>
      <w:r>
        <w:rPr>
          <w:rFonts w:ascii="Times New Roman" w:cs="Times New Roman" w:eastAsia="Times New Roman" w:hAnsi="Times New Roman"/>
          <w:b/>
          <w:bCs/>
          <w:sz w:val="24"/>
          <w:szCs w:val="24"/>
        </w:rPr>
        <w:t xml:space="preserve">ritrovato il pomeriggio del 15 marzo</w:t>
      </w:r>
      <w:r>
        <w:rPr>
          <w:rFonts w:ascii="Times New Roman" w:cs="Times New Roman" w:eastAsia="Times New Roman" w:hAnsi="Times New Roman"/>
          <w:sz w:val="24"/>
          <w:szCs w:val="24"/>
        </w:rPr>
        <w:t xml:space="preserve"> dal contadino </w:t>
      </w:r>
      <w:r>
        <w:rPr>
          <w:rFonts w:ascii="Times New Roman" w:cs="Times New Roman" w:eastAsia="Times New Roman" w:hAnsi="Times New Roman"/>
          <w:b/>
          <w:bCs/>
          <w:sz w:val="24"/>
          <w:szCs w:val="24"/>
        </w:rPr>
        <w:t xml:space="preserve">Luigi Stringhetti</w:t>
      </w:r>
      <w:r>
        <w:rPr>
          <w:rFonts w:ascii="Times New Roman" w:cs="Times New Roman" w:eastAsia="Times New Roman" w:hAnsi="Times New Roman"/>
          <w:sz w:val="24"/>
          <w:szCs w:val="24"/>
        </w:rPr>
        <w:t xml:space="preserve">; portava documenti falsi intestati a «Vincenzo Maggioni», e solo ventiquattr'ore dopo il ritrovamento gli inquirenti ne stabilirono la vera identità (Il Post (https://www.ilpost.it/2022/03/14/giangiacomo-feltrinelli/); Fatti per la Storia (https://www.fattiperlastoria.it/morte-feltrinelli/); Wikipedia EN (https://en.wikipedia.org/wiki/Giangiacomo_Feltrinelli)). </w:t>
      </w:r>
      <w:r>
        <w:rPr>
          <w:rFonts w:ascii="Times New Roman" w:cs="Times New Roman" w:eastAsia="Times New Roman" w:hAnsi="Times New Roman"/>
          <w:i/>
          <w:iCs/>
          <w:sz w:val="24"/>
          <w:szCs w:val="24"/>
        </w:rPr>
        <w:t xml:space="preserve">(Nota di revisione: la prima stesura registrava un'oscillazione delle fonti fra il 14 e il 15 marzo; la triangolazione l'ha sciolta — la morte è del 14, il ritrovamento del 15. Le fonti che riportano l'una o l'altra data si riferiscono a due momenti diversi della stessa vicenda.)</w:t>
      </w:r>
    </w:p>
    <w:p>
      <w:pPr>
        <w:spacing w:after="120" w:line="276"/>
        <w:jc w:val="both"/>
      </w:pPr>
      <w:r>
        <w:rPr>
          <w:rFonts w:ascii="Times New Roman" w:cs="Times New Roman" w:eastAsia="Times New Roman" w:hAnsi="Times New Roman"/>
          <w:b/>
          <w:bCs/>
          <w:sz w:val="24"/>
          <w:szCs w:val="24"/>
        </w:rPr>
        <w:t xml:space="preserve">La ricostruzione giudiziaria (grado alto).</w:t>
      </w:r>
      <w:r>
        <w:rPr>
          <w:rFonts w:ascii="Times New Roman" w:cs="Times New Roman" w:eastAsia="Times New Roman" w:hAnsi="Times New Roman"/>
          <w:sz w:val="24"/>
          <w:szCs w:val="24"/>
        </w:rPr>
        <w:t xml:space="preserve"> In un processo antiterrorismo del </w:t>
      </w:r>
      <w:r>
        <w:rPr>
          <w:rFonts w:ascii="Times New Roman" w:cs="Times New Roman" w:eastAsia="Times New Roman" w:hAnsi="Times New Roman"/>
          <w:b/>
          <w:bCs/>
          <w:sz w:val="24"/>
          <w:szCs w:val="24"/>
        </w:rPr>
        <w:t xml:space="preserve">1979</w:t>
      </w:r>
      <w:r>
        <w:rPr>
          <w:rFonts w:ascii="Times New Roman" w:cs="Times New Roman" w:eastAsia="Times New Roman" w:hAnsi="Times New Roman"/>
          <w:sz w:val="24"/>
          <w:szCs w:val="24"/>
        </w:rPr>
        <w:t xml:space="preserve">, imputati delle Brigate Rosse dichiararono che Feltrinelli era impegnato in un'</w:t>
      </w:r>
      <w:r>
        <w:rPr>
          <w:rFonts w:ascii="Times New Roman" w:cs="Times New Roman" w:eastAsia="Times New Roman" w:hAnsi="Times New Roman"/>
          <w:b/>
          <w:bCs/>
          <w:sz w:val="24"/>
          <w:szCs w:val="24"/>
        </w:rPr>
        <w:t xml:space="preserve">operazione di sabotaggio dei tralicci</w:t>
      </w:r>
      <w:r>
        <w:rPr>
          <w:rFonts w:ascii="Times New Roman" w:cs="Times New Roman" w:eastAsia="Times New Roman" w:hAnsi="Times New Roman"/>
          <w:sz w:val="24"/>
          <w:szCs w:val="24"/>
        </w:rPr>
        <w:t xml:space="preserve"> per provocare un blackout su una vasta area di Milano, e che un </w:t>
      </w:r>
      <w:r>
        <w:rPr>
          <w:rFonts w:ascii="Times New Roman" w:cs="Times New Roman" w:eastAsia="Times New Roman" w:hAnsi="Times New Roman"/>
          <w:b/>
          <w:bCs/>
          <w:sz w:val="24"/>
          <w:szCs w:val="24"/>
        </w:rPr>
        <w:t xml:space="preserve">errore tecnico</w:t>
      </w:r>
      <w:r>
        <w:rPr>
          <w:rFonts w:ascii="Times New Roman" w:cs="Times New Roman" w:eastAsia="Times New Roman" w:hAnsi="Times New Roman"/>
          <w:sz w:val="24"/>
          <w:szCs w:val="24"/>
        </w:rPr>
        <w:t xml:space="preserve"> nel maneggiare l'esplosivo ne causò la morte accidentale (Wikipedia EN (https://en.wikipedia.org/wiki/Giangiacomo_Feltrinelli)). La ricostruzione trova riscontro nei </w:t>
      </w:r>
      <w:r>
        <w:rPr>
          <w:rFonts w:ascii="Times New Roman" w:cs="Times New Roman" w:eastAsia="Times New Roman" w:hAnsi="Times New Roman"/>
          <w:b/>
          <w:bCs/>
          <w:sz w:val="24"/>
          <w:szCs w:val="24"/>
        </w:rPr>
        <w:t xml:space="preserve">nastri rinvenuti nel covo BR di Robbiano di Mediglia</w:t>
      </w:r>
      <w:r>
        <w:rPr>
          <w:rFonts w:ascii="Times New Roman" w:cs="Times New Roman" w:eastAsia="Times New Roman" w:hAnsi="Times New Roman"/>
          <w:sz w:val="24"/>
          <w:szCs w:val="24"/>
        </w:rPr>
        <w:t xml:space="preserve">, in cui si descrive «Osvaldo» seduto con i candelotti sotto la gamba mentre prepara la carica (Il Post (https://www.ilpost.it/2022/03/14/giangiacomo-feltrinelli/)). Questa è la versione che il vaglio processuale ha accolto: la morte del sabotatore per sua stessa mano.</w:t>
      </w:r>
    </w:p>
    <w:p>
      <w:pPr>
        <w:spacing w:after="120" w:line="276"/>
        <w:jc w:val="both"/>
      </w:pPr>
      <w:r>
        <w:rPr>
          <w:rFonts w:ascii="Times New Roman" w:cs="Times New Roman" w:eastAsia="Times New Roman" w:hAnsi="Times New Roman"/>
          <w:b/>
          <w:bCs/>
          <w:sz w:val="24"/>
          <w:szCs w:val="24"/>
        </w:rPr>
        <w:t xml:space="preserve">Ciò che è congettura (e come tale va lasciata).</w:t>
      </w:r>
      <w:r>
        <w:rPr>
          <w:rFonts w:ascii="Times New Roman" w:cs="Times New Roman" w:eastAsia="Times New Roman" w:hAnsi="Times New Roman"/>
          <w:sz w:val="24"/>
          <w:szCs w:val="24"/>
        </w:rPr>
        <w:t xml:space="preserve"> Fin dal primo momento circolò — e in parte ancora circola — la tesi che dietro la morte vi fosse una regia dei </w:t>
      </w:r>
      <w:r>
        <w:rPr>
          <w:rFonts w:ascii="Times New Roman" w:cs="Times New Roman" w:eastAsia="Times New Roman" w:hAnsi="Times New Roman"/>
          <w:b/>
          <w:bCs/>
          <w:sz w:val="24"/>
          <w:szCs w:val="24"/>
        </w:rPr>
        <w:t xml:space="preserve">servizi segreti</w:t>
      </w:r>
      <w:r>
        <w:rPr>
          <w:rFonts w:ascii="Times New Roman" w:cs="Times New Roman" w:eastAsia="Times New Roman" w:hAnsi="Times New Roman"/>
          <w:sz w:val="24"/>
          <w:szCs w:val="24"/>
        </w:rPr>
        <w:t xml:space="preserve">, che avevano informatori nei gruppi clandestini, e che l'incidente fosse stato provocato o mascherato (Italy On This Day (https://www.italyonthisday.com/2018/03/giangiacomo-feltrinelli-Italian-publisher-death-bomb-Milan.html)). Il corpus la registra per ciò che è: un </w:t>
      </w:r>
      <w:r>
        <w:rPr>
          <w:rFonts w:ascii="Times New Roman" w:cs="Times New Roman" w:eastAsia="Times New Roman" w:hAnsi="Times New Roman"/>
          <w:b/>
          <w:bCs/>
          <w:sz w:val="24"/>
          <w:szCs w:val="24"/>
        </w:rPr>
        <w:t xml:space="preserve">sospetto diffuso ma non provato in giudizio</w:t>
      </w:r>
      <w:r>
        <w:rPr>
          <w:rFonts w:ascii="Times New Roman" w:cs="Times New Roman" w:eastAsia="Times New Roman" w:hAnsi="Times New Roman"/>
          <w:sz w:val="24"/>
          <w:szCs w:val="24"/>
        </w:rPr>
        <w:t xml:space="preserve">. Non lo si promuove a fatto, non lo si liquida come impossibile; lo si lascia nella sua categoria, la congettura, dove la documentazione lo colloca. Nessun nome, nessuna imputazione oltre il giudicato: è la stessa disciplina che il corpus applica al Che a La Higuera e a Moro in via Caetani.</w:t>
      </w:r>
    </w:p>
    <w:p>
      <w:pPr>
        <w:pStyle w:val="Heading2"/>
        <w:spacing w:after="100" w:before="200"/>
      </w:pPr>
      <w:r>
        <w:rPr>
          <w:rFonts w:ascii="Times New Roman" w:cs="Times New Roman" w:eastAsia="Times New Roman" w:hAnsi="Times New Roman"/>
          <w:sz w:val="24"/>
          <w:szCs w:val="24"/>
        </w:rPr>
        <w:t xml:space="preserve">VI. Bilancio: che cosa fu, davvero, il vettore</w:t>
      </w:r>
    </w:p>
    <w:p>
      <w:pPr>
        <w:spacing w:after="120" w:line="276"/>
        <w:jc w:val="both"/>
      </w:pPr>
      <w:r>
        <w:rPr>
          <w:rFonts w:ascii="Times New Roman" w:cs="Times New Roman" w:eastAsia="Times New Roman" w:hAnsi="Times New Roman"/>
          <w:sz w:val="24"/>
          <w:szCs w:val="24"/>
        </w:rPr>
        <w:t xml:space="preserve">Chiuso l'arco biografico, tiriamo le somme con la stessa onestà che il corpus esige altrove.</w:t>
      </w:r>
    </w:p>
    <w:p>
      <w:pPr>
        <w:spacing w:after="120" w:line="276"/>
        <w:jc w:val="both"/>
      </w:pPr>
      <w:r>
        <w:rPr>
          <w:rFonts w:ascii="Times New Roman" w:cs="Times New Roman" w:eastAsia="Times New Roman" w:hAnsi="Times New Roman"/>
          <w:b/>
          <w:bCs/>
          <w:sz w:val="24"/>
          <w:szCs w:val="24"/>
        </w:rPr>
        <w:t xml:space="preserve">È documentato</w:t>
      </w:r>
      <w:r>
        <w:rPr>
          <w:rFonts w:ascii="Times New Roman" w:cs="Times New Roman" w:eastAsia="Times New Roman" w:hAnsi="Times New Roman"/>
          <w:sz w:val="24"/>
          <w:szCs w:val="24"/>
        </w:rPr>
        <w:t xml:space="preserve">: che Feltrinelli fu un grandissimo editore civile (Živago, il Gattopardo, la Fondazione); che fu </w:t>
      </w:r>
      <w:r>
        <w:rPr>
          <w:rFonts w:ascii="Times New Roman" w:cs="Times New Roman" w:eastAsia="Times New Roman" w:hAnsi="Times New Roman"/>
          <w:b/>
          <w:bCs/>
          <w:sz w:val="24"/>
          <w:szCs w:val="24"/>
        </w:rPr>
        <w:t xml:space="preserve">il vettore materiale del mito del Che</w:t>
      </w:r>
      <w:r>
        <w:rPr>
          <w:rFonts w:ascii="Times New Roman" w:cs="Times New Roman" w:eastAsia="Times New Roman" w:hAnsi="Times New Roman"/>
          <w:sz w:val="24"/>
          <w:szCs w:val="24"/>
        </w:rPr>
        <w:t xml:space="preserve"> (acquisto dei diritti e della foto nel 1967,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con copertina Korda nel 1968, i manifesti); che nell'agosto 1967 andò in Bolivia, dove fu arrestato ed espulso durante il processo Debray; che fondò i GAP nell'aprile-maggio 1970 come nucleo di lotta armata, riprendendone il nome dalla Resistenza; che le BR lo ebbero, con Guevara, tra i propri riferimenti fondativi; che morì a Segrate presso un traliccio, dilaniato dall'esplosivo, il 14 marzo 1972, e fu ritrovato il 15.</w:t>
      </w:r>
    </w:p>
    <w:p>
      <w:pPr>
        <w:spacing w:after="120" w:line="276"/>
        <w:jc w:val="both"/>
      </w:pPr>
      <w:r>
        <w:rPr>
          <w:rFonts w:ascii="Times New Roman" w:cs="Times New Roman" w:eastAsia="Times New Roman" w:hAnsi="Times New Roman"/>
          <w:b/>
          <w:bCs/>
          <w:sz w:val="24"/>
          <w:szCs w:val="24"/>
        </w:rPr>
        <w:t xml:space="preserve">È convergenza, non nesso</w:t>
      </w:r>
      <w:r>
        <w:rPr>
          <w:rFonts w:ascii="Times New Roman" w:cs="Times New Roman" w:eastAsia="Times New Roman" w:hAnsi="Times New Roman"/>
          <w:sz w:val="24"/>
          <w:szCs w:val="24"/>
        </w:rPr>
        <w:t xml:space="preserve">: la simmetria fra l'editore che </w:t>
      </w:r>
      <w:r>
        <w:rPr>
          <w:rFonts w:ascii="Times New Roman" w:cs="Times New Roman" w:eastAsia="Times New Roman" w:hAnsi="Times New Roman"/>
          <w:i/>
          <w:iCs/>
          <w:sz w:val="24"/>
          <w:szCs w:val="24"/>
        </w:rPr>
        <w:t xml:space="preserve">fabbrica</w:t>
      </w:r>
      <w:r>
        <w:rPr>
          <w:rFonts w:ascii="Times New Roman" w:cs="Times New Roman" w:eastAsia="Times New Roman" w:hAnsi="Times New Roman"/>
          <w:sz w:val="24"/>
          <w:szCs w:val="24"/>
        </w:rPr>
        <w:t xml:space="preserve"> il mito rivoluzionario e il militante che </w:t>
      </w:r>
      <w:r>
        <w:rPr>
          <w:rFonts w:ascii="Times New Roman" w:cs="Times New Roman" w:eastAsia="Times New Roman" w:hAnsi="Times New Roman"/>
          <w:i/>
          <w:iCs/>
          <w:sz w:val="24"/>
          <w:szCs w:val="24"/>
        </w:rPr>
        <w:t xml:space="preserve">pratica</w:t>
      </w:r>
      <w:r>
        <w:rPr>
          <w:rFonts w:ascii="Times New Roman" w:cs="Times New Roman" w:eastAsia="Times New Roman" w:hAnsi="Times New Roman"/>
          <w:sz w:val="24"/>
          <w:szCs w:val="24"/>
        </w:rPr>
        <w:t xml:space="preserve"> la lotta armata è reale e biograficamente continua nella stessa persona — ma non fa di Feltrinelli il regista di ciò che le BR fecero dopo di lui e senza di lui. Fu un iniziatore, non un mandante di via Fani: morì sei anni prima, e la distanza fra il suo gesto e l'esecuzione di un prigioniero inerme è la stessa distanza morale che il corpus ha già segnato fra il Che dei diari e il Che dei muri.</w:t>
      </w:r>
    </w:p>
    <w:p>
      <w:pPr>
        <w:spacing w:after="120" w:line="276"/>
        <w:jc w:val="both"/>
      </w:pPr>
      <w:r>
        <w:rPr>
          <w:rFonts w:ascii="Times New Roman" w:cs="Times New Roman" w:eastAsia="Times New Roman" w:hAnsi="Times New Roman"/>
          <w:b/>
          <w:bCs/>
          <w:sz w:val="24"/>
          <w:szCs w:val="24"/>
        </w:rPr>
        <w:t xml:space="preserve">È congettura</w:t>
      </w:r>
      <w:r>
        <w:rPr>
          <w:rFonts w:ascii="Times New Roman" w:cs="Times New Roman" w:eastAsia="Times New Roman" w:hAnsi="Times New Roman"/>
          <w:sz w:val="24"/>
          <w:szCs w:val="24"/>
        </w:rPr>
        <w:t xml:space="preserve">: che la sua morte sia stata un omicidio di Stato mascherato. Non è provato. Resta il sospetto, e resta tale.</w:t>
      </w:r>
    </w:p>
    <w:p>
      <w:pPr>
        <w:spacing w:after="120" w:line="276"/>
        <w:jc w:val="both"/>
      </w:pPr>
      <w:r>
        <w:rPr>
          <w:rFonts w:ascii="Times New Roman" w:cs="Times New Roman" w:eastAsia="Times New Roman" w:hAnsi="Times New Roman"/>
          <w:sz w:val="24"/>
          <w:szCs w:val="24"/>
        </w:rPr>
        <w:t xml:space="preserve">Il senso della figura è tutto in questa frase, che il corpus può ora scrivere con le prove in mano: </w:t>
      </w:r>
      <w:r>
        <w:rPr>
          <w:rFonts w:ascii="Times New Roman" w:cs="Times New Roman" w:eastAsia="Times New Roman" w:hAnsi="Times New Roman"/>
          <w:b/>
          <w:bCs/>
          <w:sz w:val="24"/>
          <w:szCs w:val="24"/>
        </w:rPr>
        <w:t xml:space="preserve">Feltrinelli fu l'uomo che sapeva, meglio di chiunque in Italia, trasformare un contenuto in simbolo</w:t>
      </w:r>
      <w:r>
        <w:rPr>
          <w:rFonts w:ascii="Times New Roman" w:cs="Times New Roman" w:eastAsia="Times New Roman" w:hAnsi="Times New Roman"/>
          <w:sz w:val="24"/>
          <w:szCs w:val="24"/>
        </w:rPr>
        <w:t xml:space="preserve"> — e applicò quel talento raro prima ai libri, poi a una fotografia, infine a se stesso, facendosi bandiera di una guerra che credeva imminente e che, nella forma che immaginava, non venne. Il vettore del mito fu, alla fine, vettore anche della propria fine.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Fonti</w:t>
      </w:r>
    </w:p>
    <w:p>
      <w:pPr>
        <w:spacing w:after="120" w:line="276"/>
        <w:jc w:val="both"/>
      </w:pPr>
      <w:r>
        <w:rPr>
          <w:rFonts w:ascii="Times New Roman" w:cs="Times New Roman" w:eastAsia="Times New Roman" w:hAnsi="Times New Roman"/>
          <w:b/>
          <w:bCs/>
          <w:sz w:val="24"/>
          <w:szCs w:val="24"/>
        </w:rPr>
        <w:t xml:space="preserve">Biografiche.</w:t>
      </w:r>
      <w:r>
        <w:rPr>
          <w:rFonts w:ascii="Times New Roman" w:cs="Times New Roman" w:eastAsia="Times New Roman" w:hAnsi="Times New Roman"/>
          <w:sz w:val="24"/>
          <w:szCs w:val="24"/>
        </w:rPr>
        <w:t xml:space="preserve"> Carlo Feltrinelli, </w:t>
      </w:r>
      <w:r>
        <w:rPr>
          <w:rFonts w:ascii="Times New Roman" w:cs="Times New Roman" w:eastAsia="Times New Roman" w:hAnsi="Times New Roman"/>
          <w:i/>
          <w:iCs/>
          <w:sz w:val="24"/>
          <w:szCs w:val="24"/>
        </w:rPr>
        <w:t xml:space="preserve">Senior Service. Biografia di Giangiacomo Feltrinelli</w:t>
      </w:r>
      <w:r>
        <w:rPr>
          <w:rFonts w:ascii="Times New Roman" w:cs="Times New Roman" w:eastAsia="Times New Roman" w:hAnsi="Times New Roman"/>
          <w:sz w:val="24"/>
          <w:szCs w:val="24"/>
        </w:rPr>
        <w:t xml:space="preserve"> (Feltrinelli, 1999; ed. inglese </w:t>
      </w:r>
      <w:r>
        <w:rPr>
          <w:rFonts w:ascii="Times New Roman" w:cs="Times New Roman" w:eastAsia="Times New Roman" w:hAnsi="Times New Roman"/>
          <w:i/>
          <w:iCs/>
          <w:sz w:val="24"/>
          <w:szCs w:val="24"/>
        </w:rPr>
        <w:t xml:space="preserve">Senior Service</w:t>
      </w:r>
      <w:r>
        <w:rPr>
          <w:rFonts w:ascii="Times New Roman" w:cs="Times New Roman" w:eastAsia="Times New Roman" w:hAnsi="Times New Roman"/>
          <w:sz w:val="24"/>
          <w:szCs w:val="24"/>
        </w:rPr>
        <w:t xml:space="preserve">, Granta) — biografia scritta dal figlio, fonte ricchissima ma </w:t>
      </w:r>
      <w:r>
        <w:rPr>
          <w:rFonts w:ascii="Times New Roman" w:cs="Times New Roman" w:eastAsia="Times New Roman" w:hAnsi="Times New Roman"/>
          <w:b/>
          <w:bCs/>
          <w:sz w:val="24"/>
          <w:szCs w:val="24"/>
        </w:rPr>
        <w:t xml:space="preserve">filiale</w:t>
      </w:r>
      <w:r>
        <w:rPr>
          <w:rFonts w:ascii="Times New Roman" w:cs="Times New Roman" w:eastAsia="Times New Roman" w:hAnsi="Times New Roman"/>
          <w:sz w:val="24"/>
          <w:szCs w:val="24"/>
        </w:rPr>
        <w:t xml:space="preserve">, da usare con la cautela che ogni fonte di parte impone (Granta (https://granta.com/products/senior-service/); Internet Archive (https://archive.org/details/seniorservice0000felt)). John Foot, «No. 1 Scapegoat», </w:t>
      </w:r>
      <w:r>
        <w:rPr>
          <w:rFonts w:ascii="Times New Roman" w:cs="Times New Roman" w:eastAsia="Times New Roman" w:hAnsi="Times New Roman"/>
          <w:i/>
          <w:iCs/>
          <w:sz w:val="24"/>
          <w:szCs w:val="24"/>
        </w:rPr>
        <w:t xml:space="preserve">London Review of Books</w:t>
      </w:r>
      <w:r>
        <w:rPr>
          <w:rFonts w:ascii="Times New Roman" w:cs="Times New Roman" w:eastAsia="Times New Roman" w:hAnsi="Times New Roman"/>
          <w:sz w:val="24"/>
          <w:szCs w:val="24"/>
        </w:rPr>
        <w:t xml:space="preserve">, v. 24 n. 3 (LRB (https://www.lrb.co.uk/the-paper/v24/n03/john-foot/no.-1-scapegoat)).</w:t>
      </w:r>
    </w:p>
    <w:p>
      <w:pPr>
        <w:spacing w:after="120" w:line="276"/>
        <w:jc w:val="both"/>
      </w:pPr>
      <w:r>
        <w:rPr>
          <w:rFonts w:ascii="Times New Roman" w:cs="Times New Roman" w:eastAsia="Times New Roman" w:hAnsi="Times New Roman"/>
          <w:b/>
          <w:bCs/>
          <w:sz w:val="24"/>
          <w:szCs w:val="24"/>
        </w:rPr>
        <w:t xml:space="preserve">Enciclopediche e giornalistiche</w:t>
      </w:r>
      <w:r>
        <w:rPr>
          <w:rFonts w:ascii="Times New Roman" w:cs="Times New Roman" w:eastAsia="Times New Roman" w:hAnsi="Times New Roman"/>
          <w:sz w:val="24"/>
          <w:szCs w:val="24"/>
        </w:rPr>
        <w:t xml:space="preserve"> (per fatti non controversi): Wikipedia, </w:t>
      </w:r>
      <w:r>
        <w:rPr>
          <w:rFonts w:ascii="Times New Roman" w:cs="Times New Roman" w:eastAsia="Times New Roman" w:hAnsi="Times New Roman"/>
          <w:i/>
          <w:iCs/>
          <w:sz w:val="24"/>
          <w:szCs w:val="24"/>
        </w:rPr>
        <w:t xml:space="preserve">Giangiacomo Feltrinelli</w:t>
      </w:r>
      <w:r>
        <w:rPr>
          <w:rFonts w:ascii="Times New Roman" w:cs="Times New Roman" w:eastAsia="Times New Roman" w:hAnsi="Times New Roman"/>
          <w:sz w:val="24"/>
          <w:szCs w:val="24"/>
        </w:rPr>
        <w:t xml:space="preserve"> (https://en.wikipedia.org/wiki/Giangiacomo_Feltrinelli); Wikipedia, </w:t>
      </w:r>
      <w:r>
        <w:rPr>
          <w:rFonts w:ascii="Times New Roman" w:cs="Times New Roman" w:eastAsia="Times New Roman" w:hAnsi="Times New Roman"/>
          <w:i/>
          <w:iCs/>
          <w:sz w:val="24"/>
          <w:szCs w:val="24"/>
        </w:rPr>
        <w:t xml:space="preserve">Doctor Zhivago</w:t>
      </w:r>
      <w:r>
        <w:rPr>
          <w:rFonts w:ascii="Times New Roman" w:cs="Times New Roman" w:eastAsia="Times New Roman" w:hAnsi="Times New Roman"/>
          <w:sz w:val="24"/>
          <w:szCs w:val="24"/>
        </w:rPr>
        <w:t xml:space="preserve"> (https://en.wikipedia.org/wiki/Doctor_Zhivago_(novel)); Wikipedia, </w:t>
      </w:r>
      <w:r>
        <w:rPr>
          <w:rFonts w:ascii="Times New Roman" w:cs="Times New Roman" w:eastAsia="Times New Roman" w:hAnsi="Times New Roman"/>
          <w:i/>
          <w:iCs/>
          <w:sz w:val="24"/>
          <w:szCs w:val="24"/>
        </w:rPr>
        <w:t xml:space="preserve">The Leopard</w:t>
      </w:r>
      <w:r>
        <w:rPr>
          <w:rFonts w:ascii="Times New Roman" w:cs="Times New Roman" w:eastAsia="Times New Roman" w:hAnsi="Times New Roman"/>
          <w:sz w:val="24"/>
          <w:szCs w:val="24"/>
        </w:rPr>
        <w:t xml:space="preserve"> (https://en.wikipedia.org/wiki/The_Leopard); Wikipedia, </w:t>
      </w:r>
      <w:r>
        <w:rPr>
          <w:rFonts w:ascii="Times New Roman" w:cs="Times New Roman" w:eastAsia="Times New Roman" w:hAnsi="Times New Roman"/>
          <w:i/>
          <w:iCs/>
          <w:sz w:val="24"/>
          <w:szCs w:val="24"/>
        </w:rPr>
        <w:t xml:space="preserve">Guerrillero Heroico</w:t>
      </w:r>
      <w:r>
        <w:rPr>
          <w:rFonts w:ascii="Times New Roman" w:cs="Times New Roman" w:eastAsia="Times New Roman" w:hAnsi="Times New Roman"/>
          <w:sz w:val="24"/>
          <w:szCs w:val="24"/>
        </w:rPr>
        <w:t xml:space="preserve"> (https://en.wikipedia.org/wiki/Guerrillero_Heroico); </w:t>
      </w:r>
      <w:r>
        <w:rPr>
          <w:rFonts w:ascii="Times New Roman" w:cs="Times New Roman" w:eastAsia="Times New Roman" w:hAnsi="Times New Roman"/>
          <w:i/>
          <w:iCs/>
          <w:sz w:val="24"/>
          <w:szCs w:val="24"/>
        </w:rPr>
        <w:t xml:space="preserve">Italy On This Day</w:t>
      </w:r>
      <w:r>
        <w:rPr>
          <w:rFonts w:ascii="Times New Roman" w:cs="Times New Roman" w:eastAsia="Times New Roman" w:hAnsi="Times New Roman"/>
          <w:sz w:val="24"/>
          <w:szCs w:val="24"/>
        </w:rPr>
        <w:t xml:space="preserve"> (link (https://www.italyonthisday.com/2018/03/giangiacomo-feltrinelli-Italian-publisher-death-bomb-Milan.html)); </w:t>
      </w:r>
      <w:r>
        <w:rPr>
          <w:rFonts w:ascii="Times New Roman" w:cs="Times New Roman" w:eastAsia="Times New Roman" w:hAnsi="Times New Roman"/>
          <w:i/>
          <w:iCs/>
          <w:sz w:val="24"/>
          <w:szCs w:val="24"/>
        </w:rPr>
        <w:t xml:space="preserve">History Ireland</w:t>
      </w:r>
      <w:r>
        <w:rPr>
          <w:rFonts w:ascii="Times New Roman" w:cs="Times New Roman" w:eastAsia="Times New Roman" w:hAnsi="Times New Roman"/>
          <w:sz w:val="24"/>
          <w:szCs w:val="24"/>
        </w:rPr>
        <w:t xml:space="preserve"> (link (https://historyireland.com/che-guevara-jim-fitzpatrick-and-the-making-of-an-icon/)).</w:t>
      </w:r>
    </w:p>
    <w:p>
      <w:pPr>
        <w:spacing w:after="120" w:line="276"/>
        <w:jc w:val="both"/>
      </w:pPr>
      <w:r>
        <w:rPr>
          <w:rFonts w:ascii="Times New Roman" w:cs="Times New Roman" w:eastAsia="Times New Roman" w:hAnsi="Times New Roman"/>
          <w:b/>
          <w:bCs/>
          <w:sz w:val="24"/>
          <w:szCs w:val="24"/>
        </w:rPr>
        <w:t xml:space="preserve">Istituzionali.</w:t>
      </w:r>
      <w:r>
        <w:rPr>
          <w:rFonts w:ascii="Times New Roman" w:cs="Times New Roman" w:eastAsia="Times New Roman" w:hAnsi="Times New Roman"/>
          <w:sz w:val="24"/>
          <w:szCs w:val="24"/>
        </w:rPr>
        <w:t xml:space="preserve"> Fondazione Giangiacomo Feltrinelli, sezioni </w:t>
      </w:r>
      <w:r>
        <w:rPr>
          <w:rFonts w:ascii="Times New Roman" w:cs="Times New Roman" w:eastAsia="Times New Roman" w:hAnsi="Times New Roman"/>
          <w:i/>
          <w:iCs/>
          <w:sz w:val="24"/>
          <w:szCs w:val="24"/>
        </w:rPr>
        <w:t xml:space="preserve">About us</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Library</w:t>
      </w:r>
      <w:r>
        <w:rPr>
          <w:rFonts w:ascii="Times New Roman" w:cs="Times New Roman" w:eastAsia="Times New Roman" w:hAnsi="Times New Roman"/>
          <w:sz w:val="24"/>
          <w:szCs w:val="24"/>
        </w:rPr>
        <w:t xml:space="preserve"> (fondazionefeltrinelli.it (https://fondazionefeltrinelli.it/en/about-us-4/)).</w:t>
      </w:r>
    </w:p>
    <w:p>
      <w:pPr>
        <w:spacing w:after="120" w:line="276"/>
        <w:jc w:val="both"/>
      </w:pPr>
      <w:r>
        <w:rPr>
          <w:rFonts w:ascii="Times New Roman" w:cs="Times New Roman" w:eastAsia="Times New Roman" w:hAnsi="Times New Roman"/>
          <w:i/>
          <w:iCs/>
          <w:sz w:val="24"/>
          <w:szCs w:val="24"/>
        </w:rPr>
        <w:t xml:space="preserve">La cronologia della morte è stata sciolta in triangolazione (morte il 14 marzo 1972, ritrovamento il 15; v. nota di revisione al § V). La ricostruzione segue il vaglio processuale del 1979, riscontrata sui nastri di Robbiano di Mediglia; la tesi dell'omicidio di Stato è registrata come congettura non provata. Fonti aggiunte in revisione: Treccani, Dizionario Biografico (https://www.treccani.it/enciclopedia/giangiacomo-feltrinelli_(Dizionario-Biografico)/); Il Post (https://www.ilpost.it/2022/03/14/giangiacomo-feltrinelli/); Wikipedia IT, GAP (https://it.wikipedia.org/wiki/Gruppi_d%27Azione_Partigiana). Nessuna imputazione oltre il giudicato.</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Studio monografico su Giangiacomo Feltrinelli (1926-1972), il vettore del mito del Che. Si salda a monte con la parabola guevariana (`guevara-campagna-boliviana-1966-1967.md`) e a valle con il saggio di sintesi (`dal-che-a-moro-una-guerra-senza-fine.md`), di cui approfondisce l'anello centrale. Ricostruzione storica, senza agiografia né dietrologia.</w:t>
      </w:r>
    </w:p>
    <w:p>
      <w:r>
        <w:br w:type="page"/>
      </w:r>
    </w:p>
    <w:p>
      <w:pPr>
        <w:pStyle w:val="Heading1"/>
        <w:spacing w:after="120" w:before="240"/>
      </w:pPr>
      <w:r>
        <w:rPr>
          <w:rFonts w:ascii="Times New Roman" w:cs="Times New Roman" w:eastAsia="Times New Roman" w:hAnsi="Times New Roman"/>
          <w:sz w:val="24"/>
          <w:szCs w:val="24"/>
        </w:rPr>
        <w:t xml:space="preserve">Triangolazione: Feltrinelli e il corpus</w:t>
      </w:r>
    </w:p>
    <w:p>
      <w:pPr>
        <w:spacing w:after="120" w:line="276"/>
        <w:jc w:val="both"/>
      </w:pPr>
      <w:r>
        <w:rPr>
          <w:rFonts w:ascii="Times New Roman" w:cs="Times New Roman" w:eastAsia="Times New Roman" w:hAnsi="Times New Roman"/>
          <w:i/>
          <w:iCs/>
          <w:sz w:val="24"/>
          <w:szCs w:val="24"/>
        </w:rPr>
        <w:t xml:space="preserve">Verifica sistematica dello studio monografico «Feltrinelli: il vettore» e mappatura dei ponti con l'intero corpus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Che cos'è questo documento.</w:t>
      </w:r>
      <w:r>
        <w:rPr>
          <w:rFonts w:ascii="Times New Roman" w:cs="Times New Roman" w:eastAsia="Times New Roman" w:hAnsi="Times New Roman"/>
          <w:i w:val="false"/>
          <w:iCs w:val="false"/>
          <w:sz w:val="24"/>
          <w:szCs w:val="24"/>
        </w:rPr>
        <w:t xml:space="preserve"> Applica allo studio monografico su Giangiacomo Feltrinelli la stessa disciplina già applicata al corpus guevariano in </w:t>
      </w:r>
      <w:r>
        <w:rPr>
          <w:rFonts w:ascii="Times New Roman" w:cs="Times New Roman" w:eastAsia="Times New Roman" w:hAnsi="Times New Roman"/>
          <w:i w:val="false"/>
          <w:iCs w:val="false"/>
          <w:sz w:val="24"/>
          <w:szCs w:val="24"/>
        </w:rPr>
        <w:t xml:space="preserve">triangolazioni-guevara-moro.md</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i w:val="false"/>
          <w:iCs w:val="false"/>
          <w:sz w:val="24"/>
          <w:szCs w:val="24"/>
        </w:rPr>
        <w:t xml:space="preserve">ogni affermazione portante è riscontrata su fonti indipendenti</w:t>
      </w:r>
      <w:r>
        <w:rPr>
          <w:rFonts w:ascii="Times New Roman" w:cs="Times New Roman" w:eastAsia="Times New Roman" w:hAnsi="Times New Roman"/>
          <w:i w:val="false"/>
          <w:iCs w:val="false"/>
          <w:sz w:val="24"/>
          <w:szCs w:val="24"/>
        </w:rPr>
        <w:t xml:space="preserve">, con esito dichiarato (✅ confermata · ⚠️ precisata o corretta · 🔵 categoria confermata come congettura); poi la figura è </w:t>
      </w:r>
      <w:r>
        <w:rPr>
          <w:rFonts w:ascii="Times New Roman" w:cs="Times New Roman" w:eastAsia="Times New Roman" w:hAnsi="Times New Roman"/>
          <w:b/>
          <w:bCs/>
          <w:i w:val="false"/>
          <w:iCs w:val="false"/>
          <w:sz w:val="24"/>
          <w:szCs w:val="24"/>
        </w:rPr>
        <w:t xml:space="preserve">triangolata con ciascun documento del corpus</w:t>
      </w:r>
      <w:r>
        <w:rPr>
          <w:rFonts w:ascii="Times New Roman" w:cs="Times New Roman" w:eastAsia="Times New Roman" w:hAnsi="Times New Roman"/>
          <w:i w:val="false"/>
          <w:iCs w:val="false"/>
          <w:sz w:val="24"/>
          <w:szCs w:val="24"/>
        </w:rPr>
        <w:t xml:space="preserve">, distinguendo i ponti documentati dalle convergenze e dalle anti-triangolazioni (i nessi che </w:t>
      </w:r>
      <w:r>
        <w:rPr>
          <w:rFonts w:ascii="Times New Roman" w:cs="Times New Roman" w:eastAsia="Times New Roman" w:hAnsi="Times New Roman"/>
          <w:i w:val="false"/>
          <w:iCs w:val="false"/>
          <w:sz w:val="24"/>
          <w:szCs w:val="24"/>
        </w:rPr>
        <w:t xml:space="preserve">non</w:t>
      </w:r>
      <w:r>
        <w:rPr>
          <w:rFonts w:ascii="Times New Roman" w:cs="Times New Roman" w:eastAsia="Times New Roman" w:hAnsi="Times New Roman"/>
          <w:i w:val="false"/>
          <w:iCs w:val="false"/>
          <w:sz w:val="24"/>
          <w:szCs w:val="24"/>
        </w:rPr>
        <w:t xml:space="preserve"> reggono e vanno negati esplicitamente). Le correzioni emerse sono già state applicate alla monografia con note di revisione. Esiti: </w:t>
      </w:r>
      <w:r>
        <w:rPr>
          <w:rFonts w:ascii="Times New Roman" w:cs="Times New Roman" w:eastAsia="Times New Roman" w:hAnsi="Times New Roman"/>
          <w:b/>
          <w:bCs/>
          <w:i w:val="false"/>
          <w:iCs w:val="false"/>
          <w:sz w:val="24"/>
          <w:szCs w:val="24"/>
        </w:rPr>
        <w:t xml:space="preserve">17 nodi di verifica</w:t>
      </w:r>
      <w:r>
        <w:rPr>
          <w:rFonts w:ascii="Times New Roman" w:cs="Times New Roman" w:eastAsia="Times New Roman" w:hAnsi="Times New Roman"/>
          <w:i w:val="false"/>
          <w:iCs w:val="false"/>
          <w:sz w:val="24"/>
          <w:szCs w:val="24"/>
        </w:rPr>
        <w:t xml:space="preserve"> (13 ✅, 3 ⚠️, 1 🔵), </w:t>
      </w:r>
      <w:r>
        <w:rPr>
          <w:rFonts w:ascii="Times New Roman" w:cs="Times New Roman" w:eastAsia="Times New Roman" w:hAnsi="Times New Roman"/>
          <w:b/>
          <w:bCs/>
          <w:i w:val="false"/>
          <w:iCs w:val="false"/>
          <w:sz w:val="24"/>
          <w:szCs w:val="24"/>
        </w:rPr>
        <w:t xml:space="preserve">7 ponti col corpus</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i w:val="false"/>
          <w:iCs w:val="false"/>
          <w:sz w:val="24"/>
          <w:szCs w:val="24"/>
        </w:rPr>
        <w:t xml:space="preserve">3 anti-triangolazioni</w:t>
      </w: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i w:val="false"/>
          <w:iCs w:val="false"/>
          <w:sz w:val="24"/>
          <w:szCs w:val="24"/>
        </w:rPr>
        <w:t xml:space="preserve">1 nodo nuovo emerso</w:t>
      </w:r>
      <w:r>
        <w:rPr>
          <w:rFonts w:ascii="Times New Roman" w:cs="Times New Roman" w:eastAsia="Times New Roman" w:hAnsi="Times New Roman"/>
          <w:i w:val="false"/>
          <w:iCs w:val="false"/>
          <w:sz w:val="24"/>
          <w:szCs w:val="24"/>
        </w:rPr>
        <w:t xml:space="preserve"> (la Bolivia dell'agosto 1967).</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1. Verifica delle affermazioni portanti (nodi F-1…F-17)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Affermazione</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Esito</w:t>
            </w:r>
          </w:p>
        </w:tc>
        <w:tc>
          <w:tcPr>
            <w:tcW w:type="dxa" w:w="2340"/>
            <w:shd w:fill="1F3864" w:val="clear"/>
          </w:tcPr>
          <w:p>
            <w:pPr>
              <w:spacing w:after="20" w:before="20"/>
              <w:jc w:val="left"/>
            </w:pPr>
            <w:r>
              <w:rPr>
                <w:rFonts w:ascii="Times New Roman" w:cs="Times New Roman" w:eastAsia="Times New Roman" w:hAnsi="Times New Roman"/>
                <w:b/>
                <w:bCs/>
                <w:color w:val="FFFFFF"/>
                <w:sz w:val="20"/>
                <w:szCs w:val="20"/>
              </w:rPr>
              <w:t xml:space="preserve">Riscontro</w:t>
            </w:r>
          </w:p>
        </w:tc>
      </w:tr>
      <w:tr>
        <w:tc>
          <w:tcPr>
            <w:tcW w:type="dxa" w:w="2340"/>
          </w:tcPr>
          <w:p>
            <w:pPr>
              <w:spacing w:after="20" w:before="20"/>
              <w:jc w:val="left"/>
            </w:pPr>
            <w:r>
              <w:rPr>
                <w:rFonts w:ascii="Times New Roman" w:cs="Times New Roman" w:eastAsia="Times New Roman" w:hAnsi="Times New Roman"/>
                <w:sz w:val="20"/>
                <w:szCs w:val="20"/>
              </w:rPr>
              <w:t xml:space="preserve">F-1</w:t>
            </w:r>
          </w:p>
        </w:tc>
        <w:tc>
          <w:tcPr>
            <w:tcW w:type="dxa" w:w="2340"/>
          </w:tcPr>
          <w:p>
            <w:pPr>
              <w:spacing w:after="20" w:before="20"/>
              <w:jc w:val="left"/>
            </w:pPr>
            <w:r>
              <w:rPr>
                <w:rFonts w:ascii="Times New Roman" w:cs="Times New Roman" w:eastAsia="Times New Roman" w:hAnsi="Times New Roman"/>
                <w:sz w:val="20"/>
                <w:szCs w:val="20"/>
              </w:rPr>
              <w:t xml:space="preserve">Nascita a Milano, 19 giugno 1926</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EN (https://en.wikipedia.org/wiki/Giangiacomo_Feltrinelli); Treccani (https://www.treccani.it/enciclopedia/giangiacomo-feltrinelli_(Dizionario-Biografico)/)</w:t>
            </w:r>
          </w:p>
        </w:tc>
      </w:tr>
      <w:tr>
        <w:tc>
          <w:tcPr>
            <w:tcW w:type="dxa" w:w="2340"/>
          </w:tcPr>
          <w:p>
            <w:pPr>
              <w:spacing w:after="20" w:before="20"/>
              <w:jc w:val="left"/>
            </w:pPr>
            <w:r>
              <w:rPr>
                <w:rFonts w:ascii="Times New Roman" w:cs="Times New Roman" w:eastAsia="Times New Roman" w:hAnsi="Times New Roman"/>
                <w:sz w:val="20"/>
                <w:szCs w:val="20"/>
              </w:rPr>
              <w:t xml:space="preserve">F-2</w:t>
            </w:r>
          </w:p>
        </w:tc>
        <w:tc>
          <w:tcPr>
            <w:tcW w:type="dxa" w:w="2340"/>
          </w:tcPr>
          <w:p>
            <w:pPr>
              <w:spacing w:after="20" w:before="20"/>
              <w:jc w:val="left"/>
            </w:pPr>
            <w:r>
              <w:rPr>
                <w:rFonts w:ascii="Times New Roman" w:cs="Times New Roman" w:eastAsia="Times New Roman" w:hAnsi="Times New Roman"/>
                <w:sz w:val="20"/>
                <w:szCs w:val="20"/>
              </w:rPr>
              <w:t xml:space="preserve">Fortuna di famiglia (legname → banca: Credito Italiano, Edison); eredità della parte maggiore nel 1947</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LRB, John Foot (https://www.lrb.co.uk/the-paper/v24/n03/john-foot/no.-1-scapegoat); Wikipedia EN</w:t>
            </w:r>
          </w:p>
        </w:tc>
      </w:tr>
      <w:tr>
        <w:tc>
          <w:tcPr>
            <w:tcW w:type="dxa" w:w="2340"/>
          </w:tcPr>
          <w:p>
            <w:pPr>
              <w:spacing w:after="20" w:before="20"/>
              <w:jc w:val="left"/>
            </w:pPr>
            <w:r>
              <w:rPr>
                <w:rFonts w:ascii="Times New Roman" w:cs="Times New Roman" w:eastAsia="Times New Roman" w:hAnsi="Times New Roman"/>
                <w:sz w:val="20"/>
                <w:szCs w:val="20"/>
              </w:rPr>
              <w:t xml:space="preserve">F-3</w:t>
            </w:r>
          </w:p>
        </w:tc>
        <w:tc>
          <w:tcPr>
            <w:tcW w:type="dxa" w:w="2340"/>
          </w:tcPr>
          <w:p>
            <w:pPr>
              <w:spacing w:after="20" w:before="20"/>
              <w:jc w:val="left"/>
            </w:pPr>
            <w:r>
              <w:rPr>
                <w:rFonts w:ascii="Times New Roman" w:cs="Times New Roman" w:eastAsia="Times New Roman" w:hAnsi="Times New Roman"/>
                <w:sz w:val="20"/>
                <w:szCs w:val="20"/>
              </w:rPr>
              <w:t xml:space="preserve">Guerra: esercito cobelligerante e adesione al PCI</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EN</w:t>
            </w:r>
          </w:p>
        </w:tc>
      </w:tr>
      <w:tr>
        <w:tc>
          <w:tcPr>
            <w:tcW w:type="dxa" w:w="2340"/>
          </w:tcPr>
          <w:p>
            <w:pPr>
              <w:spacing w:after="20" w:before="20"/>
              <w:jc w:val="left"/>
            </w:pPr>
            <w:r>
              <w:rPr>
                <w:rFonts w:ascii="Times New Roman" w:cs="Times New Roman" w:eastAsia="Times New Roman" w:hAnsi="Times New Roman"/>
                <w:sz w:val="20"/>
                <w:szCs w:val="20"/>
              </w:rPr>
              <w:t xml:space="preserve">F-4</w:t>
            </w:r>
          </w:p>
        </w:tc>
        <w:tc>
          <w:tcPr>
            <w:tcW w:type="dxa" w:w="2340"/>
          </w:tcPr>
          <w:p>
            <w:pPr>
              <w:spacing w:after="20" w:before="20"/>
              <w:jc w:val="left"/>
            </w:pPr>
            <w:r>
              <w:rPr>
                <w:rFonts w:ascii="Times New Roman" w:cs="Times New Roman" w:eastAsia="Times New Roman" w:hAnsi="Times New Roman"/>
                <w:sz w:val="20"/>
                <w:szCs w:val="20"/>
              </w:rPr>
              <w:t xml:space="preserve">Biblioteca fondata nel 1949; Fondazione per DPR del 27 aprile 1974; consistenze (1,5 mln schede, 250.000 volumi, 15.000 manifesti)</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Fondazione Feltrinelli (https://fondazionefeltrinelli.it/en/about-us-4/)</w:t>
            </w:r>
          </w:p>
        </w:tc>
      </w:tr>
      <w:tr>
        <w:tc>
          <w:tcPr>
            <w:tcW w:type="dxa" w:w="2340"/>
          </w:tcPr>
          <w:p>
            <w:pPr>
              <w:spacing w:after="20" w:before="20"/>
              <w:jc w:val="left"/>
            </w:pPr>
            <w:r>
              <w:rPr>
                <w:rFonts w:ascii="Times New Roman" w:cs="Times New Roman" w:eastAsia="Times New Roman" w:hAnsi="Times New Roman"/>
                <w:sz w:val="20"/>
                <w:szCs w:val="20"/>
              </w:rPr>
              <w:t xml:space="preserve">F-5</w:t>
            </w:r>
          </w:p>
        </w:tc>
        <w:tc>
          <w:tcPr>
            <w:tcW w:type="dxa" w:w="2340"/>
          </w:tcPr>
          <w:p>
            <w:pPr>
              <w:spacing w:after="20" w:before="20"/>
              <w:jc w:val="left"/>
            </w:pPr>
            <w:r>
              <w:rPr>
                <w:rFonts w:ascii="Times New Roman" w:cs="Times New Roman" w:eastAsia="Times New Roman" w:hAnsi="Times New Roman"/>
                <w:sz w:val="20"/>
                <w:szCs w:val="20"/>
              </w:rPr>
              <w:t xml:space="preserve">Casa editrice fondata a Milano nel 1954</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EN; Treccani</w:t>
            </w:r>
          </w:p>
        </w:tc>
      </w:tr>
      <w:tr>
        <w:tc>
          <w:tcPr>
            <w:tcW w:type="dxa" w:w="2340"/>
          </w:tcPr>
          <w:p>
            <w:pPr>
              <w:spacing w:after="20" w:before="20"/>
              <w:jc w:val="left"/>
            </w:pPr>
            <w:r>
              <w:rPr>
                <w:rFonts w:ascii="Times New Roman" w:cs="Times New Roman" w:eastAsia="Times New Roman" w:hAnsi="Times New Roman"/>
                <w:sz w:val="20"/>
                <w:szCs w:val="20"/>
              </w:rPr>
              <w:t xml:space="preserve">F-6</w:t>
            </w:r>
          </w:p>
        </w:tc>
        <w:tc>
          <w:tcPr>
            <w:tcW w:type="dxa" w:w="2340"/>
          </w:tcPr>
          <w:p>
            <w:pPr>
              <w:spacing w:after="20" w:before="20"/>
              <w:jc w:val="left"/>
            </w:pPr>
            <w:r>
              <w:rPr>
                <w:rFonts w:ascii="Times New Roman" w:cs="Times New Roman" w:eastAsia="Times New Roman" w:hAnsi="Times New Roman"/>
                <w:i/>
                <w:iCs/>
                <w:sz w:val="20"/>
                <w:szCs w:val="20"/>
              </w:rPr>
              <w:t xml:space="preserve">Živago</w:t>
            </w:r>
            <w:r>
              <w:rPr>
                <w:rFonts w:ascii="Times New Roman" w:cs="Times New Roman" w:eastAsia="Times New Roman" w:hAnsi="Times New Roman"/>
                <w:sz w:val="20"/>
                <w:szCs w:val="20"/>
              </w:rPr>
              <w:t xml:space="preserve">: contratto con Pasternak giugno 1956; prima edizione mondiale, novembre 1957; resistenza alle pressioni di Cremlino e PCI</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w:t>
            </w:r>
            <w:r>
              <w:rPr>
                <w:rFonts w:ascii="Times New Roman" w:cs="Times New Roman" w:eastAsia="Times New Roman" w:hAnsi="Times New Roman"/>
                <w:i/>
                <w:iCs/>
                <w:sz w:val="20"/>
                <w:szCs w:val="20"/>
              </w:rPr>
              <w:t xml:space="preserve">Doctor Zhivago</w:t>
            </w:r>
            <w:r>
              <w:rPr>
                <w:rFonts w:ascii="Times New Roman" w:cs="Times New Roman" w:eastAsia="Times New Roman" w:hAnsi="Times New Roman"/>
                <w:sz w:val="20"/>
                <w:szCs w:val="20"/>
              </w:rPr>
              <w:t xml:space="preserve"> (https://en.wikipedia.org/wiki/Doctor_Zhivago_(novel)); avvio stampa 28 maggio 1957 (AbeBooks IT (https://www.abebooks.it/libri/giangiacomo-feltrinelli-dottor-zivago.shtml))</w:t>
            </w:r>
          </w:p>
        </w:tc>
      </w:tr>
      <w:tr>
        <w:tc>
          <w:tcPr>
            <w:tcW w:type="dxa" w:w="2340"/>
          </w:tcPr>
          <w:p>
            <w:pPr>
              <w:spacing w:after="20" w:before="20"/>
              <w:jc w:val="left"/>
            </w:pPr>
            <w:r>
              <w:rPr>
                <w:rFonts w:ascii="Times New Roman" w:cs="Times New Roman" w:eastAsia="Times New Roman" w:hAnsi="Times New Roman"/>
                <w:sz w:val="20"/>
                <w:szCs w:val="20"/>
              </w:rPr>
              <w:t xml:space="preserve">F-7</w:t>
            </w:r>
          </w:p>
        </w:tc>
        <w:tc>
          <w:tcPr>
            <w:tcW w:type="dxa" w:w="2340"/>
          </w:tcPr>
          <w:p>
            <w:pPr>
              <w:spacing w:after="20" w:before="20"/>
              <w:jc w:val="left"/>
            </w:pPr>
            <w:r>
              <w:rPr>
                <w:rFonts w:ascii="Times New Roman" w:cs="Times New Roman" w:eastAsia="Times New Roman" w:hAnsi="Times New Roman"/>
                <w:sz w:val="20"/>
                <w:szCs w:val="20"/>
              </w:rPr>
              <w:t xml:space="preserve">Uscita dal PCI «nel 1958»</w:t>
            </w:r>
          </w:p>
        </w:tc>
        <w:tc>
          <w:tcPr>
            <w:tcW w:type="dxa" w:w="234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Precisata</w:t>
            </w:r>
          </w:p>
        </w:tc>
        <w:tc>
          <w:tcPr>
            <w:tcW w:type="dxa" w:w="2340"/>
          </w:tcPr>
          <w:p>
            <w:pPr>
              <w:spacing w:after="20" w:before="20"/>
              <w:jc w:val="left"/>
            </w:pPr>
            <w:r>
              <w:rPr>
                <w:rFonts w:ascii="Times New Roman" w:cs="Times New Roman" w:eastAsia="Times New Roman" w:hAnsi="Times New Roman"/>
                <w:sz w:val="20"/>
                <w:szCs w:val="20"/>
              </w:rPr>
              <w:t xml:space="preserve">Treccani (https://www.treccani.it/enciclopedia/giangiacomo-feltrinelli_(Dizionario-Biografico)/): il 1957 fu l'ultimo anno di tessera; rottura maturata su Živago, Ungheria e la lettera del 28 settembre 1957 (minaccia di espulsione); altre fonti (Wikipedia EN) datano 1958. Corretta in monografia come processo 1957-58</w:t>
            </w:r>
          </w:p>
        </w:tc>
      </w:tr>
      <w:tr>
        <w:tc>
          <w:tcPr>
            <w:tcW w:type="dxa" w:w="2340"/>
          </w:tcPr>
          <w:p>
            <w:pPr>
              <w:spacing w:after="20" w:before="20"/>
              <w:jc w:val="left"/>
            </w:pPr>
            <w:r>
              <w:rPr>
                <w:rFonts w:ascii="Times New Roman" w:cs="Times New Roman" w:eastAsia="Times New Roman" w:hAnsi="Times New Roman"/>
                <w:sz w:val="20"/>
                <w:szCs w:val="20"/>
              </w:rPr>
              <w:t xml:space="preserve">F-8</w:t>
            </w:r>
          </w:p>
        </w:tc>
        <w:tc>
          <w:tcPr>
            <w:tcW w:type="dxa" w:w="2340"/>
          </w:tcPr>
          <w:p>
            <w:pPr>
              <w:spacing w:after="20" w:before="20"/>
              <w:jc w:val="left"/>
            </w:pPr>
            <w:r>
              <w:rPr>
                <w:rFonts w:ascii="Times New Roman" w:cs="Times New Roman" w:eastAsia="Times New Roman" w:hAnsi="Times New Roman"/>
                <w:i/>
                <w:iCs/>
                <w:sz w:val="20"/>
                <w:szCs w:val="20"/>
              </w:rPr>
              <w:t xml:space="preserve">Il Gattopardo</w:t>
            </w:r>
            <w:r>
              <w:rPr>
                <w:rFonts w:ascii="Times New Roman" w:cs="Times New Roman" w:eastAsia="Times New Roman" w:hAnsi="Times New Roman"/>
                <w:sz w:val="20"/>
                <w:szCs w:val="20"/>
              </w:rPr>
              <w:t xml:space="preserve">: rifiutato dagli altri editori, uscito nov. 1958, 52 edizioni in meno di sei mesi</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w:t>
            </w:r>
            <w:r>
              <w:rPr>
                <w:rFonts w:ascii="Times New Roman" w:cs="Times New Roman" w:eastAsia="Times New Roman" w:hAnsi="Times New Roman"/>
                <w:i/>
                <w:iCs/>
                <w:sz w:val="20"/>
                <w:szCs w:val="20"/>
              </w:rPr>
              <w:t xml:space="preserve">The Leopard</w:t>
            </w:r>
            <w:r>
              <w:rPr>
                <w:rFonts w:ascii="Times New Roman" w:cs="Times New Roman" w:eastAsia="Times New Roman" w:hAnsi="Times New Roman"/>
                <w:sz w:val="20"/>
                <w:szCs w:val="20"/>
              </w:rPr>
              <w:t xml:space="preserve"> (https://en.wikipedia.org/wiki/The_Leopard)</w:t>
            </w:r>
          </w:p>
        </w:tc>
      </w:tr>
      <w:tr>
        <w:tc>
          <w:tcPr>
            <w:tcW w:type="dxa" w:w="2340"/>
          </w:tcPr>
          <w:p>
            <w:pPr>
              <w:spacing w:after="20" w:before="20"/>
              <w:jc w:val="left"/>
            </w:pPr>
            <w:r>
              <w:rPr>
                <w:rFonts w:ascii="Times New Roman" w:cs="Times New Roman" w:eastAsia="Times New Roman" w:hAnsi="Times New Roman"/>
                <w:sz w:val="20"/>
                <w:szCs w:val="20"/>
              </w:rPr>
              <w:t xml:space="preserve">F-9</w:t>
            </w:r>
          </w:p>
        </w:tc>
        <w:tc>
          <w:tcPr>
            <w:tcW w:type="dxa" w:w="2340"/>
          </w:tcPr>
          <w:p>
            <w:pPr>
              <w:spacing w:after="20" w:before="20"/>
              <w:jc w:val="left"/>
            </w:pPr>
            <w:r>
              <w:rPr>
                <w:rFonts w:ascii="Times New Roman" w:cs="Times New Roman" w:eastAsia="Times New Roman" w:hAnsi="Times New Roman"/>
                <w:sz w:val="20"/>
                <w:szCs w:val="20"/>
              </w:rPr>
              <w:t xml:space="preserve">Prima catena di librerie d'Italia</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Wikipedia EN</w:t>
            </w:r>
          </w:p>
        </w:tc>
      </w:tr>
      <w:tr>
        <w:tc>
          <w:tcPr>
            <w:tcW w:type="dxa" w:w="2340"/>
          </w:tcPr>
          <w:p>
            <w:pPr>
              <w:spacing w:after="20" w:before="20"/>
              <w:jc w:val="left"/>
            </w:pPr>
            <w:r>
              <w:rPr>
                <w:rFonts w:ascii="Times New Roman" w:cs="Times New Roman" w:eastAsia="Times New Roman" w:hAnsi="Times New Roman"/>
                <w:sz w:val="20"/>
                <w:szCs w:val="20"/>
              </w:rPr>
              <w:t xml:space="preserve">F-10</w:t>
            </w:r>
          </w:p>
        </w:tc>
        <w:tc>
          <w:tcPr>
            <w:tcW w:type="dxa" w:w="2340"/>
          </w:tcPr>
          <w:p>
            <w:pPr>
              <w:spacing w:after="20" w:before="20"/>
              <w:jc w:val="left"/>
            </w:pPr>
            <w:r>
              <w:rPr>
                <w:rFonts w:ascii="Times New Roman" w:cs="Times New Roman" w:eastAsia="Times New Roman" w:hAnsi="Times New Roman"/>
                <w:sz w:val="20"/>
                <w:szCs w:val="20"/>
              </w:rPr>
              <w:t xml:space="preserve">Assiduità cubana; progetto di ghost-writing della biografia di Castro</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History Ireland (https://historyireland.com/che-guevara-jim-fitzpatrick-and-the-making-of-an-icon/)</w:t>
            </w:r>
          </w:p>
        </w:tc>
      </w:tr>
      <w:tr>
        <w:tc>
          <w:tcPr>
            <w:tcW w:type="dxa" w:w="2340"/>
          </w:tcPr>
          <w:p>
            <w:pPr>
              <w:spacing w:after="20" w:before="20"/>
              <w:jc w:val="left"/>
            </w:pPr>
            <w:r>
              <w:rPr>
                <w:rFonts w:ascii="Times New Roman" w:cs="Times New Roman" w:eastAsia="Times New Roman" w:hAnsi="Times New Roman"/>
                <w:sz w:val="20"/>
                <w:szCs w:val="20"/>
              </w:rPr>
              <w:t xml:space="preserve">F-11</w:t>
            </w:r>
          </w:p>
        </w:tc>
        <w:tc>
          <w:tcPr>
            <w:tcW w:type="dxa" w:w="2340"/>
          </w:tcPr>
          <w:p>
            <w:pPr>
              <w:spacing w:after="20" w:before="20"/>
              <w:jc w:val="left"/>
            </w:pPr>
            <w:r>
              <w:rPr>
                <w:rFonts w:ascii="Times New Roman" w:cs="Times New Roman" w:eastAsia="Times New Roman" w:hAnsi="Times New Roman"/>
                <w:sz w:val="20"/>
                <w:szCs w:val="20"/>
              </w:rPr>
              <w:t xml:space="preserve">Acquisto nell'estate 1967 dei diritti del </w:t>
            </w:r>
            <w:r>
              <w:rPr>
                <w:rFonts w:ascii="Times New Roman" w:cs="Times New Roman" w:eastAsia="Times New Roman" w:hAnsi="Times New Roman"/>
                <w:i/>
                <w:iCs/>
                <w:sz w:val="20"/>
                <w:szCs w:val="20"/>
              </w:rPr>
              <w:t xml:space="preserve">Diario</w:t>
            </w:r>
            <w:r>
              <w:rPr>
                <w:rFonts w:ascii="Times New Roman" w:cs="Times New Roman" w:eastAsia="Times New Roman" w:hAnsi="Times New Roman"/>
                <w:sz w:val="20"/>
                <w:szCs w:val="20"/>
              </w:rPr>
              <w:t xml:space="preserve"> boliviano </w:t>
            </w:r>
            <w:r>
              <w:rPr>
                <w:rFonts w:ascii="Times New Roman" w:cs="Times New Roman" w:eastAsia="Times New Roman" w:hAnsi="Times New Roman"/>
                <w:b/>
                <w:bCs/>
                <w:sz w:val="20"/>
                <w:szCs w:val="20"/>
              </w:rPr>
              <w:t xml:space="preserve">insieme</w:t>
            </w:r>
            <w:r>
              <w:rPr>
                <w:rFonts w:ascii="Times New Roman" w:cs="Times New Roman" w:eastAsia="Times New Roman" w:hAnsi="Times New Roman"/>
                <w:sz w:val="20"/>
                <w:szCs w:val="20"/>
              </w:rPr>
              <w:t xml:space="preserve"> alla foto di Korda</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History Ireland; Wikipedia, </w:t>
            </w:r>
            <w:r>
              <w:rPr>
                <w:rFonts w:ascii="Times New Roman" w:cs="Times New Roman" w:eastAsia="Times New Roman" w:hAnsi="Times New Roman"/>
                <w:i/>
                <w:iCs/>
                <w:sz w:val="20"/>
                <w:szCs w:val="20"/>
              </w:rPr>
              <w:t xml:space="preserve">Guerrillero Heroico</w:t>
            </w:r>
            <w:r>
              <w:rPr>
                <w:rFonts w:ascii="Times New Roman" w:cs="Times New Roman" w:eastAsia="Times New Roman" w:hAnsi="Times New Roman"/>
                <w:sz w:val="20"/>
                <w:szCs w:val="20"/>
              </w:rPr>
              <w:t xml:space="preserve"> (https://en.wikipedia.org/wiki/Guerrillero_Heroico)</w:t>
            </w:r>
          </w:p>
        </w:tc>
      </w:tr>
      <w:tr>
        <w:tc>
          <w:tcPr>
            <w:tcW w:type="dxa" w:w="2340"/>
          </w:tcPr>
          <w:p>
            <w:pPr>
              <w:spacing w:after="20" w:before="20"/>
              <w:jc w:val="left"/>
            </w:pPr>
            <w:r>
              <w:rPr>
                <w:rFonts w:ascii="Times New Roman" w:cs="Times New Roman" w:eastAsia="Times New Roman" w:hAnsi="Times New Roman"/>
                <w:sz w:val="20"/>
                <w:szCs w:val="20"/>
              </w:rPr>
              <w:t xml:space="preserve">F-12</w:t>
            </w:r>
          </w:p>
        </w:tc>
        <w:tc>
          <w:tcPr>
            <w:tcW w:type="dxa" w:w="2340"/>
          </w:tcPr>
          <w:p>
            <w:pPr>
              <w:spacing w:after="20" w:before="20"/>
              <w:jc w:val="left"/>
            </w:pPr>
            <w:r>
              <w:rPr>
                <w:rFonts w:ascii="Times New Roman" w:cs="Times New Roman" w:eastAsia="Times New Roman" w:hAnsi="Times New Roman"/>
                <w:b/>
                <w:bCs/>
                <w:sz w:val="20"/>
                <w:szCs w:val="20"/>
              </w:rPr>
              <w:t xml:space="preserve">Bolivia, agosto 1967: viaggio, arresto, espulsione</w:t>
            </w:r>
            <w:r>
              <w:rPr>
                <w:rFonts w:ascii="Times New Roman" w:cs="Times New Roman" w:eastAsia="Times New Roman" w:hAnsi="Times New Roman"/>
                <w:sz w:val="20"/>
                <w:szCs w:val="20"/>
              </w:rPr>
              <w:t xml:space="preserve"> (processo Debray a Camiri; contatti con l'ambiente ELN)</w:t>
            </w:r>
          </w:p>
        </w:tc>
        <w:tc>
          <w:tcPr>
            <w:tcW w:type="dxa" w:w="234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Nodo nuovo</w:t>
            </w:r>
          </w:p>
        </w:tc>
        <w:tc>
          <w:tcPr>
            <w:tcW w:type="dxa" w:w="2340"/>
          </w:tcPr>
          <w:p>
            <w:pPr>
              <w:spacing w:after="20" w:before="20"/>
              <w:jc w:val="left"/>
            </w:pPr>
            <w:r>
              <w:rPr>
                <w:rFonts w:ascii="Times New Roman" w:cs="Times New Roman" w:eastAsia="Times New Roman" w:hAnsi="Times New Roman"/>
                <w:sz w:val="20"/>
                <w:szCs w:val="20"/>
              </w:rPr>
              <w:t xml:space="preserve">Treccani (https://www.treccani.it/enciclopedia/giangiacomo-feltrinelli_(Dizionario-Biografico)/); A ca' l'Alveare (https://www.acalveare.it/2025/11/15/giangiacomo-feltrinelli-leditore-rivoluzionario/); Salto.bz (https://salto.bz/it/article/08042026/bolivia-sulle-tracce-del-che). Assente nella prima stesura; integrato al § III</w:t>
            </w:r>
          </w:p>
        </w:tc>
      </w:tr>
      <w:tr>
        <w:tc>
          <w:tcPr>
            <w:tcW w:type="dxa" w:w="2340"/>
          </w:tcPr>
          <w:p>
            <w:pPr>
              <w:spacing w:after="20" w:before="20"/>
              <w:jc w:val="left"/>
            </w:pPr>
            <w:r>
              <w:rPr>
                <w:rFonts w:ascii="Times New Roman" w:cs="Times New Roman" w:eastAsia="Times New Roman" w:hAnsi="Times New Roman"/>
                <w:sz w:val="20"/>
                <w:szCs w:val="20"/>
              </w:rPr>
              <w:t xml:space="preserve">F-13</w:t>
            </w:r>
          </w:p>
        </w:tc>
        <w:tc>
          <w:tcPr>
            <w:tcW w:type="dxa" w:w="2340"/>
          </w:tcPr>
          <w:p>
            <w:pPr>
              <w:spacing w:after="20" w:before="20"/>
              <w:jc w:val="left"/>
            </w:pPr>
            <w:r>
              <w:rPr>
                <w:rFonts w:ascii="Times New Roman" w:cs="Times New Roman" w:eastAsia="Times New Roman" w:hAnsi="Times New Roman"/>
                <w:i/>
                <w:iCs/>
                <w:sz w:val="20"/>
                <w:szCs w:val="20"/>
              </w:rPr>
              <w:t xml:space="preserve">Diario</w:t>
            </w:r>
            <w:r>
              <w:rPr>
                <w:rFonts w:ascii="Times New Roman" w:cs="Times New Roman" w:eastAsia="Times New Roman" w:hAnsi="Times New Roman"/>
                <w:sz w:val="20"/>
                <w:szCs w:val="20"/>
              </w:rPr>
              <w:t xml:space="preserve"> 1968 con copertina Korda e prefazione di Castro; centinaia di manifesti per il lancio, ripresi dagli studenti nel '68</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Già riscontrata come nodo M-2 della matrice Guevara-Moro; History Ireland</w:t>
            </w:r>
          </w:p>
        </w:tc>
      </w:tr>
      <w:tr>
        <w:tc>
          <w:tcPr>
            <w:tcW w:type="dxa" w:w="2340"/>
          </w:tcPr>
          <w:p>
            <w:pPr>
              <w:spacing w:after="20" w:before="20"/>
              <w:jc w:val="left"/>
            </w:pPr>
            <w:r>
              <w:rPr>
                <w:rFonts w:ascii="Times New Roman" w:cs="Times New Roman" w:eastAsia="Times New Roman" w:hAnsi="Times New Roman"/>
                <w:sz w:val="20"/>
                <w:szCs w:val="20"/>
              </w:rPr>
              <w:t xml:space="preserve">F-14</w:t>
            </w:r>
          </w:p>
        </w:tc>
        <w:tc>
          <w:tcPr>
            <w:tcW w:type="dxa" w:w="2340"/>
          </w:tcPr>
          <w:p>
            <w:pPr>
              <w:spacing w:after="20" w:before="20"/>
              <w:jc w:val="left"/>
            </w:pPr>
            <w:r>
              <w:rPr>
                <w:rFonts w:ascii="Times New Roman" w:cs="Times New Roman" w:eastAsia="Times New Roman" w:hAnsi="Times New Roman"/>
                <w:sz w:val="20"/>
                <w:szCs w:val="20"/>
              </w:rPr>
              <w:t xml:space="preserve">GAP fondati «intorno al 1970»</w:t>
            </w:r>
          </w:p>
        </w:tc>
        <w:tc>
          <w:tcPr>
            <w:tcW w:type="dxa" w:w="234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Precisata</w:t>
            </w:r>
          </w:p>
        </w:tc>
        <w:tc>
          <w:tcPr>
            <w:tcW w:type="dxa" w:w="2340"/>
          </w:tcPr>
          <w:p>
            <w:pPr>
              <w:spacing w:after="20" w:before="20"/>
              <w:jc w:val="left"/>
            </w:pPr>
            <w:r>
              <w:rPr>
                <w:rFonts w:ascii="Times New Roman" w:cs="Times New Roman" w:eastAsia="Times New Roman" w:hAnsi="Times New Roman"/>
                <w:sz w:val="20"/>
                <w:szCs w:val="20"/>
              </w:rPr>
              <w:t xml:space="preserve">Wikipedia IT, GAP (https://it.wikipedia.org/wiki/Gruppi_d%27Azione_Partigiana): aprile-maggio 1970; ramificazione nel Milanese, Genova, Trentino, Torino; sigla ripresa </w:t>
            </w:r>
            <w:r>
              <w:rPr>
                <w:rFonts w:ascii="Times New Roman" w:cs="Times New Roman" w:eastAsia="Times New Roman" w:hAnsi="Times New Roman"/>
                <w:b/>
                <w:bCs/>
                <w:sz w:val="20"/>
                <w:szCs w:val="20"/>
              </w:rPr>
              <w:t xml:space="preserve">deliberatamente</w:t>
            </w:r>
            <w:r>
              <w:rPr>
                <w:rFonts w:ascii="Times New Roman" w:cs="Times New Roman" w:eastAsia="Times New Roman" w:hAnsi="Times New Roman"/>
                <w:sz w:val="20"/>
                <w:szCs w:val="20"/>
              </w:rPr>
              <w:t xml:space="preserve"> dai Gruppi di Azione Patriottica della Resistenza (1943-45). Data e genealogia del nome integrate in monografia</w:t>
            </w:r>
          </w:p>
        </w:tc>
      </w:tr>
      <w:tr>
        <w:tc>
          <w:tcPr>
            <w:tcW w:type="dxa" w:w="2340"/>
          </w:tcPr>
          <w:p>
            <w:pPr>
              <w:spacing w:after="20" w:before="20"/>
              <w:jc w:val="left"/>
            </w:pPr>
            <w:r>
              <w:rPr>
                <w:rFonts w:ascii="Times New Roman" w:cs="Times New Roman" w:eastAsia="Times New Roman" w:hAnsi="Times New Roman"/>
                <w:sz w:val="20"/>
                <w:szCs w:val="20"/>
              </w:rPr>
              <w:t xml:space="preserve">F-15</w:t>
            </w:r>
          </w:p>
        </w:tc>
        <w:tc>
          <w:tcPr>
            <w:tcW w:type="dxa" w:w="2340"/>
          </w:tcPr>
          <w:p>
            <w:pPr>
              <w:spacing w:after="20" w:before="20"/>
              <w:jc w:val="left"/>
            </w:pPr>
            <w:r>
              <w:rPr>
                <w:rFonts w:ascii="Times New Roman" w:cs="Times New Roman" w:eastAsia="Times New Roman" w:hAnsi="Times New Roman"/>
                <w:sz w:val="20"/>
                <w:szCs w:val="20"/>
              </w:rPr>
              <w:t xml:space="preserve">Curcio: i brigatisti «a scuola di guerriglia da Feltrinelli»</w:t>
            </w:r>
          </w:p>
        </w:tc>
        <w:tc>
          <w:tcPr>
            <w:tcW w:type="dxa" w:w="2340"/>
          </w:tcPr>
          <w:p>
            <w:pPr>
              <w:spacing w:after="20" w:before="20"/>
              <w:jc w:val="left"/>
            </w:pPr>
            <w:r>
              <w:rPr>
                <w:rFonts w:ascii="Times New Roman" w:cs="Times New Roman" w:eastAsia="Times New Roman" w:hAnsi="Times New Roman"/>
                <w:sz w:val="20"/>
                <w:szCs w:val="20"/>
              </w:rPr>
              <w:t xml:space="preserve">✅</w:t>
            </w:r>
          </w:p>
        </w:tc>
        <w:tc>
          <w:tcPr>
            <w:tcW w:type="dxa" w:w="2340"/>
          </w:tcPr>
          <w:p>
            <w:pPr>
              <w:spacing w:after="20" w:before="20"/>
              <w:jc w:val="left"/>
            </w:pPr>
            <w:r>
              <w:rPr>
                <w:rFonts w:ascii="Times New Roman" w:cs="Times New Roman" w:eastAsia="Times New Roman" w:hAnsi="Times New Roman"/>
                <w:sz w:val="20"/>
                <w:szCs w:val="20"/>
              </w:rPr>
              <w:t xml:space="preserve">Già riscontrata (M-2): Tassinari (https://www.ugomariatassinari.it/feltrinelli-curcio/)</w:t>
            </w:r>
          </w:p>
        </w:tc>
      </w:tr>
      <w:tr>
        <w:tc>
          <w:tcPr>
            <w:tcW w:type="dxa" w:w="2340"/>
          </w:tcPr>
          <w:p>
            <w:pPr>
              <w:spacing w:after="20" w:before="20"/>
              <w:jc w:val="left"/>
            </w:pPr>
            <w:r>
              <w:rPr>
                <w:rFonts w:ascii="Times New Roman" w:cs="Times New Roman" w:eastAsia="Times New Roman" w:hAnsi="Times New Roman"/>
                <w:sz w:val="20"/>
                <w:szCs w:val="20"/>
              </w:rPr>
              <w:t xml:space="preserve">F-16</w:t>
            </w:r>
          </w:p>
        </w:tc>
        <w:tc>
          <w:tcPr>
            <w:tcW w:type="dxa" w:w="2340"/>
          </w:tcPr>
          <w:p>
            <w:pPr>
              <w:spacing w:after="20" w:before="20"/>
              <w:jc w:val="left"/>
            </w:pPr>
            <w:r>
              <w:rPr>
                <w:rFonts w:ascii="Times New Roman" w:cs="Times New Roman" w:eastAsia="Times New Roman" w:hAnsi="Times New Roman"/>
                <w:sz w:val="20"/>
                <w:szCs w:val="20"/>
              </w:rPr>
              <w:t xml:space="preserve">Morte a Segrate, «notte tra il 14 e il 15 marzo 1972», discrepanza delle fonti</w:t>
            </w:r>
          </w:p>
        </w:tc>
        <w:tc>
          <w:tcPr>
            <w:tcW w:type="dxa" w:w="2340"/>
          </w:tcPr>
          <w:p>
            <w:pPr>
              <w:spacing w:after="20" w:before="20"/>
              <w:jc w:val="left"/>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Sciolta</w:t>
            </w:r>
          </w:p>
        </w:tc>
        <w:tc>
          <w:tcPr>
            <w:tcW w:type="dxa" w:w="2340"/>
          </w:tcPr>
          <w:p>
            <w:pPr>
              <w:spacing w:after="20" w:before="20"/>
              <w:jc w:val="left"/>
            </w:pPr>
            <w:r>
              <w:rPr>
                <w:rFonts w:ascii="Times New Roman" w:cs="Times New Roman" w:eastAsia="Times New Roman" w:hAnsi="Times New Roman"/>
                <w:sz w:val="20"/>
                <w:szCs w:val="20"/>
              </w:rPr>
              <w:t xml:space="preserve">Morte il </w:t>
            </w:r>
            <w:r>
              <w:rPr>
                <w:rFonts w:ascii="Times New Roman" w:cs="Times New Roman" w:eastAsia="Times New Roman" w:hAnsi="Times New Roman"/>
                <w:b/>
                <w:bCs/>
                <w:sz w:val="20"/>
                <w:szCs w:val="20"/>
              </w:rPr>
              <w:t xml:space="preserve">14 marzo</w:t>
            </w:r>
            <w:r>
              <w:rPr>
                <w:rFonts w:ascii="Times New Roman" w:cs="Times New Roman" w:eastAsia="Times New Roman" w:hAnsi="Times New Roman"/>
                <w:sz w:val="20"/>
                <w:szCs w:val="20"/>
              </w:rPr>
              <w:t xml:space="preserve"> (esplosione al traliccio, Cascina Nuova di Segrate); ritrovamento il </w:t>
            </w:r>
            <w:r>
              <w:rPr>
                <w:rFonts w:ascii="Times New Roman" w:cs="Times New Roman" w:eastAsia="Times New Roman" w:hAnsi="Times New Roman"/>
                <w:b/>
                <w:bCs/>
                <w:sz w:val="20"/>
                <w:szCs w:val="20"/>
              </w:rPr>
              <w:t xml:space="preserve">pomeriggio del 15</w:t>
            </w:r>
            <w:r>
              <w:rPr>
                <w:rFonts w:ascii="Times New Roman" w:cs="Times New Roman" w:eastAsia="Times New Roman" w:hAnsi="Times New Roman"/>
                <w:sz w:val="20"/>
                <w:szCs w:val="20"/>
              </w:rPr>
              <w:t xml:space="preserve"> da parte del contadino Luigi Stringhetti; documenti falsi «Vincenzo Maggioni»; identificazione dopo 24 ore; nome di battaglia «Osvaldo» (Il Post (https://www.ilpost.it/2022/03/14/giangiacomo-feltrinelli/); Fatti per la Storia (https://www.fattiperlastoria.it/morte-feltrinelli/)). Le fonti «discordi» si riferivano a due momenti distinti. Corretta in monografia</w:t>
            </w:r>
          </w:p>
        </w:tc>
      </w:tr>
      <w:tr>
        <w:tc>
          <w:tcPr>
            <w:tcW w:type="dxa" w:w="2340"/>
          </w:tcPr>
          <w:p>
            <w:pPr>
              <w:spacing w:after="20" w:before="20"/>
              <w:jc w:val="left"/>
            </w:pPr>
            <w:r>
              <w:rPr>
                <w:rFonts w:ascii="Times New Roman" w:cs="Times New Roman" w:eastAsia="Times New Roman" w:hAnsi="Times New Roman"/>
                <w:sz w:val="20"/>
                <w:szCs w:val="20"/>
              </w:rPr>
              <w:t xml:space="preserve">F-17</w:t>
            </w:r>
          </w:p>
        </w:tc>
        <w:tc>
          <w:tcPr>
            <w:tcW w:type="dxa" w:w="2340"/>
          </w:tcPr>
          <w:p>
            <w:pPr>
              <w:spacing w:after="20" w:before="20"/>
              <w:jc w:val="left"/>
            </w:pPr>
            <w:r>
              <w:rPr>
                <w:rFonts w:ascii="Times New Roman" w:cs="Times New Roman" w:eastAsia="Times New Roman" w:hAnsi="Times New Roman"/>
                <w:sz w:val="20"/>
                <w:szCs w:val="20"/>
              </w:rPr>
              <w:t xml:space="preserve">Ricostruzione giudiziaria 1979 (sabotaggio, errore tecnico); tesi dell'omicidio di Stato</w:t>
            </w:r>
          </w:p>
        </w:tc>
        <w:tc>
          <w:tcPr>
            <w:tcW w:type="dxa" w:w="2340"/>
          </w:tcPr>
          <w:p>
            <w:pPr>
              <w:spacing w:after="20" w:before="20"/>
              <w:jc w:val="left"/>
            </w:pPr>
            <w:r>
              <w:rPr>
                <w:rFonts w:ascii="Times New Roman" w:cs="Times New Roman" w:eastAsia="Times New Roman" w:hAnsi="Times New Roman"/>
                <w:sz w:val="20"/>
                <w:szCs w:val="20"/>
              </w:rPr>
              <w:t xml:space="preserve">✅ / 🔵</w:t>
            </w:r>
          </w:p>
        </w:tc>
        <w:tc>
          <w:tcPr>
            <w:tcW w:type="dxa" w:w="2340"/>
          </w:tcPr>
          <w:p>
            <w:pPr>
              <w:spacing w:after="20" w:before="20"/>
              <w:jc w:val="left"/>
            </w:pPr>
            <w:r>
              <w:rPr>
                <w:rFonts w:ascii="Times New Roman" w:cs="Times New Roman" w:eastAsia="Times New Roman" w:hAnsi="Times New Roman"/>
                <w:sz w:val="20"/>
                <w:szCs w:val="20"/>
              </w:rPr>
              <w:t xml:space="preserve">La ricostruzione del 1979 trova riscontro anche nei </w:t>
            </w:r>
            <w:r>
              <w:rPr>
                <w:rFonts w:ascii="Times New Roman" w:cs="Times New Roman" w:eastAsia="Times New Roman" w:hAnsi="Times New Roman"/>
                <w:b/>
                <w:bCs/>
                <w:sz w:val="20"/>
                <w:szCs w:val="20"/>
              </w:rPr>
              <w:t xml:space="preserve">nastri del covo BR di Robbiano di Mediglia</w:t>
            </w:r>
            <w:r>
              <w:rPr>
                <w:rFonts w:ascii="Times New Roman" w:cs="Times New Roman" w:eastAsia="Times New Roman" w:hAnsi="Times New Roman"/>
                <w:sz w:val="20"/>
                <w:szCs w:val="20"/>
              </w:rPr>
              <w:t xml:space="preserve"> («Osvaldo» con i candelotti sotto la gamba — Il Post (https://www.ilpost.it/2022/03/14/giangiacomo-feltrinelli/)); la tesi dell'omicidio resta, dopo verifica, esattamente dove la monografia l'aveva collocata: </w:t>
            </w:r>
            <w:r>
              <w:rPr>
                <w:rFonts w:ascii="Times New Roman" w:cs="Times New Roman" w:eastAsia="Times New Roman" w:hAnsi="Times New Roman"/>
                <w:b/>
                <w:bCs/>
                <w:sz w:val="20"/>
                <w:szCs w:val="20"/>
              </w:rPr>
              <w:t xml:space="preserve">congettura non provata</w:t>
            </w:r>
            <w:r>
              <w:rPr>
                <w:rFonts w:ascii="Times New Roman" w:cs="Times New Roman" w:eastAsia="Times New Roman" w:hAnsi="Times New Roman"/>
                <w:sz w:val="20"/>
                <w:szCs w:val="20"/>
              </w:rPr>
              <w:t xml:space="preserve">. «Fu ipotizzato l'omicidio e furono aperte inchieste, ma la verità non fu mai trovata»</w:t>
            </w:r>
          </w:p>
        </w:tc>
      </w:tr>
    </w:tbl>
    <w:p>
      <w:pPr>
        <w:spacing w:after="80"/>
      </w:pPr>
    </w:p>
    <w:p>
      <w:pPr>
        <w:spacing w:after="120" w:line="276"/>
        <w:jc w:val="both"/>
      </w:pPr>
      <w:r>
        <w:rPr>
          <w:rFonts w:ascii="Times New Roman" w:cs="Times New Roman" w:eastAsia="Times New Roman" w:hAnsi="Times New Roman"/>
          <w:b/>
          <w:bCs/>
          <w:sz w:val="24"/>
          <w:szCs w:val="24"/>
        </w:rPr>
        <w:t xml:space="preserve">Bilancio della verifica.</w:t>
      </w:r>
      <w:r>
        <w:rPr>
          <w:rFonts w:ascii="Times New Roman" w:cs="Times New Roman" w:eastAsia="Times New Roman" w:hAnsi="Times New Roman"/>
          <w:sz w:val="24"/>
          <w:szCs w:val="24"/>
        </w:rPr>
        <w:t xml:space="preserve"> Nessuna affermazione portante è caduta. Tre sono state precisate (PCI, GAP, Segrate) e le correzioni sono già nel testo con note di revisione; una (la Bolivia del 1967) mancava ed è stata integrata. La categoria «congettura» assegnata alla tesi dell'omicidio ha retto al riscontro: è la collocazione giusta, né promossa né liquidata.</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2. I ponti con il corpus (B-1…B-7)</w:t>
      </w:r>
    </w:p>
    <w:p>
      <w:pPr>
        <w:spacing w:after="120" w:line="276"/>
        <w:jc w:val="both"/>
      </w:pPr>
      <w:r>
        <w:rPr>
          <w:rFonts w:ascii="Times New Roman" w:cs="Times New Roman" w:eastAsia="Times New Roman" w:hAnsi="Times New Roman"/>
          <w:sz w:val="24"/>
          <w:szCs w:val="24"/>
        </w:rPr>
        <w:t xml:space="preserve">Triangolare Feltrinelli «con ognuno nel corpus» significa dire, per ciascun documento, </w:t>
      </w:r>
      <w:r>
        <w:rPr>
          <w:rFonts w:ascii="Times New Roman" w:cs="Times New Roman" w:eastAsia="Times New Roman" w:hAnsi="Times New Roman"/>
          <w:b/>
          <w:bCs/>
          <w:sz w:val="24"/>
          <w:szCs w:val="24"/>
        </w:rPr>
        <w:t xml:space="preserve">se</w:t>
      </w:r>
      <w:r>
        <w:rPr>
          <w:rFonts w:ascii="Times New Roman" w:cs="Times New Roman" w:eastAsia="Times New Roman" w:hAnsi="Times New Roman"/>
          <w:sz w:val="24"/>
          <w:szCs w:val="24"/>
        </w:rPr>
        <w:t xml:space="preserve"> un ponte esiste e </w:t>
      </w:r>
      <w:r>
        <w:rPr>
          <w:rFonts w:ascii="Times New Roman" w:cs="Times New Roman" w:eastAsia="Times New Roman" w:hAnsi="Times New Roman"/>
          <w:b/>
          <w:bCs/>
          <w:sz w:val="24"/>
          <w:szCs w:val="24"/>
        </w:rPr>
        <w:t xml:space="preserve">di che natura</w:t>
      </w:r>
      <w:r>
        <w:rPr>
          <w:rFonts w:ascii="Times New Roman" w:cs="Times New Roman" w:eastAsia="Times New Roman" w:hAnsi="Times New Roman"/>
          <w:sz w:val="24"/>
          <w:szCs w:val="24"/>
        </w:rPr>
        <w:t xml:space="preserve"> è. Ecco la mappa, ponte per ponte.</w:t>
      </w:r>
    </w:p>
    <w:p>
      <w:pPr>
        <w:pStyle w:val="Heading3"/>
        <w:spacing w:after="80" w:before="160"/>
      </w:pPr>
      <w:r>
        <w:rPr>
          <w:rFonts w:ascii="Times New Roman" w:cs="Times New Roman" w:eastAsia="Times New Roman" w:hAnsi="Times New Roman"/>
          <w:sz w:val="24"/>
          <w:szCs w:val="24"/>
        </w:rPr>
        <w:t xml:space="preserve">B-1 · Con la campagna boliviana (guevara-campagna-boliviana-1966-1967.md) — ponte documentato, nuovo</w:t>
      </w:r>
    </w:p>
    <w:p>
      <w:pPr>
        <w:spacing w:after="120" w:line="276"/>
        <w:jc w:val="both"/>
      </w:pPr>
      <w:r>
        <w:rPr>
          <w:rFonts w:ascii="Times New Roman" w:cs="Times New Roman" w:eastAsia="Times New Roman" w:hAnsi="Times New Roman"/>
          <w:sz w:val="24"/>
          <w:szCs w:val="24"/>
        </w:rPr>
        <w:t xml:space="preserve">Il capitolo boliviano registra la cattura di </w:t>
      </w:r>
      <w:r>
        <w:rPr>
          <w:rFonts w:ascii="Times New Roman" w:cs="Times New Roman" w:eastAsia="Times New Roman" w:hAnsi="Times New Roman"/>
          <w:b/>
          <w:bCs/>
          <w:sz w:val="24"/>
          <w:szCs w:val="24"/>
        </w:rPr>
        <w:t xml:space="preserve">Régis Debray</w:t>
      </w:r>
      <w:r>
        <w:rPr>
          <w:rFonts w:ascii="Times New Roman" w:cs="Times New Roman" w:eastAsia="Times New Roman" w:hAnsi="Times New Roman"/>
          <w:sz w:val="24"/>
          <w:szCs w:val="24"/>
        </w:rPr>
        <w:t xml:space="preserve"> (20 aprile 1967) e il suo processo, che «internazionalizzò il caso». La triangolazione aggiunge il tassello mancante: fra i presenti attirati da quel processo </w:t>
      </w:r>
      <w:r>
        <w:rPr>
          <w:rFonts w:ascii="Times New Roman" w:cs="Times New Roman" w:eastAsia="Times New Roman" w:hAnsi="Times New Roman"/>
          <w:b/>
          <w:bCs/>
          <w:sz w:val="24"/>
          <w:szCs w:val="24"/>
        </w:rPr>
        <w:t xml:space="preserve">ci fu Feltrinelli in persona</w:t>
      </w:r>
      <w:r>
        <w:rPr>
          <w:rFonts w:ascii="Times New Roman" w:cs="Times New Roman" w:eastAsia="Times New Roman" w:hAnsi="Times New Roman"/>
          <w:sz w:val="24"/>
          <w:szCs w:val="24"/>
        </w:rPr>
        <w:t xml:space="preserve">, arrestato ed espulso dalla Bolivia nell'agosto 1967. Il vettore non comprò il mito da lontano: </w:t>
      </w:r>
      <w:r>
        <w:rPr>
          <w:rFonts w:ascii="Times New Roman" w:cs="Times New Roman" w:eastAsia="Times New Roman" w:hAnsi="Times New Roman"/>
          <w:b/>
          <w:bCs/>
          <w:sz w:val="24"/>
          <w:szCs w:val="24"/>
        </w:rPr>
        <w:t xml:space="preserve">si presentò sul bordo della guerriglia due mesi prima della Quebrada del Churo</w:t>
      </w:r>
      <w:r>
        <w:rPr>
          <w:rFonts w:ascii="Times New Roman" w:cs="Times New Roman" w:eastAsia="Times New Roman" w:hAnsi="Times New Roman"/>
          <w:sz w:val="24"/>
          <w:szCs w:val="24"/>
        </w:rPr>
        <w:t xml:space="preserve">. È il ponte fisico — non solo editoriale — fra la biografia di Feltrinelli e la parabola guevariana, e retrodata il suo investimento sul Che a </w:t>
      </w:r>
      <w:r>
        <w:rPr>
          <w:rFonts w:ascii="Times New Roman" w:cs="Times New Roman" w:eastAsia="Times New Roman" w:hAnsi="Times New Roman"/>
          <w:i/>
          <w:iCs/>
          <w:sz w:val="24"/>
          <w:szCs w:val="24"/>
        </w:rPr>
        <w:t xml:space="preserve">prima</w:t>
      </w:r>
      <w:r>
        <w:rPr>
          <w:rFonts w:ascii="Times New Roman" w:cs="Times New Roman" w:eastAsia="Times New Roman" w:hAnsi="Times New Roman"/>
          <w:sz w:val="24"/>
          <w:szCs w:val="24"/>
        </w:rPr>
        <w:t xml:space="preserve"> della morte di questi.</w:t>
      </w:r>
    </w:p>
    <w:p>
      <w:pPr>
        <w:pStyle w:val="Heading3"/>
        <w:spacing w:after="80" w:before="160"/>
      </w:pPr>
      <w:r>
        <w:rPr>
          <w:rFonts w:ascii="Times New Roman" w:cs="Times New Roman" w:eastAsia="Times New Roman" w:hAnsi="Times New Roman"/>
          <w:sz w:val="24"/>
          <w:szCs w:val="24"/>
        </w:rPr>
        <w:t xml:space="preserve">B-2 · Con le fonti stesse del corpus (guevara-bibliografia-critica.md) — ponte riflessivo, documentato</w:t>
      </w:r>
    </w:p>
    <w:p>
      <w:pPr>
        <w:spacing w:after="120" w:line="276"/>
        <w:jc w:val="both"/>
      </w:pPr>
      <w:r>
        <w:rPr>
          <w:rFonts w:ascii="Times New Roman" w:cs="Times New Roman" w:eastAsia="Times New Roman" w:hAnsi="Times New Roman"/>
          <w:sz w:val="24"/>
          <w:szCs w:val="24"/>
        </w:rPr>
        <w:t xml:space="preserve">La bibliografia critica del corpus elenca il </w:t>
      </w:r>
      <w:r>
        <w:rPr>
          <w:rFonts w:ascii="Times New Roman" w:cs="Times New Roman" w:eastAsia="Times New Roman" w:hAnsi="Times New Roman"/>
          <w:i/>
          <w:iCs/>
          <w:sz w:val="24"/>
          <w:szCs w:val="24"/>
        </w:rPr>
        <w:t xml:space="preserve">Diario del Che in Bolivia</w:t>
      </w:r>
      <w:r>
        <w:rPr>
          <w:rFonts w:ascii="Times New Roman" w:cs="Times New Roman" w:eastAsia="Times New Roman" w:hAnsi="Times New Roman"/>
          <w:sz w:val="24"/>
          <w:szCs w:val="24"/>
        </w:rPr>
        <w:t xml:space="preserve"> come </w:t>
      </w:r>
      <w:r>
        <w:rPr>
          <w:rFonts w:ascii="Times New Roman" w:cs="Times New Roman" w:eastAsia="Times New Roman" w:hAnsi="Times New Roman"/>
          <w:b/>
          <w:bCs/>
          <w:sz w:val="24"/>
          <w:szCs w:val="24"/>
        </w:rPr>
        <w:t xml:space="preserve">fonte primaria</w:t>
      </w:r>
      <w:r>
        <w:rPr>
          <w:rFonts w:ascii="Times New Roman" w:cs="Times New Roman" w:eastAsia="Times New Roman" w:hAnsi="Times New Roman"/>
          <w:sz w:val="24"/>
          <w:szCs w:val="24"/>
        </w:rPr>
        <w:t xml:space="preserve"> dell'intero capitolo boliviano. Ma il canale per cui quel diario giunse in Italia </w:t>
      </w:r>
      <w:r>
        <w:rPr>
          <w:rFonts w:ascii="Times New Roman" w:cs="Times New Roman" w:eastAsia="Times New Roman" w:hAnsi="Times New Roman"/>
          <w:b/>
          <w:bCs/>
          <w:sz w:val="24"/>
          <w:szCs w:val="24"/>
        </w:rPr>
        <w:t xml:space="preserve">è Feltrinelli</w:t>
      </w:r>
      <w:r>
        <w:rPr>
          <w:rFonts w:ascii="Times New Roman" w:cs="Times New Roman" w:eastAsia="Times New Roman" w:hAnsi="Times New Roman"/>
          <w:sz w:val="24"/>
          <w:szCs w:val="24"/>
        </w:rPr>
        <w:t xml:space="preserve"> (diritti 1967, edizione 1968). Il corpus, cioè, ogni volta che cita il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nell'edizione italiana, </w:t>
      </w:r>
      <w:r>
        <w:rPr>
          <w:rFonts w:ascii="Times New Roman" w:cs="Times New Roman" w:eastAsia="Times New Roman" w:hAnsi="Times New Roman"/>
          <w:b/>
          <w:bCs/>
          <w:sz w:val="24"/>
          <w:szCs w:val="24"/>
        </w:rPr>
        <w:t xml:space="preserve">passa dal vettore che sta studiando</w:t>
      </w:r>
      <w:r>
        <w:rPr>
          <w:rFonts w:ascii="Times New Roman" w:cs="Times New Roman" w:eastAsia="Times New Roman" w:hAnsi="Times New Roman"/>
          <w:sz w:val="24"/>
          <w:szCs w:val="24"/>
        </w:rPr>
        <w:t xml:space="preserve">: la fonte primaria della parabola e il fabbricante del mito coincidono nel medesimo canale editoriale. Questa riflessività non inficia la fonte (il testo del diario è riscontrato su edizioni e archivi indipendenti), ma va dichiarata: è un caso da manuale di come il vettore di un mito sia anche il vettore dei suoi documenti.</w:t>
      </w:r>
    </w:p>
    <w:p>
      <w:pPr>
        <w:pStyle w:val="Heading3"/>
        <w:spacing w:after="80" w:before="160"/>
      </w:pPr>
      <w:r>
        <w:rPr>
          <w:rFonts w:ascii="Times New Roman" w:cs="Times New Roman" w:eastAsia="Times New Roman" w:hAnsi="Times New Roman"/>
          <w:sz w:val="24"/>
          <w:szCs w:val="24"/>
        </w:rPr>
        <w:t xml:space="preserve">B-3 · Con il saggio di sintesi (dal-che-a-moro-una-guerra-senza-fine.md) — ponte fondativo, confermato</w:t>
      </w:r>
    </w:p>
    <w:p>
      <w:pPr>
        <w:spacing w:after="120" w:line="276"/>
        <w:jc w:val="both"/>
      </w:pPr>
      <w:r>
        <w:rPr>
          <w:rFonts w:ascii="Times New Roman" w:cs="Times New Roman" w:eastAsia="Times New Roman" w:hAnsi="Times New Roman"/>
          <w:sz w:val="24"/>
          <w:szCs w:val="24"/>
        </w:rPr>
        <w:t xml:space="preserve">La Parte seconda del saggio («Il Che: un mito e il suo vettore») poggiava su tre asserzioni: Korda 1967 come manifesto,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1968, GAP 1970. Tutte e tre </w:t>
      </w:r>
      <w:r>
        <w:rPr>
          <w:rFonts w:ascii="Times New Roman" w:cs="Times New Roman" w:eastAsia="Times New Roman" w:hAnsi="Times New Roman"/>
          <w:b/>
          <w:bCs/>
          <w:sz w:val="24"/>
          <w:szCs w:val="24"/>
        </w:rPr>
        <w:t xml:space="preserve">reggono</w:t>
      </w:r>
      <w:r>
        <w:rPr>
          <w:rFonts w:ascii="Times New Roman" w:cs="Times New Roman" w:eastAsia="Times New Roman" w:hAnsi="Times New Roman"/>
          <w:sz w:val="24"/>
          <w:szCs w:val="24"/>
        </w:rPr>
        <w:t xml:space="preserve"> e sono ora fondate su uno studio autonomo con fonti proprie, anziché su un paragrafo di sintesi. La monografia dà inoltre al saggio ciò che gli mancava: la spiegazione </w:t>
      </w:r>
      <w:r>
        <w:rPr>
          <w:rFonts w:ascii="Times New Roman" w:cs="Times New Roman" w:eastAsia="Times New Roman" w:hAnsi="Times New Roman"/>
          <w:i/>
          <w:iCs/>
          <w:sz w:val="24"/>
          <w:szCs w:val="24"/>
        </w:rPr>
        <w:t xml:space="preserve">professionale</w:t>
      </w:r>
      <w:r>
        <w:rPr>
          <w:rFonts w:ascii="Times New Roman" w:cs="Times New Roman" w:eastAsia="Times New Roman" w:hAnsi="Times New Roman"/>
          <w:sz w:val="24"/>
          <w:szCs w:val="24"/>
        </w:rPr>
        <w:t xml:space="preserve"> del vettore — Feltrinelli sapeva fabbricare simboli perché era il suo mestiere (Živago, Gattopardo), e applicò al Che la stessa competenza editoriale.</w:t>
      </w:r>
    </w:p>
    <w:p>
      <w:pPr>
        <w:pStyle w:val="Heading3"/>
        <w:spacing w:after="80" w:before="160"/>
      </w:pPr>
      <w:r>
        <w:rPr>
          <w:rFonts w:ascii="Times New Roman" w:cs="Times New Roman" w:eastAsia="Times New Roman" w:hAnsi="Times New Roman"/>
          <w:sz w:val="24"/>
          <w:szCs w:val="24"/>
        </w:rPr>
        <w:t xml:space="preserve">B-4 · Con la matrice Guevara-Moro (triangolazioni-guevara-moro.md) — aggiornamento del nodo M-2</w:t>
      </w:r>
    </w:p>
    <w:p>
      <w:pPr>
        <w:spacing w:after="120" w:line="276"/>
        <w:jc w:val="both"/>
      </w:pPr>
      <w:r>
        <w:rPr>
          <w:rFonts w:ascii="Times New Roman" w:cs="Times New Roman" w:eastAsia="Times New Roman" w:hAnsi="Times New Roman"/>
          <w:sz w:val="24"/>
          <w:szCs w:val="24"/>
        </w:rPr>
        <w:t xml:space="preserve">Il nodo M-2 («Il vettore Feltrinelli») della matrice resta valido in ogni sua parte, ma va letto d'ora in poi insieme a questo documento: la monografia e la presente triangolazione lo </w:t>
      </w:r>
      <w:r>
        <w:rPr>
          <w:rFonts w:ascii="Times New Roman" w:cs="Times New Roman" w:eastAsia="Times New Roman" w:hAnsi="Times New Roman"/>
          <w:b/>
          <w:bCs/>
          <w:sz w:val="24"/>
          <w:szCs w:val="24"/>
        </w:rPr>
        <w:t xml:space="preserve">espandono</w:t>
      </w:r>
      <w:r>
        <w:rPr>
          <w:rFonts w:ascii="Times New Roman" w:cs="Times New Roman" w:eastAsia="Times New Roman" w:hAnsi="Times New Roman"/>
          <w:sz w:val="24"/>
          <w:szCs w:val="24"/>
        </w:rPr>
        <w:t xml:space="preserve"> con i nodi F-1…F-17 e lo </w:t>
      </w:r>
      <w:r>
        <w:rPr>
          <w:rFonts w:ascii="Times New Roman" w:cs="Times New Roman" w:eastAsia="Times New Roman" w:hAnsi="Times New Roman"/>
          <w:b/>
          <w:bCs/>
          <w:sz w:val="24"/>
          <w:szCs w:val="24"/>
        </w:rPr>
        <w:t xml:space="preserve">precisano</w:t>
      </w:r>
      <w:r>
        <w:rPr>
          <w:rFonts w:ascii="Times New Roman" w:cs="Times New Roman" w:eastAsia="Times New Roman" w:hAnsi="Times New Roman"/>
          <w:sz w:val="24"/>
          <w:szCs w:val="24"/>
        </w:rPr>
        <w:t xml:space="preserve"> su tre punti (PCI, data GAP, cronologia di Segrate). Il registro di esecuzione della matrice (§ 4) va inteso come integrato dai 17 nodi qui aggiunti.</w:t>
      </w:r>
    </w:p>
    <w:p>
      <w:pPr>
        <w:pStyle w:val="Heading3"/>
        <w:spacing w:after="80" w:before="160"/>
      </w:pPr>
      <w:r>
        <w:rPr>
          <w:rFonts w:ascii="Times New Roman" w:cs="Times New Roman" w:eastAsia="Times New Roman" w:hAnsi="Times New Roman"/>
          <w:sz w:val="24"/>
          <w:szCs w:val="24"/>
        </w:rPr>
        <w:t xml:space="preserve">B-5 · Con la cronologia sinottica (cronologia-guevara-moro.html) — ponte strutturale</w:t>
      </w:r>
    </w:p>
    <w:p>
      <w:pPr>
        <w:spacing w:after="120" w:line="276"/>
        <w:jc w:val="both"/>
      </w:pPr>
      <w:r>
        <w:rPr>
          <w:rFonts w:ascii="Times New Roman" w:cs="Times New Roman" w:eastAsia="Times New Roman" w:hAnsi="Times New Roman"/>
          <w:sz w:val="24"/>
          <w:szCs w:val="24"/>
        </w:rPr>
        <w:t xml:space="preserve">Nel filo «L'immagine — il mito» della cronologia, Feltrinelli è ora presente in tre punti: 1967-68 (manifesto e </w:t>
      </w:r>
      <w:r>
        <w:rPr>
          <w:rFonts w:ascii="Times New Roman" w:cs="Times New Roman" w:eastAsia="Times New Roman" w:hAnsi="Times New Roman"/>
          <w:i/>
          <w:iCs/>
          <w:sz w:val="24"/>
          <w:szCs w:val="24"/>
        </w:rPr>
        <w:t xml:space="preserve">Diario</w:t>
      </w:r>
      <w:r>
        <w:rPr>
          <w:rFonts w:ascii="Times New Roman" w:cs="Times New Roman" w:eastAsia="Times New Roman" w:hAnsi="Times New Roman"/>
          <w:sz w:val="24"/>
          <w:szCs w:val="24"/>
        </w:rPr>
        <w:t xml:space="preserve">), 1970 (GAP e Pecorile), 14-15 marzo 1972 (Segrate, evento terminale). Con questa triangolazione la scheda di Segrate è stata precisata (morte il 14, ritrovamento il 15). Il filo del mito ha così il suo arco completo: fabbricazione → trasmissione → fine del vettore.</w:t>
      </w:r>
    </w:p>
    <w:p>
      <w:pPr>
        <w:pStyle w:val="Heading3"/>
        <w:spacing w:after="80" w:before="160"/>
      </w:pPr>
      <w:r>
        <w:rPr>
          <w:rFonts w:ascii="Times New Roman" w:cs="Times New Roman" w:eastAsia="Times New Roman" w:hAnsi="Times New Roman"/>
          <w:sz w:val="24"/>
          <w:szCs w:val="24"/>
        </w:rPr>
        <w:t xml:space="preserve">B-6 · Con l'elenco degli amnistiati (amnistiati-tribunale-speciale.md) — convergenza tematica, non nesso</w:t>
      </w:r>
    </w:p>
    <w:p>
      <w:pPr>
        <w:spacing w:after="120" w:line="276"/>
        <w:jc w:val="both"/>
      </w:pPr>
      <w:r>
        <w:rPr>
          <w:rFonts w:ascii="Times New Roman" w:cs="Times New Roman" w:eastAsia="Times New Roman" w:hAnsi="Times New Roman"/>
          <w:sz w:val="24"/>
          <w:szCs w:val="24"/>
        </w:rPr>
        <w:t xml:space="preserve">Il primo documento del branch censisce gli amnistiati del </w:t>
      </w:r>
      <w:r>
        <w:rPr>
          <w:rFonts w:ascii="Times New Roman" w:cs="Times New Roman" w:eastAsia="Times New Roman" w:hAnsi="Times New Roman"/>
          <w:b/>
          <w:bCs/>
          <w:sz w:val="24"/>
          <w:szCs w:val="24"/>
        </w:rPr>
        <w:t xml:space="preserve">Tribunale Speciale fascista</w:t>
      </w:r>
      <w:r>
        <w:rPr>
          <w:rFonts w:ascii="Times New Roman" w:cs="Times New Roman" w:eastAsia="Times New Roman" w:hAnsi="Times New Roman"/>
          <w:sz w:val="24"/>
          <w:szCs w:val="24"/>
        </w:rPr>
        <w:t xml:space="preserve"> (1926-43); i GAP di Feltrinelli ripresero </w:t>
      </w:r>
      <w:r>
        <w:rPr>
          <w:rFonts w:ascii="Times New Roman" w:cs="Times New Roman" w:eastAsia="Times New Roman" w:hAnsi="Times New Roman"/>
          <w:b/>
          <w:bCs/>
          <w:sz w:val="24"/>
          <w:szCs w:val="24"/>
        </w:rPr>
        <w:t xml:space="preserve">il nome</w:t>
      </w:r>
      <w:r>
        <w:rPr>
          <w:rFonts w:ascii="Times New Roman" w:cs="Times New Roman" w:eastAsia="Times New Roman" w:hAnsi="Times New Roman"/>
          <w:sz w:val="24"/>
          <w:szCs w:val="24"/>
        </w:rPr>
        <w:t xml:space="preserve"> dei Gruppi di Azione Patriottica della Resistenza, cioè dell'antifascismo armato che di quel tribunale fu vittima e risposta. I due documenti stanno dunque sullo stesso </w:t>
      </w:r>
      <w:r>
        <w:rPr>
          <w:rFonts w:ascii="Times New Roman" w:cs="Times New Roman" w:eastAsia="Times New Roman" w:hAnsi="Times New Roman"/>
          <w:b/>
          <w:bCs/>
          <w:sz w:val="24"/>
          <w:szCs w:val="24"/>
        </w:rPr>
        <w:t xml:space="preserve">asse fascismo/antifascismo</w:t>
      </w:r>
      <w:r>
        <w:rPr>
          <w:rFonts w:ascii="Times New Roman" w:cs="Times New Roman" w:eastAsia="Times New Roman" w:hAnsi="Times New Roman"/>
          <w:sz w:val="24"/>
          <w:szCs w:val="24"/>
        </w:rPr>
        <w:t xml:space="preserve"> che attraversa il Novecento italiano — ma il ponte è </w:t>
      </w:r>
      <w:r>
        <w:rPr>
          <w:rFonts w:ascii="Times New Roman" w:cs="Times New Roman" w:eastAsia="Times New Roman" w:hAnsi="Times New Roman"/>
          <w:b/>
          <w:bCs/>
          <w:sz w:val="24"/>
          <w:szCs w:val="24"/>
        </w:rPr>
        <w:t xml:space="preserve">di tema, non di storia</w:t>
      </w:r>
      <w:r>
        <w:rPr>
          <w:rFonts w:ascii="Times New Roman" w:cs="Times New Roman" w:eastAsia="Times New Roman" w:hAnsi="Times New Roman"/>
          <w:sz w:val="24"/>
          <w:szCs w:val="24"/>
        </w:rPr>
        <w:t xml:space="preserve">: nessun rapporto documentale lega gli amnistiati del Tribunale Speciale ai GAP del 1970. Si registra la convergenza e la si lascia lì.</w:t>
      </w:r>
    </w:p>
    <w:p>
      <w:pPr>
        <w:pStyle w:val="Heading3"/>
        <w:spacing w:after="80" w:before="160"/>
      </w:pPr>
      <w:r>
        <w:rPr>
          <w:rFonts w:ascii="Times New Roman" w:cs="Times New Roman" w:eastAsia="Times New Roman" w:hAnsi="Times New Roman"/>
          <w:sz w:val="24"/>
          <w:szCs w:val="24"/>
        </w:rPr>
        <w:t xml:space="preserve">B-7 · Con la cornice della guerra fredda (Parti prima e quinta del saggio) — anti-lettura documentata</w:t>
      </w:r>
    </w:p>
    <w:p>
      <w:pPr>
        <w:spacing w:after="120" w:line="276"/>
        <w:jc w:val="both"/>
      </w:pPr>
      <w:r>
        <w:rPr>
          <w:rFonts w:ascii="Times New Roman" w:cs="Times New Roman" w:eastAsia="Times New Roman" w:hAnsi="Times New Roman"/>
          <w:sz w:val="24"/>
          <w:szCs w:val="24"/>
        </w:rPr>
        <w:t xml:space="preserve">La biografia triangolata produce un risultato che nessuna lettura di parte può assorbire: </w:t>
      </w:r>
      <w:r>
        <w:rPr>
          <w:rFonts w:ascii="Times New Roman" w:cs="Times New Roman" w:eastAsia="Times New Roman" w:hAnsi="Times New Roman"/>
          <w:b/>
          <w:bCs/>
          <w:sz w:val="24"/>
          <w:szCs w:val="24"/>
        </w:rPr>
        <w:t xml:space="preserve">Feltrinelli sfidò entrambi i campi</w:t>
      </w:r>
      <w:r>
        <w:rPr>
          <w:rFonts w:ascii="Times New Roman" w:cs="Times New Roman" w:eastAsia="Times New Roman" w:hAnsi="Times New Roman"/>
          <w:sz w:val="24"/>
          <w:szCs w:val="24"/>
        </w:rPr>
        <w:t xml:space="preserve">. Nel 1957 pubblicò il </w:t>
      </w:r>
      <w:r>
        <w:rPr>
          <w:rFonts w:ascii="Times New Roman" w:cs="Times New Roman" w:eastAsia="Times New Roman" w:hAnsi="Times New Roman"/>
          <w:i/>
          <w:iCs/>
          <w:sz w:val="24"/>
          <w:szCs w:val="24"/>
        </w:rPr>
        <w:t xml:space="preserve">Živago</w:t>
      </w:r>
      <w:r>
        <w:rPr>
          <w:rFonts w:ascii="Times New Roman" w:cs="Times New Roman" w:eastAsia="Times New Roman" w:hAnsi="Times New Roman"/>
          <w:sz w:val="24"/>
          <w:szCs w:val="24"/>
        </w:rPr>
        <w:t xml:space="preserve"> contro il Cremlino e contro il PCI; nel 1967-68 fabbricò il mito del Che contro l'ordine atlantico; e morì clandestino, braccato dall'una e sospettato d'essere strumento dell'altra. Ogni schema che lo voglia «agente» di una parte deve cancellare metà della sua biografia documentata. È la conferma biografica della tesi-limite del corpus: non un organismo, ma un </w:t>
      </w:r>
      <w:r>
        <w:rPr>
          <w:rFonts w:ascii="Times New Roman" w:cs="Times New Roman" w:eastAsia="Times New Roman" w:hAnsi="Times New Roman"/>
          <w:b/>
          <w:bCs/>
          <w:sz w:val="24"/>
          <w:szCs w:val="24"/>
        </w:rPr>
        <w:t xml:space="preserve">ecosistema</w:t>
      </w:r>
      <w:r>
        <w:rPr>
          <w:rFonts w:ascii="Times New Roman" w:cs="Times New Roman" w:eastAsia="Times New Roman" w:hAnsi="Times New Roman"/>
          <w:sz w:val="24"/>
          <w:szCs w:val="24"/>
        </w:rPr>
        <w:t xml:space="preserve"> — e in mezzo un uomo che non apparteneva per intero a nessuno dei due blocchi che lo reclamavano o lo temevano.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3. Anti-triangolazioni (AT-1…AT-3)</w:t>
      </w:r>
    </w:p>
    <w:p>
      <w:pPr>
        <w:spacing w:after="120" w:line="276"/>
        <w:jc w:val="both"/>
      </w:pPr>
      <w:r>
        <w:rPr>
          <w:rFonts w:ascii="Times New Roman" w:cs="Times New Roman" w:eastAsia="Times New Roman" w:hAnsi="Times New Roman"/>
          <w:sz w:val="24"/>
          <w:szCs w:val="24"/>
        </w:rPr>
        <w:t xml:space="preserve">I nessi che </w:t>
      </w:r>
      <w:r>
        <w:rPr>
          <w:rFonts w:ascii="Times New Roman" w:cs="Times New Roman" w:eastAsia="Times New Roman" w:hAnsi="Times New Roman"/>
          <w:b/>
          <w:bCs/>
          <w:sz w:val="24"/>
          <w:szCs w:val="24"/>
        </w:rPr>
        <w:t xml:space="preserve">non</w:t>
      </w:r>
      <w:r>
        <w:rPr>
          <w:rFonts w:ascii="Times New Roman" w:cs="Times New Roman" w:eastAsia="Times New Roman" w:hAnsi="Times New Roman"/>
          <w:sz w:val="24"/>
          <w:szCs w:val="24"/>
        </w:rPr>
        <w:t xml:space="preserve"> reggono, dichiarati esplicitamente perché nessuno li promuova per scivolamento.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Anti-triangolazione</w:t>
            </w:r>
          </w:p>
        </w:tc>
      </w:tr>
      <w:tr>
        <w:tc>
          <w:tcPr>
            <w:tcW w:type="dxa" w:w="4680"/>
          </w:tcPr>
          <w:p>
            <w:pPr>
              <w:spacing w:after="20" w:before="20"/>
              <w:jc w:val="left"/>
            </w:pPr>
            <w:r>
              <w:rPr>
                <w:rFonts w:ascii="Times New Roman" w:cs="Times New Roman" w:eastAsia="Times New Roman" w:hAnsi="Times New Roman"/>
                <w:sz w:val="20"/>
                <w:szCs w:val="20"/>
              </w:rPr>
              <w:t xml:space="preserve">AT-1</w:t>
            </w:r>
          </w:p>
        </w:tc>
        <w:tc>
          <w:tcPr>
            <w:tcW w:type="dxa" w:w="4680"/>
          </w:tcPr>
          <w:p>
            <w:pPr>
              <w:spacing w:after="20" w:before="20"/>
              <w:jc w:val="left"/>
            </w:pPr>
            <w:r>
              <w:rPr>
                <w:rFonts w:ascii="Times New Roman" w:cs="Times New Roman" w:eastAsia="Times New Roman" w:hAnsi="Times New Roman"/>
                <w:b/>
                <w:bCs/>
                <w:sz w:val="20"/>
                <w:szCs w:val="20"/>
              </w:rPr>
              <w:t xml:space="preserve">Vettore ≠ mandante.</w:t>
            </w:r>
            <w:r>
              <w:rPr>
                <w:rFonts w:ascii="Times New Roman" w:cs="Times New Roman" w:eastAsia="Times New Roman" w:hAnsi="Times New Roman"/>
                <w:sz w:val="20"/>
                <w:szCs w:val="20"/>
              </w:rPr>
              <w:t xml:space="preserve"> Feltrinelli morì il 14 marzo 1972, sei anni prima di via Fani. Nessun filo documentale lo lega al sequestro Moro: il ponte Feltrinelli→BR è genealogico (formazione, modello, «scuola di guerriglia»), non operativo né direttivo rispetto a ciò che le BR fecero dopo di lui e senza di lui</w:t>
            </w:r>
          </w:p>
        </w:tc>
      </w:tr>
      <w:tr>
        <w:tc>
          <w:tcPr>
            <w:tcW w:type="dxa" w:w="4680"/>
          </w:tcPr>
          <w:p>
            <w:pPr>
              <w:spacing w:after="20" w:before="20"/>
              <w:jc w:val="left"/>
            </w:pPr>
            <w:r>
              <w:rPr>
                <w:rFonts w:ascii="Times New Roman" w:cs="Times New Roman" w:eastAsia="Times New Roman" w:hAnsi="Times New Roman"/>
                <w:sz w:val="20"/>
                <w:szCs w:val="20"/>
              </w:rPr>
              <w:t xml:space="preserve">AT-2</w:t>
            </w:r>
          </w:p>
        </w:tc>
        <w:tc>
          <w:tcPr>
            <w:tcW w:type="dxa" w:w="4680"/>
          </w:tcPr>
          <w:p>
            <w:pPr>
              <w:spacing w:after="20" w:before="20"/>
              <w:jc w:val="left"/>
            </w:pPr>
            <w:r>
              <w:rPr>
                <w:rFonts w:ascii="Times New Roman" w:cs="Times New Roman" w:eastAsia="Times New Roman" w:hAnsi="Times New Roman"/>
                <w:b/>
                <w:bCs/>
                <w:sz w:val="20"/>
                <w:szCs w:val="20"/>
              </w:rPr>
              <w:t xml:space="preserve">La morte non è un omicidio provato.</w:t>
            </w:r>
            <w:r>
              <w:rPr>
                <w:rFonts w:ascii="Times New Roman" w:cs="Times New Roman" w:eastAsia="Times New Roman" w:hAnsi="Times New Roman"/>
                <w:sz w:val="20"/>
                <w:szCs w:val="20"/>
              </w:rPr>
              <w:t xml:space="preserve"> Dopo la verifica, la tesi dell'omicidio di Stato resta congettura: la ricostruzione accolta in giudizio (1979) e riscontrata sui nastri di Robbiano di Mediglia è quella dell'incidente durante il sabotaggio. Il sospetto contrario è legittimo come sospetto, e tale rimane. Nessun nome</w:t>
            </w:r>
          </w:p>
        </w:tc>
      </w:tr>
      <w:tr>
        <w:tc>
          <w:tcPr>
            <w:tcW w:type="dxa" w:w="4680"/>
          </w:tcPr>
          <w:p>
            <w:pPr>
              <w:spacing w:after="20" w:before="20"/>
              <w:jc w:val="left"/>
            </w:pPr>
            <w:r>
              <w:rPr>
                <w:rFonts w:ascii="Times New Roman" w:cs="Times New Roman" w:eastAsia="Times New Roman" w:hAnsi="Times New Roman"/>
                <w:sz w:val="20"/>
                <w:szCs w:val="20"/>
              </w:rPr>
              <w:t xml:space="preserve">AT-3</w:t>
            </w:r>
          </w:p>
        </w:tc>
        <w:tc>
          <w:tcPr>
            <w:tcW w:type="dxa" w:w="4680"/>
          </w:tcPr>
          <w:p>
            <w:pPr>
              <w:spacing w:after="20" w:before="20"/>
              <w:jc w:val="left"/>
            </w:pPr>
            <w:r>
              <w:rPr>
                <w:rFonts w:ascii="Times New Roman" w:cs="Times New Roman" w:eastAsia="Times New Roman" w:hAnsi="Times New Roman"/>
                <w:b/>
                <w:bCs/>
                <w:sz w:val="20"/>
                <w:szCs w:val="20"/>
              </w:rPr>
              <w:t xml:space="preserve">Il nome partigiano non fa dei GAP una continuazione della Resistenza.</w:t>
            </w:r>
            <w:r>
              <w:rPr>
                <w:rFonts w:ascii="Times New Roman" w:cs="Times New Roman" w:eastAsia="Times New Roman" w:hAnsi="Times New Roman"/>
                <w:sz w:val="20"/>
                <w:szCs w:val="20"/>
              </w:rPr>
              <w:t xml:space="preserve"> La ripresa della sigla del 1943-45 fu una rivendicazione simbolica; la continuità organizzativa e storica non esisteva, e la stessa area dell'antifascismo storico non riconobbe quella filiazione. Chi usa il nome come prova di continuità commette l'errore che il corpus chiama «promozione della convergenza a nesso»</w:t>
            </w:r>
          </w:p>
        </w:tc>
      </w:tr>
    </w:tbl>
    <w:p>
      <w:pPr>
        <w:spacing w:after="80"/>
      </w:pP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4. Registro di esecuzione</w:t>
      </w:r>
    </w:p>
    <w:p>
      <w:pPr>
        <w:pStyle w:val="ListParagraph"/>
        <w:numPr>
          <w:ilvl w:val="0"/>
          <w:numId w:val="1"/>
        </w:numPr>
        <w:spacing w:after="40"/>
        <w:jc w:val="both"/>
      </w:pPr>
      <w:r>
        <w:rPr>
          <w:rFonts w:ascii="Times New Roman" w:cs="Times New Roman" w:eastAsia="Times New Roman" w:hAnsi="Times New Roman"/>
          <w:sz w:val="24"/>
          <w:szCs w:val="24"/>
        </w:rPr>
        <w:t xml:space="preserve">Nodi di verifica della monografia: </w:t>
      </w:r>
      <w:r>
        <w:rPr>
          <w:rFonts w:ascii="Times New Roman" w:cs="Times New Roman" w:eastAsia="Times New Roman" w:hAnsi="Times New Roman"/>
          <w:b/>
          <w:bCs/>
          <w:sz w:val="24"/>
          <w:szCs w:val="24"/>
        </w:rPr>
        <w:t xml:space="preserve">17</w:t>
      </w:r>
      <w:r>
        <w:rPr>
          <w:rFonts w:ascii="Times New Roman" w:cs="Times New Roman" w:eastAsia="Times New Roman" w:hAnsi="Times New Roman"/>
          <w:sz w:val="24"/>
          <w:szCs w:val="24"/>
        </w:rPr>
        <w:t xml:space="preserve"> (F-1…F-17), di cui 13 ✅ confermati, 3 ⚠️ precisati/corretti (F-7 PCI, F-14 GAP, F-16 Segrate), 1 🔵 categoria di congettura confermata (F-17b).</w:t>
      </w:r>
    </w:p>
    <w:p>
      <w:pPr>
        <w:pStyle w:val="ListParagraph"/>
        <w:numPr>
          <w:ilvl w:val="0"/>
          <w:numId w:val="1"/>
        </w:numPr>
        <w:spacing w:after="40"/>
        <w:jc w:val="both"/>
      </w:pPr>
      <w:r>
        <w:rPr>
          <w:rFonts w:ascii="Times New Roman" w:cs="Times New Roman" w:eastAsia="Times New Roman" w:hAnsi="Times New Roman"/>
          <w:sz w:val="24"/>
          <w:szCs w:val="24"/>
        </w:rPr>
        <w:t xml:space="preserve">Nodo nuovo emerso in triangolazione: </w:t>
      </w: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(F-12, Bolivia agosto 1967) — integrato nella monografia al § III.</w:t>
      </w:r>
    </w:p>
    <w:p>
      <w:pPr>
        <w:pStyle w:val="ListParagraph"/>
        <w:numPr>
          <w:ilvl w:val="0"/>
          <w:numId w:val="1"/>
        </w:numPr>
        <w:spacing w:after="40"/>
        <w:jc w:val="both"/>
      </w:pPr>
      <w:r>
        <w:rPr>
          <w:rFonts w:ascii="Times New Roman" w:cs="Times New Roman" w:eastAsia="Times New Roman" w:hAnsi="Times New Roman"/>
          <w:sz w:val="24"/>
          <w:szCs w:val="24"/>
        </w:rPr>
        <w:t xml:space="preserve">Correzioni applicate alla monografia con nota di revisione: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(uscita dal PCI 1957-58; fondazione GAP aprile-maggio 1970 con genealogia del nome; cronologia di Segrate sciolta: morte il 14, ritrovamento il 15).</w:t>
      </w:r>
    </w:p>
    <w:p>
      <w:pPr>
        <w:pStyle w:val="ListParagraph"/>
        <w:numPr>
          <w:ilvl w:val="0"/>
          <w:numId w:val="1"/>
        </w:numPr>
        <w:spacing w:after="40"/>
        <w:jc w:val="both"/>
      </w:pPr>
      <w:r>
        <w:rPr>
          <w:rFonts w:ascii="Times New Roman" w:cs="Times New Roman" w:eastAsia="Times New Roman" w:hAnsi="Times New Roman"/>
          <w:sz w:val="24"/>
          <w:szCs w:val="24"/>
        </w:rPr>
        <w:t xml:space="preserve">Ponti con il corpus: </w:t>
      </w:r>
      <w:r>
        <w:rPr>
          <w:rFonts w:ascii="Times New Roman" w:cs="Times New Roman" w:eastAsia="Times New Roman" w:hAnsi="Times New Roman"/>
          <w:b/>
          <w:bCs/>
          <w:sz w:val="24"/>
          <w:szCs w:val="24"/>
        </w:rPr>
        <w:t xml:space="preserve">7</w:t>
      </w:r>
      <w:r>
        <w:rPr>
          <w:rFonts w:ascii="Times New Roman" w:cs="Times New Roman" w:eastAsia="Times New Roman" w:hAnsi="Times New Roman"/>
          <w:sz w:val="24"/>
          <w:szCs w:val="24"/>
        </w:rPr>
        <w:t xml:space="preserve"> (B-1…B-7), di cui documentati B-1, B-2, B-3, B-5; aggiornamento di matrice B-4; convergenza dichiarata B-6; anti-lettura B-7.</w:t>
      </w:r>
    </w:p>
    <w:p>
      <w:pPr>
        <w:pStyle w:val="ListParagraph"/>
        <w:numPr>
          <w:ilvl w:val="0"/>
          <w:numId w:val="1"/>
        </w:numPr>
        <w:spacing w:after="40"/>
        <w:jc w:val="both"/>
      </w:pPr>
      <w:r>
        <w:rPr>
          <w:rFonts w:ascii="Times New Roman" w:cs="Times New Roman" w:eastAsia="Times New Roman" w:hAnsi="Times New Roman"/>
          <w:sz w:val="24"/>
          <w:szCs w:val="24"/>
        </w:rPr>
        <w:t xml:space="preserve">Anti-triangolazioni: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(AT-1…AT-3).</w:t>
      </w:r>
    </w:p>
    <w:p>
      <w:pPr>
        <w:pStyle w:val="ListParagraph"/>
        <w:numPr>
          <w:ilvl w:val="0"/>
          <w:numId w:val="1"/>
        </w:numPr>
        <w:spacing w:after="40"/>
        <w:jc w:val="both"/>
      </w:pPr>
      <w:r>
        <w:rPr>
          <w:rFonts w:ascii="Times New Roman" w:cs="Times New Roman" w:eastAsia="Times New Roman" w:hAnsi="Times New Roman"/>
          <w:sz w:val="24"/>
          <w:szCs w:val="24"/>
        </w:rPr>
        <w:t xml:space="preserve">Verifiche web dedicate eseguite in sessione: </w:t>
      </w:r>
      <w:r>
        <w:rPr>
          <w:rFonts w:ascii="Times New Roman" w:cs="Times New Roman" w:eastAsia="Times New Roman" w:hAnsi="Times New Roman"/>
          <w:b/>
          <w:bCs/>
          <w:sz w:val="24"/>
          <w:szCs w:val="24"/>
        </w:rPr>
        <w:t xml:space="preserve">5</w:t>
      </w:r>
      <w:r>
        <w:rPr>
          <w:rFonts w:ascii="Times New Roman" w:cs="Times New Roman" w:eastAsia="Times New Roman" w:hAnsi="Times New Roman"/>
          <w:sz w:val="24"/>
          <w:szCs w:val="24"/>
        </w:rPr>
        <w:t xml:space="preserve"> (PCI/Treccani; Bolivia/Camiri; GAP/genealogia; Segrate/cronaca; più le 3 della prima stesura). Le restanti affermazioni poggiano su riscontri già eseguiti per la matrice M-2/M-3 o su letteratura consolidata.</w:t>
      </w:r>
    </w:p>
    <w:p>
      <w:pPr>
        <w:pStyle w:val="ListParagraph"/>
        <w:numPr>
          <w:ilvl w:val="0"/>
          <w:numId w:val="1"/>
        </w:numPr>
        <w:spacing w:after="40"/>
        <w:jc w:val="both"/>
      </w:pPr>
      <w:r>
        <w:rPr>
          <w:rFonts w:ascii="Times New Roman" w:cs="Times New Roman" w:eastAsia="Times New Roman" w:hAnsi="Times New Roman"/>
          <w:sz w:val="24"/>
          <w:szCs w:val="24"/>
        </w:rPr>
        <w:t xml:space="preserve">Oltre i nodi qui elencati non esistono ulteriori affermazioni indipendenti della monografia da triangolare senza duplicazione: la copertura delle affermazioni portanti è </w:t>
      </w:r>
      <w:r>
        <w:rPr>
          <w:rFonts w:ascii="Times New Roman" w:cs="Times New Roman" w:eastAsia="Times New Roman" w:hAnsi="Times New Roman"/>
          <w:b/>
          <w:bCs/>
          <w:sz w:val="24"/>
          <w:szCs w:val="24"/>
        </w:rPr>
        <w:t xml:space="preserve">completa</w:t>
      </w:r>
      <w:r>
        <w:rPr>
          <w:rFonts w:ascii="Times New Roman" w:cs="Times New Roman" w:eastAsia="Times New Roman" w:hAnsi="Times New Roman"/>
          <w:sz w:val="24"/>
          <w:szCs w:val="24"/>
        </w:rPr>
        <w:t xml:space="preserv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Triangolazione dello studio «Feltrinelli: il vettore» con fonti indipendenti e con l'intero corpus del branch. Tre correzioni applicate, un nodo nuovo integrato, tre anti-triangolazioni dichiarate. Vale la Regola di Ferro: dove la fonte documenta, si certifica; dove tace, si tace. Nessuna imputazione oltre il giudicato.</w:t>
      </w:r>
    </w:p>
    <w:p>
      <w:r>
        <w:br w:type="page"/>
      </w:r>
    </w:p>
    <w:p>
      <w:pPr>
        <w:pStyle w:val="Heading1"/>
        <w:spacing w:after="120" w:before="240"/>
      </w:pPr>
      <w:r>
        <w:rPr>
          <w:rFonts w:ascii="Times New Roman" w:cs="Times New Roman" w:eastAsia="Times New Roman" w:hAnsi="Times New Roman"/>
          <w:sz w:val="24"/>
          <w:szCs w:val="24"/>
        </w:rPr>
        <w:t xml:space="preserve">Triangolazione: Hyperion e il corpus</w:t>
      </w:r>
    </w:p>
    <w:p>
      <w:pPr>
        <w:spacing w:after="120" w:line="276"/>
        <w:jc w:val="both"/>
      </w:pPr>
      <w:r>
        <w:rPr>
          <w:rFonts w:ascii="Times New Roman" w:cs="Times New Roman" w:eastAsia="Times New Roman" w:hAnsi="Times New Roman"/>
          <w:i/>
          <w:iCs/>
          <w:sz w:val="24"/>
          <w:szCs w:val="24"/>
        </w:rPr>
        <w:t xml:space="preserve">La «scuola di lingue» di Parigi nel quadro internazionale del caso Moro — verifica e mappatura dei ponti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un avvertimento più severo del solito.</w:t>
      </w:r>
      <w:r>
        <w:rPr>
          <w:rFonts w:ascii="Times New Roman" w:cs="Times New Roman" w:eastAsia="Times New Roman" w:hAnsi="Times New Roman"/>
          <w:i w:val="false"/>
          <w:iCs w:val="false"/>
          <w:sz w:val="24"/>
          <w:szCs w:val="24"/>
        </w:rPr>
        <w:t xml:space="preserve"> Hyperion è il nodo dove la dietrologia italiana ha costruito di più e i tribunali hanno accertato di meno. Perciò questa triangolazione comincia dal suo esito: </w:t>
      </w:r>
      <w:r>
        <w:rPr>
          <w:rFonts w:ascii="Times New Roman" w:cs="Times New Roman" w:eastAsia="Times New Roman" w:hAnsi="Times New Roman"/>
          <w:b/>
          <w:bCs/>
          <w:i w:val="false"/>
          <w:iCs w:val="false"/>
          <w:sz w:val="24"/>
          <w:szCs w:val="24"/>
        </w:rPr>
        <w:t xml:space="preserve">tutti i procedimenti giudiziari aperti su Hyperion e sui suoi fondatori si sono chiusi con proscioglimenti; nessuno è mai stato condannato.</w:t>
      </w:r>
      <w:r>
        <w:rPr>
          <w:rFonts w:ascii="Times New Roman" w:cs="Times New Roman" w:eastAsia="Times New Roman" w:hAnsi="Times New Roman"/>
          <w:i w:val="false"/>
          <w:iCs w:val="false"/>
          <w:sz w:val="24"/>
          <w:szCs w:val="24"/>
        </w:rPr>
        <w:t xml:space="preserve"> I fondatori sono qui nominati esclusivamente per fatti pubblici e documentati (la fondazione della scuola, i percorsi politici precedenti, gli atti giudiziari e parlamentari che li riguardarono e i loro esiti liberatori) e godono per intero della presunzione d'innocenza. Le due tesi contrapposte che da quarant'anni si contendono il nodo — «centrale del terrorismo internazionale» e «centrale d'intelligence» — restano entrambe, al vaglio delle fonti, </w:t>
      </w:r>
      <w:r>
        <w:rPr>
          <w:rFonts w:ascii="Times New Roman" w:cs="Times New Roman" w:eastAsia="Times New Roman" w:hAnsi="Times New Roman"/>
          <w:b/>
          <w:bCs/>
          <w:i w:val="false"/>
          <w:iCs w:val="false"/>
          <w:sz w:val="24"/>
          <w:szCs w:val="24"/>
        </w:rPr>
        <w:t xml:space="preserve">congetture non provate</w:t>
      </w:r>
      <w:r>
        <w:rPr>
          <w:rFonts w:ascii="Times New Roman" w:cs="Times New Roman" w:eastAsia="Times New Roman" w:hAnsi="Times New Roman"/>
          <w:i w:val="false"/>
          <w:iCs w:val="false"/>
          <w:sz w:val="24"/>
          <w:szCs w:val="24"/>
        </w:rPr>
        <w:t xml:space="preserve">, e come tali sono trattate. La Regola di Ferro vale qui al massimo grado: dove la fonte documenta, si certifica; dove tace — e su Hyperion tace molto — si tace.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1. I fatti documentati (nodi HY-1…HY-9)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Fatto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Riscontro</w:t>
            </w:r>
          </w:p>
        </w:tc>
      </w:tr>
      <w:tr>
        <w:tc>
          <w:tcPr>
            <w:tcW w:type="dxa" w:w="3120"/>
          </w:tcPr>
          <w:p>
            <w:pPr>
              <w:spacing w:after="20" w:before="20"/>
              <w:jc w:val="left"/>
            </w:pPr>
            <w:r>
              <w:rPr>
                <w:rFonts w:ascii="Times New Roman" w:cs="Times New Roman" w:eastAsia="Times New Roman" w:hAnsi="Times New Roman"/>
                <w:sz w:val="20"/>
                <w:szCs w:val="20"/>
              </w:rPr>
              <w:t xml:space="preserve">HY-1</w:t>
            </w:r>
          </w:p>
        </w:tc>
        <w:tc>
          <w:tcPr>
            <w:tcW w:type="dxa" w:w="3120"/>
          </w:tcPr>
          <w:p>
            <w:pPr>
              <w:spacing w:after="20" w:before="20"/>
              <w:jc w:val="left"/>
            </w:pPr>
            <w:r>
              <w:rPr>
                <w:rFonts w:ascii="Times New Roman" w:cs="Times New Roman" w:eastAsia="Times New Roman" w:hAnsi="Times New Roman"/>
                <w:b/>
                <w:bCs/>
                <w:sz w:val="20"/>
                <w:szCs w:val="20"/>
              </w:rPr>
              <w:t xml:space="preserve">La genealogia milanese.</w:t>
            </w:r>
            <w:r>
              <w:rPr>
                <w:rFonts w:ascii="Times New Roman" w:cs="Times New Roman" w:eastAsia="Times New Roman" w:hAnsi="Times New Roman"/>
                <w:sz w:val="20"/>
                <w:szCs w:val="20"/>
              </w:rPr>
              <w:t xml:space="preserve"> Il </w:t>
            </w:r>
            <w:r>
              <w:rPr>
                <w:rFonts w:ascii="Times New Roman" w:cs="Times New Roman" w:eastAsia="Times New Roman" w:hAnsi="Times New Roman"/>
                <w:b/>
                <w:bCs/>
                <w:sz w:val="20"/>
                <w:szCs w:val="20"/>
              </w:rPr>
              <w:t xml:space="preserve">Collettivo Politico Metropolitano (CPM)</w:t>
            </w:r>
            <w:r>
              <w:rPr>
                <w:rFonts w:ascii="Times New Roman" w:cs="Times New Roman" w:eastAsia="Times New Roman" w:hAnsi="Times New Roman"/>
                <w:sz w:val="20"/>
                <w:szCs w:val="20"/>
              </w:rPr>
              <w:t xml:space="preserve">, fondato a Milano nel settembre 1969, comprese fra gli altri Renato Curcio, Corrado Simioni, Duccio Berio e Vanni Mulinaris: lo stesso brodo di coltura da cui sarebbero nate le BR</w:t>
            </w:r>
          </w:p>
        </w:tc>
        <w:tc>
          <w:tcPr>
            <w:tcW w:type="dxa" w:w="3120"/>
          </w:tcPr>
          <w:p>
            <w:pPr>
              <w:spacing w:after="20" w:before="20"/>
              <w:jc w:val="left"/>
            </w:pPr>
            <w:r>
              <w:rPr>
                <w:rFonts w:ascii="Times New Roman" w:cs="Times New Roman" w:eastAsia="Times New Roman" w:hAnsi="Times New Roman"/>
                <w:sz w:val="20"/>
                <w:szCs w:val="20"/>
              </w:rPr>
              <w:t xml:space="preserve">Wikipedia IT, Hyperion (Parigi) (https://it.wikipedia.org/wiki/Hyperion_(Parigi)); Lettera43 (https://www.lettera43.it/scuola-hyperion-gli-intrecci-con-il-caso-moro/)</w:t>
            </w:r>
          </w:p>
        </w:tc>
      </w:tr>
      <w:tr>
        <w:tc>
          <w:tcPr>
            <w:tcW w:type="dxa" w:w="3120"/>
          </w:tcPr>
          <w:p>
            <w:pPr>
              <w:spacing w:after="20" w:before="20"/>
              <w:jc w:val="left"/>
            </w:pPr>
            <w:r>
              <w:rPr>
                <w:rFonts w:ascii="Times New Roman" w:cs="Times New Roman" w:eastAsia="Times New Roman" w:hAnsi="Times New Roman"/>
                <w:sz w:val="20"/>
                <w:szCs w:val="20"/>
              </w:rPr>
              <w:t xml:space="preserve">HY-2</w:t>
            </w:r>
          </w:p>
        </w:tc>
        <w:tc>
          <w:tcPr>
            <w:tcW w:type="dxa" w:w="3120"/>
          </w:tcPr>
          <w:p>
            <w:pPr>
              <w:spacing w:after="20" w:before="20"/>
              <w:jc w:val="left"/>
            </w:pPr>
            <w:r>
              <w:rPr>
                <w:rFonts w:ascii="Times New Roman" w:cs="Times New Roman" w:eastAsia="Times New Roman" w:hAnsi="Times New Roman"/>
                <w:b/>
                <w:bCs/>
                <w:sz w:val="20"/>
                <w:szCs w:val="20"/>
              </w:rPr>
              <w:t xml:space="preserve">La scissione e il «Superclan».</w:t>
            </w:r>
            <w:r>
              <w:rPr>
                <w:rFonts w:ascii="Times New Roman" w:cs="Times New Roman" w:eastAsia="Times New Roman" w:hAnsi="Times New Roman"/>
                <w:sz w:val="20"/>
                <w:szCs w:val="20"/>
              </w:rPr>
              <w:t xml:space="preserve"> Prima della fondazione delle BR, il gruppo di Simioni si separò da quello di Curcio e Franceschini e diede vita a una struttura clandestina detta poi </w:t>
            </w:r>
            <w:r>
              <w:rPr>
                <w:rFonts w:ascii="Times New Roman" w:cs="Times New Roman" w:eastAsia="Times New Roman" w:hAnsi="Times New Roman"/>
                <w:b/>
                <w:bCs/>
                <w:sz w:val="20"/>
                <w:szCs w:val="20"/>
              </w:rPr>
              <w:t xml:space="preserve">«Superclan»</w:t>
            </w:r>
            <w:r>
              <w:rPr>
                <w:rFonts w:ascii="Times New Roman" w:cs="Times New Roman" w:eastAsia="Times New Roman" w:hAnsi="Times New Roman"/>
                <w:sz w:val="20"/>
                <w:szCs w:val="20"/>
              </w:rPr>
              <w:t xml:space="preserve">, di cui le fonti indicano fra i partecipanti anche </w:t>
            </w:r>
            <w:r>
              <w:rPr>
                <w:rFonts w:ascii="Times New Roman" w:cs="Times New Roman" w:eastAsia="Times New Roman" w:hAnsi="Times New Roman"/>
                <w:b/>
                <w:bCs/>
                <w:sz w:val="20"/>
                <w:szCs w:val="20"/>
              </w:rPr>
              <w:t xml:space="preserve">Mario Moretti</w:t>
            </w:r>
            <w:r>
              <w:rPr>
                <w:rFonts w:ascii="Times New Roman" w:cs="Times New Roman" w:eastAsia="Times New Roman" w:hAnsi="Times New Roman"/>
                <w:sz w:val="20"/>
                <w:szCs w:val="20"/>
              </w:rPr>
              <w:t xml:space="preserve"> e Prospero Gallinari — che passarono in seguito alle BR. Il nome divenne pubblico solo nel 1978-79, con le indagini</w:t>
            </w:r>
          </w:p>
        </w:tc>
        <w:tc>
          <w:tcPr>
            <w:tcW w:type="dxa" w:w="3120"/>
          </w:tcPr>
          <w:p>
            <w:pPr>
              <w:spacing w:after="20" w:before="20"/>
              <w:jc w:val="left"/>
            </w:pPr>
            <w:r>
              <w:rPr>
                <w:rFonts w:ascii="Times New Roman" w:cs="Times New Roman" w:eastAsia="Times New Roman" w:hAnsi="Times New Roman"/>
                <w:sz w:val="20"/>
                <w:szCs w:val="20"/>
              </w:rPr>
              <w:t xml:space="preserve">Lucarelli, Hyperion e Superclan (http://www.valeriolucarelli.it/Hyperion.htm); Tassinari (https://www.ugomariatassinari.it/hyperion-mandati-di-cattura/)</w:t>
            </w:r>
          </w:p>
        </w:tc>
      </w:tr>
      <w:tr>
        <w:tc>
          <w:tcPr>
            <w:tcW w:type="dxa" w:w="3120"/>
          </w:tcPr>
          <w:p>
            <w:pPr>
              <w:spacing w:after="20" w:before="20"/>
              <w:jc w:val="left"/>
            </w:pPr>
            <w:r>
              <w:rPr>
                <w:rFonts w:ascii="Times New Roman" w:cs="Times New Roman" w:eastAsia="Times New Roman" w:hAnsi="Times New Roman"/>
                <w:sz w:val="20"/>
                <w:szCs w:val="20"/>
              </w:rPr>
              <w:t xml:space="preserve">HY-3</w:t>
            </w:r>
          </w:p>
        </w:tc>
        <w:tc>
          <w:tcPr>
            <w:tcW w:type="dxa" w:w="3120"/>
          </w:tcPr>
          <w:p>
            <w:pPr>
              <w:spacing w:after="20" w:before="20"/>
              <w:jc w:val="left"/>
            </w:pPr>
            <w:r>
              <w:rPr>
                <w:rFonts w:ascii="Times New Roman" w:cs="Times New Roman" w:eastAsia="Times New Roman" w:hAnsi="Times New Roman"/>
                <w:b/>
                <w:bCs/>
                <w:sz w:val="20"/>
                <w:szCs w:val="20"/>
              </w:rPr>
              <w:t xml:space="preserve">La fondazione della scuola.</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Hyperion</w:t>
            </w:r>
            <w:r>
              <w:rPr>
                <w:rFonts w:ascii="Times New Roman" w:cs="Times New Roman" w:eastAsia="Times New Roman" w:hAnsi="Times New Roman"/>
                <w:sz w:val="20"/>
                <w:szCs w:val="20"/>
              </w:rPr>
              <w:t xml:space="preserve"> (già «Agorà») fu formalmente fondata a </w:t>
            </w:r>
            <w:r>
              <w:rPr>
                <w:rFonts w:ascii="Times New Roman" w:cs="Times New Roman" w:eastAsia="Times New Roman" w:hAnsi="Times New Roman"/>
                <w:b/>
                <w:bCs/>
                <w:sz w:val="20"/>
                <w:szCs w:val="20"/>
              </w:rPr>
              <w:t xml:space="preserve">Parigi nel 1976</w:t>
            </w:r>
            <w:r>
              <w:rPr>
                <w:rFonts w:ascii="Times New Roman" w:cs="Times New Roman" w:eastAsia="Times New Roman" w:hAnsi="Times New Roman"/>
                <w:sz w:val="20"/>
                <w:szCs w:val="20"/>
              </w:rPr>
              <w:t xml:space="preserve">, al 27 di Quai de la Tournelle, come scuola di lingue; vi operavano Simioni, Berio e Mulinaris</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 2duerighe (https://www.2duerighe.com/rubriche/storie/176537-luci-e-ombre-della-scuola-di-lingue-hyperion.html)</w:t>
            </w:r>
          </w:p>
        </w:tc>
      </w:tr>
      <w:tr>
        <w:tc>
          <w:tcPr>
            <w:tcW w:type="dxa" w:w="3120"/>
          </w:tcPr>
          <w:p>
            <w:pPr>
              <w:spacing w:after="20" w:before="20"/>
              <w:jc w:val="left"/>
            </w:pPr>
            <w:r>
              <w:rPr>
                <w:rFonts w:ascii="Times New Roman" w:cs="Times New Roman" w:eastAsia="Times New Roman" w:hAnsi="Times New Roman"/>
                <w:sz w:val="20"/>
                <w:szCs w:val="20"/>
              </w:rPr>
              <w:t xml:space="preserve">HY-4</w:t>
            </w:r>
          </w:p>
        </w:tc>
        <w:tc>
          <w:tcPr>
            <w:tcW w:type="dxa" w:w="3120"/>
          </w:tcPr>
          <w:p>
            <w:pPr>
              <w:spacing w:after="20" w:before="20"/>
              <w:jc w:val="left"/>
            </w:pPr>
            <w:r>
              <w:rPr>
                <w:rFonts w:ascii="Times New Roman" w:cs="Times New Roman" w:eastAsia="Times New Roman" w:hAnsi="Times New Roman"/>
                <w:b/>
                <w:bCs/>
                <w:sz w:val="20"/>
                <w:szCs w:val="20"/>
              </w:rPr>
              <w:t xml:space="preserve">L'ufficio romano del febbraio 1978.</w:t>
            </w:r>
            <w:r>
              <w:rPr>
                <w:rFonts w:ascii="Times New Roman" w:cs="Times New Roman" w:eastAsia="Times New Roman" w:hAnsi="Times New Roman"/>
                <w:sz w:val="20"/>
                <w:szCs w:val="20"/>
              </w:rPr>
              <w:t xml:space="preserve"> Nel </w:t>
            </w:r>
            <w:r>
              <w:rPr>
                <w:rFonts w:ascii="Times New Roman" w:cs="Times New Roman" w:eastAsia="Times New Roman" w:hAnsi="Times New Roman"/>
                <w:b/>
                <w:bCs/>
                <w:sz w:val="20"/>
                <w:szCs w:val="20"/>
              </w:rPr>
              <w:t xml:space="preserve">febbraio 1978</w:t>
            </w:r>
            <w:r>
              <w:rPr>
                <w:rFonts w:ascii="Times New Roman" w:cs="Times New Roman" w:eastAsia="Times New Roman" w:hAnsi="Times New Roman"/>
                <w:sz w:val="20"/>
                <w:szCs w:val="20"/>
              </w:rPr>
              <w:t xml:space="preserve"> — un mese prima di via Fani — Hyperion aprì una sede di rappresentanza a Roma in </w:t>
            </w:r>
            <w:r>
              <w:rPr>
                <w:rFonts w:ascii="Times New Roman" w:cs="Times New Roman" w:eastAsia="Times New Roman" w:hAnsi="Times New Roman"/>
                <w:b/>
                <w:bCs/>
                <w:sz w:val="20"/>
                <w:szCs w:val="20"/>
              </w:rPr>
              <w:t xml:space="preserve">via Nicotera 26</w:t>
            </w:r>
            <w:r>
              <w:rPr>
                <w:rFonts w:ascii="Times New Roman" w:cs="Times New Roman" w:eastAsia="Times New Roman" w:hAnsi="Times New Roman"/>
                <w:sz w:val="20"/>
                <w:szCs w:val="20"/>
              </w:rPr>
              <w:t xml:space="preserve">, stabile in cui avevano sede anche società di copertura del SISMI</w:t>
            </w:r>
          </w:p>
        </w:tc>
        <w:tc>
          <w:tcPr>
            <w:tcW w:type="dxa" w:w="3120"/>
          </w:tcPr>
          <w:p>
            <w:pPr>
              <w:spacing w:after="20" w:before="20"/>
              <w:jc w:val="left"/>
            </w:pPr>
            <w:r>
              <w:rPr>
                <w:rFonts w:ascii="Times New Roman" w:cs="Times New Roman" w:eastAsia="Times New Roman" w:hAnsi="Times New Roman"/>
                <w:sz w:val="20"/>
                <w:szCs w:val="20"/>
              </w:rPr>
              <w:t xml:space="preserve">Lettera43 (https://www.lettera43.it/scuola-hyperion-gli-intrecci-con-il-caso-moro/); Colarieti (https://www.colarieti.it/scuola-hyperion-gli-intrecci-con-il-caso-moro/)</w:t>
            </w:r>
          </w:p>
        </w:tc>
      </w:tr>
      <w:tr>
        <w:tc>
          <w:tcPr>
            <w:tcW w:type="dxa" w:w="3120"/>
          </w:tcPr>
          <w:p>
            <w:pPr>
              <w:spacing w:after="20" w:before="20"/>
              <w:jc w:val="left"/>
            </w:pPr>
            <w:r>
              <w:rPr>
                <w:rFonts w:ascii="Times New Roman" w:cs="Times New Roman" w:eastAsia="Times New Roman" w:hAnsi="Times New Roman"/>
                <w:sz w:val="20"/>
                <w:szCs w:val="20"/>
              </w:rPr>
              <w:t xml:space="preserve">HY-5</w:t>
            </w:r>
          </w:p>
        </w:tc>
        <w:tc>
          <w:tcPr>
            <w:tcW w:type="dxa" w:w="3120"/>
          </w:tcPr>
          <w:p>
            <w:pPr>
              <w:spacing w:after="20" w:before="20"/>
              <w:jc w:val="left"/>
            </w:pPr>
            <w:r>
              <w:rPr>
                <w:rFonts w:ascii="Times New Roman" w:cs="Times New Roman" w:eastAsia="Times New Roman" w:hAnsi="Times New Roman"/>
                <w:b/>
                <w:bCs/>
                <w:sz w:val="20"/>
                <w:szCs w:val="20"/>
              </w:rPr>
              <w:t xml:space="preserve">L'ingresso nelle indagini (1979).</w:t>
            </w:r>
            <w:r>
              <w:rPr>
                <w:rFonts w:ascii="Times New Roman" w:cs="Times New Roman" w:eastAsia="Times New Roman" w:hAnsi="Times New Roman"/>
                <w:sz w:val="20"/>
                <w:szCs w:val="20"/>
              </w:rPr>
              <w:t xml:space="preserve"> Hyperion entrò nel mirino della magistratura italiana nel </w:t>
            </w:r>
            <w:r>
              <w:rPr>
                <w:rFonts w:ascii="Times New Roman" w:cs="Times New Roman" w:eastAsia="Times New Roman" w:hAnsi="Times New Roman"/>
                <w:b/>
                <w:bCs/>
                <w:sz w:val="20"/>
                <w:szCs w:val="20"/>
              </w:rPr>
              <w:t xml:space="preserve">1979</w:t>
            </w:r>
            <w:r>
              <w:rPr>
                <w:rFonts w:ascii="Times New Roman" w:cs="Times New Roman" w:eastAsia="Times New Roman" w:hAnsi="Times New Roman"/>
                <w:sz w:val="20"/>
                <w:szCs w:val="20"/>
              </w:rPr>
              <w:t xml:space="preserve">, nell'inchiesta del giudice </w:t>
            </w:r>
            <w:r>
              <w:rPr>
                <w:rFonts w:ascii="Times New Roman" w:cs="Times New Roman" w:eastAsia="Times New Roman" w:hAnsi="Times New Roman"/>
                <w:b/>
                <w:bCs/>
                <w:sz w:val="20"/>
                <w:szCs w:val="20"/>
              </w:rPr>
              <w:t xml:space="preserve">Pietro Calogero</w:t>
            </w:r>
            <w:r>
              <w:rPr>
                <w:rFonts w:ascii="Times New Roman" w:cs="Times New Roman" w:eastAsia="Times New Roman" w:hAnsi="Times New Roman"/>
                <w:sz w:val="20"/>
                <w:szCs w:val="20"/>
              </w:rPr>
              <w:t xml:space="preserve"> sui presunti collegamenti fra Autonomia e terrorismo</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w:t>
            </w:r>
          </w:p>
        </w:tc>
      </w:tr>
      <w:tr>
        <w:tc>
          <w:tcPr>
            <w:tcW w:type="dxa" w:w="3120"/>
          </w:tcPr>
          <w:p>
            <w:pPr>
              <w:spacing w:after="20" w:before="20"/>
              <w:jc w:val="left"/>
            </w:pPr>
            <w:r>
              <w:rPr>
                <w:rFonts w:ascii="Times New Roman" w:cs="Times New Roman" w:eastAsia="Times New Roman" w:hAnsi="Times New Roman"/>
                <w:sz w:val="20"/>
                <w:szCs w:val="20"/>
              </w:rPr>
              <w:t xml:space="preserve">HY-6</w:t>
            </w:r>
          </w:p>
        </w:tc>
        <w:tc>
          <w:tcPr>
            <w:tcW w:type="dxa" w:w="3120"/>
          </w:tcPr>
          <w:p>
            <w:pPr>
              <w:spacing w:after="20" w:before="20"/>
              <w:jc w:val="left"/>
            </w:pPr>
            <w:r>
              <w:rPr>
                <w:rFonts w:ascii="Times New Roman" w:cs="Times New Roman" w:eastAsia="Times New Roman" w:hAnsi="Times New Roman"/>
                <w:b/>
                <w:bCs/>
                <w:sz w:val="20"/>
                <w:szCs w:val="20"/>
              </w:rPr>
              <w:t xml:space="preserve">Gli arresti e i mandati del 1982.</w:t>
            </w:r>
            <w:r>
              <w:rPr>
                <w:rFonts w:ascii="Times New Roman" w:cs="Times New Roman" w:eastAsia="Times New Roman" w:hAnsi="Times New Roman"/>
                <w:sz w:val="20"/>
                <w:szCs w:val="20"/>
              </w:rPr>
              <w:t xml:space="preserve"> Il </w:t>
            </w:r>
            <w:r>
              <w:rPr>
                <w:rFonts w:ascii="Times New Roman" w:cs="Times New Roman" w:eastAsia="Times New Roman" w:hAnsi="Times New Roman"/>
                <w:b/>
                <w:bCs/>
                <w:sz w:val="20"/>
                <w:szCs w:val="20"/>
              </w:rPr>
              <w:t xml:space="preserve">2 febbraio 1982</w:t>
            </w:r>
            <w:r>
              <w:rPr>
                <w:rFonts w:ascii="Times New Roman" w:cs="Times New Roman" w:eastAsia="Times New Roman" w:hAnsi="Times New Roman"/>
                <w:sz w:val="20"/>
                <w:szCs w:val="20"/>
              </w:rPr>
              <w:t xml:space="preserve">, sulla base delle dichiarazioni del pentito Savasta, fu arrestato a Udine </w:t>
            </w:r>
            <w:r>
              <w:rPr>
                <w:rFonts w:ascii="Times New Roman" w:cs="Times New Roman" w:eastAsia="Times New Roman" w:hAnsi="Times New Roman"/>
                <w:b/>
                <w:bCs/>
                <w:sz w:val="20"/>
                <w:szCs w:val="20"/>
              </w:rPr>
              <w:t xml:space="preserve">Vanni Mulinaris</w:t>
            </w:r>
            <w:r>
              <w:rPr>
                <w:rFonts w:ascii="Times New Roman" w:cs="Times New Roman" w:eastAsia="Times New Roman" w:hAnsi="Times New Roman"/>
                <w:sz w:val="20"/>
                <w:szCs w:val="20"/>
              </w:rPr>
              <w:t xml:space="preserve"> (accuse: traffico d'armi e concorso in banda armata); il </w:t>
            </w:r>
            <w:r>
              <w:rPr>
                <w:rFonts w:ascii="Times New Roman" w:cs="Times New Roman" w:eastAsia="Times New Roman" w:hAnsi="Times New Roman"/>
                <w:b/>
                <w:bCs/>
                <w:sz w:val="20"/>
                <w:szCs w:val="20"/>
              </w:rPr>
              <w:t xml:space="preserve">17 giugno 1982</w:t>
            </w:r>
            <w:r>
              <w:rPr>
                <w:rFonts w:ascii="Times New Roman" w:cs="Times New Roman" w:eastAsia="Times New Roman" w:hAnsi="Times New Roman"/>
                <w:sz w:val="20"/>
                <w:szCs w:val="20"/>
              </w:rPr>
              <w:t xml:space="preserve"> il giudice istruttore </w:t>
            </w:r>
            <w:r>
              <w:rPr>
                <w:rFonts w:ascii="Times New Roman" w:cs="Times New Roman" w:eastAsia="Times New Roman" w:hAnsi="Times New Roman"/>
                <w:b/>
                <w:bCs/>
                <w:sz w:val="20"/>
                <w:szCs w:val="20"/>
              </w:rPr>
              <w:t xml:space="preserve">Rosario Priore</w:t>
            </w:r>
            <w:r>
              <w:rPr>
                <w:rFonts w:ascii="Times New Roman" w:cs="Times New Roman" w:eastAsia="Times New Roman" w:hAnsi="Times New Roman"/>
                <w:sz w:val="20"/>
                <w:szCs w:val="20"/>
              </w:rPr>
              <w:t xml:space="preserve"> firmò mandati di cattura internazionali per </w:t>
            </w:r>
            <w:r>
              <w:rPr>
                <w:rFonts w:ascii="Times New Roman" w:cs="Times New Roman" w:eastAsia="Times New Roman" w:hAnsi="Times New Roman"/>
                <w:b/>
                <w:bCs/>
                <w:sz w:val="20"/>
                <w:szCs w:val="20"/>
              </w:rPr>
              <w:t xml:space="preserve">Berio e Simioni</w:t>
            </w:r>
          </w:p>
        </w:tc>
        <w:tc>
          <w:tcPr>
            <w:tcW w:type="dxa" w:w="3120"/>
          </w:tcPr>
          <w:p>
            <w:pPr>
              <w:spacing w:after="20" w:before="20"/>
              <w:jc w:val="left"/>
            </w:pPr>
            <w:r>
              <w:rPr>
                <w:rFonts w:ascii="Times New Roman" w:cs="Times New Roman" w:eastAsia="Times New Roman" w:hAnsi="Times New Roman"/>
                <w:sz w:val="20"/>
                <w:szCs w:val="20"/>
              </w:rPr>
              <w:t xml:space="preserve">Comune di Bologna, cronologia (http://www.comune.bologna.it/iperbole/asnsmp/Friuli_Vanni_Mulinaris.html); Tassinari (https://www.ugomariatassinari.it/hyperion-mandati-di-cattura/)</w:t>
            </w:r>
          </w:p>
        </w:tc>
      </w:tr>
      <w:tr>
        <w:tc>
          <w:tcPr>
            <w:tcW w:type="dxa" w:w="3120"/>
          </w:tcPr>
          <w:p>
            <w:pPr>
              <w:spacing w:after="20" w:before="20"/>
              <w:jc w:val="left"/>
            </w:pPr>
            <w:r>
              <w:rPr>
                <w:rFonts w:ascii="Times New Roman" w:cs="Times New Roman" w:eastAsia="Times New Roman" w:hAnsi="Times New Roman"/>
                <w:sz w:val="20"/>
                <w:szCs w:val="20"/>
              </w:rPr>
              <w:t xml:space="preserve">HY-7</w:t>
            </w:r>
          </w:p>
        </w:tc>
        <w:tc>
          <w:tcPr>
            <w:tcW w:type="dxa" w:w="3120"/>
          </w:tcPr>
          <w:p>
            <w:pPr>
              <w:spacing w:after="20" w:before="20"/>
              <w:jc w:val="left"/>
            </w:pPr>
            <w:r>
              <w:rPr>
                <w:rFonts w:ascii="Times New Roman" w:cs="Times New Roman" w:eastAsia="Times New Roman" w:hAnsi="Times New Roman"/>
                <w:b/>
                <w:bCs/>
                <w:sz w:val="20"/>
                <w:szCs w:val="20"/>
              </w:rPr>
              <w:t xml:space="preserve">Gli esiti: proscioglimenti per tutti.</w:t>
            </w:r>
            <w:r>
              <w:rPr>
                <w:rFonts w:ascii="Times New Roman" w:cs="Times New Roman" w:eastAsia="Times New Roman" w:hAnsi="Times New Roman"/>
                <w:sz w:val="20"/>
                <w:szCs w:val="20"/>
              </w:rPr>
              <w:t xml:space="preserve"> I tre furono </w:t>
            </w:r>
            <w:r>
              <w:rPr>
                <w:rFonts w:ascii="Times New Roman" w:cs="Times New Roman" w:eastAsia="Times New Roman" w:hAnsi="Times New Roman"/>
                <w:b/>
                <w:bCs/>
                <w:sz w:val="20"/>
                <w:szCs w:val="20"/>
              </w:rPr>
              <w:t xml:space="preserve">prosciolti</w:t>
            </w:r>
            <w:r>
              <w:rPr>
                <w:rFonts w:ascii="Times New Roman" w:cs="Times New Roman" w:eastAsia="Times New Roman" w:hAnsi="Times New Roman"/>
                <w:sz w:val="20"/>
                <w:szCs w:val="20"/>
              </w:rPr>
              <w:t xml:space="preserve"> dalle accuse di terrorismo e traffico d'armi; Mulinaris fu dichiarato estraneo, anche a seguito di una campagna di solidarietà di intellettuali francesi — con una lettera al Presidente della Repubblica sottoscritta, fra gli altri, dall'</w:t>
            </w:r>
            <w:r>
              <w:rPr>
                <w:rFonts w:ascii="Times New Roman" w:cs="Times New Roman" w:eastAsia="Times New Roman" w:hAnsi="Times New Roman"/>
                <w:b/>
                <w:bCs/>
                <w:sz w:val="20"/>
                <w:szCs w:val="20"/>
              </w:rPr>
              <w:t xml:space="preserve">Abbé Pierre</w:t>
            </w:r>
            <w:r>
              <w:rPr>
                <w:rFonts w:ascii="Times New Roman" w:cs="Times New Roman" w:eastAsia="Times New Roman" w:hAnsi="Times New Roman"/>
                <w:sz w:val="20"/>
                <w:szCs w:val="20"/>
              </w:rPr>
              <w:t xml:space="preserve"> (fondatore di Emmaus), da Pierre Vidal-Naquet e Jean Cassou</w:t>
            </w:r>
          </w:p>
        </w:tc>
        <w:tc>
          <w:tcPr>
            <w:tcW w:type="dxa" w:w="3120"/>
          </w:tcPr>
          <w:p>
            <w:pPr>
              <w:spacing w:after="20" w:before="20"/>
              <w:jc w:val="left"/>
            </w:pPr>
            <w:r>
              <w:rPr>
                <w:rFonts w:ascii="Times New Roman" w:cs="Times New Roman" w:eastAsia="Times New Roman" w:hAnsi="Times New Roman"/>
                <w:sz w:val="20"/>
                <w:szCs w:val="20"/>
              </w:rPr>
              <w:t xml:space="preserve">Wikipedia IT (https://it.wikipedia.org/wiki/Hyperion_(Parigi)); Archivio storico del Senato, carteggio Mulinaris (https://patrimonio.archivio.senato.it/inventario/scheda/giacomo-mancini/IT-AFS-043-001944/carteggio-vanni-mulinaris)</w:t>
            </w:r>
          </w:p>
        </w:tc>
      </w:tr>
      <w:tr>
        <w:tc>
          <w:tcPr>
            <w:tcW w:type="dxa" w:w="3120"/>
          </w:tcPr>
          <w:p>
            <w:pPr>
              <w:spacing w:after="20" w:before="20"/>
              <w:jc w:val="left"/>
            </w:pPr>
            <w:r>
              <w:rPr>
                <w:rFonts w:ascii="Times New Roman" w:cs="Times New Roman" w:eastAsia="Times New Roman" w:hAnsi="Times New Roman"/>
                <w:sz w:val="20"/>
                <w:szCs w:val="20"/>
              </w:rPr>
              <w:t xml:space="preserve">HY-8</w:t>
            </w:r>
          </w:p>
        </w:tc>
        <w:tc>
          <w:tcPr>
            <w:tcW w:type="dxa" w:w="3120"/>
          </w:tcPr>
          <w:p>
            <w:pPr>
              <w:spacing w:after="20" w:before="20"/>
              <w:jc w:val="left"/>
            </w:pPr>
            <w:r>
              <w:rPr>
                <w:rFonts w:ascii="Times New Roman" w:cs="Times New Roman" w:eastAsia="Times New Roman" w:hAnsi="Times New Roman"/>
                <w:b/>
                <w:bCs/>
                <w:sz w:val="20"/>
                <w:szCs w:val="20"/>
              </w:rPr>
              <w:t xml:space="preserve">L'audizione parlamentare (2015).</w:t>
            </w:r>
            <w:r>
              <w:rPr>
                <w:rFonts w:ascii="Times New Roman" w:cs="Times New Roman" w:eastAsia="Times New Roman" w:hAnsi="Times New Roman"/>
                <w:sz w:val="20"/>
                <w:szCs w:val="20"/>
              </w:rPr>
              <w:t xml:space="preserve"> La </w:t>
            </w:r>
            <w:r>
              <w:rPr>
                <w:rFonts w:ascii="Times New Roman" w:cs="Times New Roman" w:eastAsia="Times New Roman" w:hAnsi="Times New Roman"/>
                <w:b/>
                <w:bCs/>
                <w:sz w:val="20"/>
                <w:szCs w:val="20"/>
              </w:rPr>
              <w:t xml:space="preserve">Commissione Moro 2</w:t>
            </w:r>
            <w:r>
              <w:rPr>
                <w:rFonts w:ascii="Times New Roman" w:cs="Times New Roman" w:eastAsia="Times New Roman" w:hAnsi="Times New Roman"/>
                <w:sz w:val="20"/>
                <w:szCs w:val="20"/>
              </w:rPr>
              <w:t xml:space="preserve"> riesaminò il nodo; il 28 ottobre 2015 audì </w:t>
            </w:r>
            <w:r>
              <w:rPr>
                <w:rFonts w:ascii="Times New Roman" w:cs="Times New Roman" w:eastAsia="Times New Roman" w:hAnsi="Times New Roman"/>
                <w:b/>
                <w:bCs/>
                <w:sz w:val="20"/>
                <w:szCs w:val="20"/>
              </w:rPr>
              <w:t xml:space="preserve">Duccio Berio</w:t>
            </w:r>
            <w:r>
              <w:rPr>
                <w:rFonts w:ascii="Times New Roman" w:cs="Times New Roman" w:eastAsia="Times New Roman" w:hAnsi="Times New Roman"/>
                <w:sz w:val="20"/>
                <w:szCs w:val="20"/>
              </w:rPr>
              <w:t xml:space="preserve">, che respinse ogni addebito («eravamo solo un gruppo di amici»). Il resoconto stenografico è agli atti della Camera</w:t>
            </w:r>
          </w:p>
        </w:tc>
        <w:tc>
          <w:tcPr>
            <w:tcW w:type="dxa" w:w="3120"/>
          </w:tcPr>
          <w:p>
            <w:pPr>
              <w:spacing w:after="20" w:before="20"/>
              <w:jc w:val="left"/>
            </w:pPr>
            <w:r>
              <w:rPr>
                <w:rFonts w:ascii="Times New Roman" w:cs="Times New Roman" w:eastAsia="Times New Roman" w:hAnsi="Times New Roman"/>
                <w:sz w:val="20"/>
                <w:szCs w:val="20"/>
              </w:rPr>
              <w:t xml:space="preserve">Camera, stenografico 28/10/2015 (https://documenti.camera.it/leg17/resoconti/commissioni/stenografici/html/68/audiz2/audizione/2015/10/28/stenografico.0056.html); Il Fatto Quotidiano (https://www.ilfattoquotidiano.it/2015/10/28/caso-moro-luomo-di-hyperion-alla-commissione-non-centriamo-nulla-eravamo-solo-un-gruppo-di-amici/2169499/)</w:t>
            </w:r>
          </w:p>
        </w:tc>
      </w:tr>
      <w:tr>
        <w:tc>
          <w:tcPr>
            <w:tcW w:type="dxa" w:w="3120"/>
          </w:tcPr>
          <w:p>
            <w:pPr>
              <w:spacing w:after="20" w:before="20"/>
              <w:jc w:val="left"/>
            </w:pPr>
            <w:r>
              <w:rPr>
                <w:rFonts w:ascii="Times New Roman" w:cs="Times New Roman" w:eastAsia="Times New Roman" w:hAnsi="Times New Roman"/>
                <w:sz w:val="20"/>
                <w:szCs w:val="20"/>
              </w:rPr>
              <w:t xml:space="preserve">HY-9</w:t>
            </w:r>
          </w:p>
        </w:tc>
        <w:tc>
          <w:tcPr>
            <w:tcW w:type="dxa" w:w="3120"/>
          </w:tcPr>
          <w:p>
            <w:pPr>
              <w:spacing w:after="20" w:before="20"/>
              <w:jc w:val="left"/>
            </w:pPr>
            <w:r>
              <w:rPr>
                <w:rFonts w:ascii="Times New Roman" w:cs="Times New Roman" w:eastAsia="Times New Roman" w:hAnsi="Times New Roman"/>
                <w:b/>
                <w:bCs/>
                <w:sz w:val="20"/>
                <w:szCs w:val="20"/>
              </w:rPr>
              <w:t xml:space="preserve">La letteratura qualificata.</w:t>
            </w:r>
            <w:r>
              <w:rPr>
                <w:rFonts w:ascii="Times New Roman" w:cs="Times New Roman" w:eastAsia="Times New Roman" w:hAnsi="Times New Roman"/>
                <w:sz w:val="20"/>
                <w:szCs w:val="20"/>
              </w:rPr>
              <w:t xml:space="preserve"> Il nodo ha una bibliografia d'autore: </w:t>
            </w:r>
            <w:r>
              <w:rPr>
                <w:rFonts w:ascii="Times New Roman" w:cs="Times New Roman" w:eastAsia="Times New Roman" w:hAnsi="Times New Roman"/>
                <w:i/>
                <w:iCs/>
                <w:sz w:val="20"/>
                <w:szCs w:val="20"/>
              </w:rPr>
              <w:t xml:space="preserve">Chi manovrava le Brigate rosse?</w:t>
            </w:r>
            <w:r>
              <w:rPr>
                <w:rFonts w:ascii="Times New Roman" w:cs="Times New Roman" w:eastAsia="Times New Roman" w:hAnsi="Times New Roman"/>
                <w:sz w:val="20"/>
                <w:szCs w:val="20"/>
              </w:rPr>
              <w:t xml:space="preserve"> di Silvano De Prospo e </w:t>
            </w:r>
            <w:r>
              <w:rPr>
                <w:rFonts w:ascii="Times New Roman" w:cs="Times New Roman" w:eastAsia="Times New Roman" w:hAnsi="Times New Roman"/>
                <w:b/>
                <w:bCs/>
                <w:sz w:val="20"/>
                <w:szCs w:val="20"/>
              </w:rPr>
              <w:t xml:space="preserve">Rosario Priore</w:t>
            </w:r>
            <w:r>
              <w:rPr>
                <w:rFonts w:ascii="Times New Roman" w:cs="Times New Roman" w:eastAsia="Times New Roman" w:hAnsi="Times New Roman"/>
                <w:sz w:val="20"/>
                <w:szCs w:val="20"/>
              </w:rPr>
              <w:t xml:space="preserve"> (Ponte alle Grazie, 2011) — scritto cioè dallo stesso magistrato che indagò: fonte di parte investigativa, qualificata ma non giudiziale</w:t>
            </w:r>
          </w:p>
        </w:tc>
        <w:tc>
          <w:tcPr>
            <w:tcW w:type="dxa" w:w="3120"/>
          </w:tcPr>
          <w:p>
            <w:pPr>
              <w:spacing w:after="20" w:before="20"/>
              <w:jc w:val="left"/>
            </w:pPr>
            <w:r>
              <w:rPr>
                <w:rFonts w:ascii="Times New Roman" w:cs="Times New Roman" w:eastAsia="Times New Roman" w:hAnsi="Times New Roman"/>
                <w:sz w:val="20"/>
                <w:szCs w:val="20"/>
              </w:rPr>
              <w:t xml:space="preserve">Scheda editoriale (https://www.unilibro.it/libro/de-prospo-silvano-priore-rosario/chi-manovrava-brigate-rosse-storia-misteri-dell-hyperion-parigi-scuola-lingue-centrale-terrorismo-internazionale/9788862201742)</w:t>
            </w:r>
          </w:p>
        </w:tc>
      </w:tr>
    </w:tbl>
    <w:p>
      <w:pPr>
        <w:spacing w:after="80"/>
      </w:pPr>
    </w:p>
    <w:p>
      <w:pPr>
        <w:pStyle w:val="Heading2"/>
        <w:spacing w:after="100" w:before="200"/>
      </w:pPr>
      <w:r>
        <w:rPr>
          <w:rFonts w:ascii="Times New Roman" w:cs="Times New Roman" w:eastAsia="Times New Roman" w:hAnsi="Times New Roman"/>
          <w:sz w:val="24"/>
          <w:szCs w:val="24"/>
        </w:rPr>
        <w:t xml:space="preserve">2. Le due tesi contrapposte — entrambe non provate</w:t>
      </w:r>
    </w:p>
    <w:p>
      <w:pPr>
        <w:spacing w:after="120" w:line="276"/>
        <w:jc w:val="both"/>
      </w:pPr>
      <w:r>
        <w:rPr>
          <w:rFonts w:ascii="Times New Roman" w:cs="Times New Roman" w:eastAsia="Times New Roman" w:hAnsi="Times New Roman"/>
          <w:sz w:val="24"/>
          <w:szCs w:val="24"/>
        </w:rPr>
        <w:t xml:space="preserve">Il nodo Hyperion è conteso da due narrazioni speculari, e la triangolazione deve trattarle simmetricamente.</w:t>
      </w:r>
    </w:p>
    <w:p>
      <w:pPr>
        <w:spacing w:after="120" w:line="276"/>
        <w:jc w:val="both"/>
      </w:pPr>
      <w:r>
        <w:rPr>
          <w:rFonts w:ascii="Times New Roman" w:cs="Times New Roman" w:eastAsia="Times New Roman" w:hAnsi="Times New Roman"/>
          <w:b/>
          <w:bCs/>
          <w:sz w:val="24"/>
          <w:szCs w:val="24"/>
        </w:rPr>
        <w:t xml:space="preserve">Tesi A — «la centrale del terrorismo internazionale».</w:t>
      </w:r>
      <w:r>
        <w:rPr>
          <w:rFonts w:ascii="Times New Roman" w:cs="Times New Roman" w:eastAsia="Times New Roman" w:hAnsi="Times New Roman"/>
          <w:sz w:val="24"/>
          <w:szCs w:val="24"/>
        </w:rPr>
        <w:t xml:space="preserve"> Hyperion come punto d'incontro fra BR, ETA, IRA e OLP e come «direzione strategica estera» della lotta armata italiana. Fondamenti: le dichiarazioni di pentiti, la convergenza temporale dell'ufficio romano (HY-4), i passaggi biografici Superclan→BR (HY-2). </w:t>
      </w:r>
      <w:r>
        <w:rPr>
          <w:rFonts w:ascii="Times New Roman" w:cs="Times New Roman" w:eastAsia="Times New Roman" w:hAnsi="Times New Roman"/>
          <w:b/>
          <w:bCs/>
          <w:sz w:val="24"/>
          <w:szCs w:val="24"/>
        </w:rPr>
        <w:t xml:space="preserve">Esito al vaglio:</w:t>
      </w:r>
      <w:r>
        <w:rPr>
          <w:rFonts w:ascii="Times New Roman" w:cs="Times New Roman" w:eastAsia="Times New Roman" w:hAnsi="Times New Roman"/>
          <w:sz w:val="24"/>
          <w:szCs w:val="24"/>
        </w:rPr>
        <w:t xml:space="preserve"> i procedimenti giudiziari costruiti su questa tesi si sono chiusi con proscioglimenti (HY-7); la Commissione Moro 2 l'ha riesaminata senza produrre accertamenti nuovi di grado giudiziario. </w:t>
      </w:r>
      <w:r>
        <w:rPr>
          <w:rFonts w:ascii="Times New Roman" w:cs="Times New Roman" w:eastAsia="Times New Roman" w:hAnsi="Times New Roman"/>
          <w:b/>
          <w:bCs/>
          <w:sz w:val="24"/>
          <w:szCs w:val="24"/>
        </w:rPr>
        <w:t xml:space="preserve">Resta congettura.</w:t>
      </w:r>
    </w:p>
    <w:p>
      <w:pPr>
        <w:spacing w:after="120" w:line="276"/>
        <w:jc w:val="both"/>
      </w:pPr>
      <w:r>
        <w:rPr>
          <w:rFonts w:ascii="Times New Roman" w:cs="Times New Roman" w:eastAsia="Times New Roman" w:hAnsi="Times New Roman"/>
          <w:b/>
          <w:bCs/>
          <w:sz w:val="24"/>
          <w:szCs w:val="24"/>
        </w:rPr>
        <w:t xml:space="preserve">Tesi B — «la centrale d'intelligence».</w:t>
      </w:r>
      <w:r>
        <w:rPr>
          <w:rFonts w:ascii="Times New Roman" w:cs="Times New Roman" w:eastAsia="Times New Roman" w:hAnsi="Times New Roman"/>
          <w:sz w:val="24"/>
          <w:szCs w:val="24"/>
        </w:rPr>
        <w:t xml:space="preserve"> Hyperion come struttura legata a servizi occidentali — nelle audizioni e nelle dichiarazioni di magistrati (in particolare Priore) si riferisce che il SISDE di Giulio Grassini chiese ai servizi francesi informazioni sulla sede «coperta» di Rouen ritenendola «sede di un servizio d'informazione collegato alla CIA», e che interventi fra servizi avrebbero frenato le indagini (Il Sussidiario, intervista (https://www.ilsussidiario.net/news/scuola-di-lingue-hyperion-copriva-terroristi-a-parigi-i-francesi-sapevano-tutto/2164445/)). </w:t>
      </w:r>
      <w:r>
        <w:rPr>
          <w:rFonts w:ascii="Times New Roman" w:cs="Times New Roman" w:eastAsia="Times New Roman" w:hAnsi="Times New Roman"/>
          <w:b/>
          <w:bCs/>
          <w:sz w:val="24"/>
          <w:szCs w:val="24"/>
        </w:rPr>
        <w:t xml:space="preserve">Esito al vaglio:</w:t>
      </w:r>
      <w:r>
        <w:rPr>
          <w:rFonts w:ascii="Times New Roman" w:cs="Times New Roman" w:eastAsia="Times New Roman" w:hAnsi="Times New Roman"/>
          <w:sz w:val="24"/>
          <w:szCs w:val="24"/>
        </w:rPr>
        <w:t xml:space="preserve"> si tratta di </w:t>
      </w:r>
      <w:r>
        <w:rPr>
          <w:rFonts w:ascii="Times New Roman" w:cs="Times New Roman" w:eastAsia="Times New Roman" w:hAnsi="Times New Roman"/>
          <w:b/>
          <w:bCs/>
          <w:sz w:val="24"/>
          <w:szCs w:val="24"/>
        </w:rPr>
        <w:t xml:space="preserve">testimonianze e valutazioni investigative qualificate</w:t>
      </w:r>
      <w:r>
        <w:rPr>
          <w:rFonts w:ascii="Times New Roman" w:cs="Times New Roman" w:eastAsia="Times New Roman" w:hAnsi="Times New Roman"/>
          <w:sz w:val="24"/>
          <w:szCs w:val="24"/>
        </w:rPr>
        <w:t xml:space="preserve"> — non di accertamenti giudiziari; nessuna sentenza le ha mai convalidate. </w:t>
      </w:r>
      <w:r>
        <w:rPr>
          <w:rFonts w:ascii="Times New Roman" w:cs="Times New Roman" w:eastAsia="Times New Roman" w:hAnsi="Times New Roman"/>
          <w:b/>
          <w:bCs/>
          <w:sz w:val="24"/>
          <w:szCs w:val="24"/>
        </w:rPr>
        <w:t xml:space="preserve">Resta congettura</w:t>
      </w:r>
      <w:r>
        <w:rPr>
          <w:rFonts w:ascii="Times New Roman" w:cs="Times New Roman" w:eastAsia="Times New Roman" w:hAnsi="Times New Roman"/>
          <w:sz w:val="24"/>
          <w:szCs w:val="24"/>
        </w:rPr>
        <w:t xml:space="preserve">, di rango testimoniale.</w:t>
      </w:r>
    </w:p>
    <w:p>
      <w:pPr>
        <w:spacing w:after="120" w:line="276"/>
        <w:jc w:val="both"/>
      </w:pPr>
      <w:r>
        <w:rPr>
          <w:rFonts w:ascii="Times New Roman" w:cs="Times New Roman" w:eastAsia="Times New Roman" w:hAnsi="Times New Roman"/>
          <w:sz w:val="24"/>
          <w:szCs w:val="24"/>
        </w:rPr>
        <w:t xml:space="preserve">Il punto metodologico, che è il contributo del corpus a questo nodo: </w:t>
      </w:r>
      <w:r>
        <w:rPr>
          <w:rFonts w:ascii="Times New Roman" w:cs="Times New Roman" w:eastAsia="Times New Roman" w:hAnsi="Times New Roman"/>
          <w:b/>
          <w:bCs/>
          <w:sz w:val="24"/>
          <w:szCs w:val="24"/>
        </w:rPr>
        <w:t xml:space="preserve">le due tesi non possono sommarsi in un generico «Hyperion era comunque qualcosa di torbido»</w:t>
      </w:r>
      <w:r>
        <w:rPr>
          <w:rFonts w:ascii="Times New Roman" w:cs="Times New Roman" w:eastAsia="Times New Roman" w:hAnsi="Times New Roman"/>
          <w:sz w:val="24"/>
          <w:szCs w:val="24"/>
        </w:rPr>
        <w:t xml:space="preserve">. Sono ipotesi alternative, ciascuna non provata; la loro coesistenza quarantennale nel discorso pubblico misura l'assenza di accertamento, non la sua abbondanza. Il «doppio sospetto» non è un grado di prova: è la forma che prende, in Italia, il vuoto probatorio.</w:t>
      </w:r>
    </w:p>
    <w:p>
      <w:pPr>
        <w:pStyle w:val="Heading2"/>
        <w:spacing w:after="100" w:before="200"/>
      </w:pPr>
      <w:r>
        <w:rPr>
          <w:rFonts w:ascii="Times New Roman" w:cs="Times New Roman" w:eastAsia="Times New Roman" w:hAnsi="Times New Roman"/>
          <w:sz w:val="24"/>
          <w:szCs w:val="24"/>
        </w:rPr>
        <w:t xml:space="preserve">3. I ponti con il corpus (BH-1…BH-4)</w:t>
      </w:r>
    </w:p>
    <w:p>
      <w:pPr>
        <w:pStyle w:val="Heading3"/>
        <w:spacing w:after="80" w:before="160"/>
      </w:pPr>
      <w:r>
        <w:rPr>
          <w:rFonts w:ascii="Times New Roman" w:cs="Times New Roman" w:eastAsia="Times New Roman" w:hAnsi="Times New Roman"/>
          <w:sz w:val="24"/>
          <w:szCs w:val="24"/>
        </w:rPr>
        <w:t xml:space="preserve">BH-1 · Con il fronte Feltrinelli e il nodo Pecorile (M-3) — ponte genealogico documentato</w:t>
      </w:r>
    </w:p>
    <w:p>
      <w:pPr>
        <w:spacing w:after="120" w:line="276"/>
        <w:jc w:val="both"/>
      </w:pPr>
      <w:r>
        <w:rPr>
          <w:rFonts w:ascii="Times New Roman" w:cs="Times New Roman" w:eastAsia="Times New Roman" w:hAnsi="Times New Roman"/>
          <w:sz w:val="24"/>
          <w:szCs w:val="24"/>
        </w:rPr>
        <w:t xml:space="preserve">La matrice del corpus data la nascita delle BR al convegno di Pecorile (agosto 1970), dentro l'area del CPM milanese. Hyperion vi si aggancia </w:t>
      </w:r>
      <w:r>
        <w:rPr>
          <w:rFonts w:ascii="Times New Roman" w:cs="Times New Roman" w:eastAsia="Times New Roman" w:hAnsi="Times New Roman"/>
          <w:b/>
          <w:bCs/>
          <w:sz w:val="24"/>
          <w:szCs w:val="24"/>
        </w:rPr>
        <w:t xml:space="preserve">a monte</w:t>
      </w:r>
      <w:r>
        <w:rPr>
          <w:rFonts w:ascii="Times New Roman" w:cs="Times New Roman" w:eastAsia="Times New Roman" w:hAnsi="Times New Roman"/>
          <w:sz w:val="24"/>
          <w:szCs w:val="24"/>
        </w:rPr>
        <w:t xml:space="preserve">: i suoi futuri fondatori furono co-fondatori del CPM (HY-1) e se ne separarono </w:t>
      </w:r>
      <w:r>
        <w:rPr>
          <w:rFonts w:ascii="Times New Roman" w:cs="Times New Roman" w:eastAsia="Times New Roman" w:hAnsi="Times New Roman"/>
          <w:b/>
          <w:bCs/>
          <w:sz w:val="24"/>
          <w:szCs w:val="24"/>
        </w:rPr>
        <w:t xml:space="preserve">prima</w:t>
      </w:r>
      <w:r>
        <w:rPr>
          <w:rFonts w:ascii="Times New Roman" w:cs="Times New Roman" w:eastAsia="Times New Roman" w:hAnsi="Times New Roman"/>
          <w:sz w:val="24"/>
          <w:szCs w:val="24"/>
        </w:rPr>
        <w:t xml:space="preserve"> della scelta armata di Curcio, formando il Superclan (HY-2). Il ponte documentato è dunque una </w:t>
      </w:r>
      <w:r>
        <w:rPr>
          <w:rFonts w:ascii="Times New Roman" w:cs="Times New Roman" w:eastAsia="Times New Roman" w:hAnsi="Times New Roman"/>
          <w:b/>
          <w:bCs/>
          <w:sz w:val="24"/>
          <w:szCs w:val="24"/>
        </w:rPr>
        <w:t xml:space="preserve">genealogia comune con biforcazione precoce</w:t>
      </w:r>
      <w:r>
        <w:rPr>
          <w:rFonts w:ascii="Times New Roman" w:cs="Times New Roman" w:eastAsia="Times New Roman" w:hAnsi="Times New Roman"/>
          <w:sz w:val="24"/>
          <w:szCs w:val="24"/>
        </w:rPr>
        <w:t xml:space="preserve">: stesso brodo di coltura, strade divise. Il passaggio di </w:t>
      </w:r>
      <w:r>
        <w:rPr>
          <w:rFonts w:ascii="Times New Roman" w:cs="Times New Roman" w:eastAsia="Times New Roman" w:hAnsi="Times New Roman"/>
          <w:b/>
          <w:bCs/>
          <w:sz w:val="24"/>
          <w:szCs w:val="24"/>
        </w:rPr>
        <w:t xml:space="preserve">Moretti</w:t>
      </w:r>
      <w:r>
        <w:rPr>
          <w:rFonts w:ascii="Times New Roman" w:cs="Times New Roman" w:eastAsia="Times New Roman" w:hAnsi="Times New Roman"/>
          <w:sz w:val="24"/>
          <w:szCs w:val="24"/>
        </w:rPr>
        <w:t xml:space="preserve"> — dal Superclan alle BR, fino alla direzione del sequestro Moro e, per sua ammissione (nodo P-1 della matrice), all'uccisione — è il filo biografico che tiene uniti i due rami; ma un filo biografico non è una catena di comando, e la triangolazione lo lascia dov'è.</w:t>
      </w:r>
    </w:p>
    <w:p>
      <w:pPr>
        <w:pStyle w:val="Heading3"/>
        <w:spacing w:after="80" w:before="160"/>
      </w:pPr>
      <w:r>
        <w:rPr>
          <w:rFonts w:ascii="Times New Roman" w:cs="Times New Roman" w:eastAsia="Times New Roman" w:hAnsi="Times New Roman"/>
          <w:sz w:val="24"/>
          <w:szCs w:val="24"/>
        </w:rPr>
        <w:t xml:space="preserve">BH-2 · Con la Parte terza dell'opera morotea (il «quadro internazionale») — ponte tematico</w:t>
      </w:r>
    </w:p>
    <w:p>
      <w:pPr>
        <w:spacing w:after="120" w:line="276"/>
        <w:jc w:val="both"/>
      </w:pPr>
      <w:r>
        <w:rPr>
          <w:rFonts w:ascii="Times New Roman" w:cs="Times New Roman" w:eastAsia="Times New Roman" w:hAnsi="Times New Roman"/>
          <w:sz w:val="24"/>
          <w:szCs w:val="24"/>
        </w:rPr>
        <w:t xml:space="preserve">Il dossier falsificazionista del corpus tratta le questioni aperte del caso Moro assegnando a ciascuna grado di prova e criterio di smentita. Hyperion appartiene a quel capitolo come </w:t>
      </w:r>
      <w:r>
        <w:rPr>
          <w:rFonts w:ascii="Times New Roman" w:cs="Times New Roman" w:eastAsia="Times New Roman" w:hAnsi="Times New Roman"/>
          <w:b/>
          <w:bCs/>
          <w:sz w:val="24"/>
          <w:szCs w:val="24"/>
        </w:rPr>
        <w:t xml:space="preserve">caso di scuola</w:t>
      </w:r>
      <w:r>
        <w:rPr>
          <w:rFonts w:ascii="Times New Roman" w:cs="Times New Roman" w:eastAsia="Times New Roman" w:hAnsi="Times New Roman"/>
          <w:sz w:val="24"/>
          <w:szCs w:val="24"/>
        </w:rPr>
        <w:t xml:space="preserve">: l'ipotesi di una direzione estera delle BR — di qualunque segno — non ha mai superato il vaglio giudiziario. Il criterio di smentita per entrambe le tesi del § 2 è identico e semplice: </w:t>
      </w:r>
      <w:r>
        <w:rPr>
          <w:rFonts w:ascii="Times New Roman" w:cs="Times New Roman" w:eastAsia="Times New Roman" w:hAnsi="Times New Roman"/>
          <w:b/>
          <w:bCs/>
          <w:sz w:val="24"/>
          <w:szCs w:val="24"/>
        </w:rPr>
        <w:t xml:space="preserve">un documento d'archivio o una sentenza</w:t>
      </w:r>
      <w:r>
        <w:rPr>
          <w:rFonts w:ascii="Times New Roman" w:cs="Times New Roman" w:eastAsia="Times New Roman" w:hAnsi="Times New Roman"/>
          <w:sz w:val="24"/>
          <w:szCs w:val="24"/>
        </w:rPr>
        <w:t xml:space="preserve"> che stabilisca l'affiliazione. In quarant'anni non è emerso né l'uno né l'altra.</w:t>
      </w:r>
    </w:p>
    <w:p>
      <w:pPr>
        <w:pStyle w:val="Heading3"/>
        <w:spacing w:after="80" w:before="160"/>
      </w:pPr>
      <w:r>
        <w:rPr>
          <w:rFonts w:ascii="Times New Roman" w:cs="Times New Roman" w:eastAsia="Times New Roman" w:hAnsi="Times New Roman"/>
          <w:sz w:val="24"/>
          <w:szCs w:val="24"/>
        </w:rPr>
        <w:t xml:space="preserve">BH-3 · Con il nodo M-5 («l'ombra statunitense») — simmetria di metodo</w:t>
      </w:r>
    </w:p>
    <w:p>
      <w:pPr>
        <w:spacing w:after="120" w:line="276"/>
        <w:jc w:val="both"/>
      </w:pPr>
      <w:r>
        <w:rPr>
          <w:rFonts w:ascii="Times New Roman" w:cs="Times New Roman" w:eastAsia="Times New Roman" w:hAnsi="Times New Roman"/>
          <w:sz w:val="24"/>
          <w:szCs w:val="24"/>
        </w:rPr>
        <w:t xml:space="preserve">La matrice Guevara-Moro registra fatti americani documentati sulle due morti senza promuoverli a regia. La tesi B su Hyperion (§ 2) chiede lo stesso trattamento: le dichiarazioni sul SISDE e sulla CIA sono </w:t>
      </w:r>
      <w:r>
        <w:rPr>
          <w:rFonts w:ascii="Times New Roman" w:cs="Times New Roman" w:eastAsia="Times New Roman" w:hAnsi="Times New Roman"/>
          <w:b/>
          <w:bCs/>
          <w:sz w:val="24"/>
          <w:szCs w:val="24"/>
        </w:rPr>
        <w:t xml:space="preserve">fatti testimoniali documentati</w:t>
      </w:r>
      <w:r>
        <w:rPr>
          <w:rFonts w:ascii="Times New Roman" w:cs="Times New Roman" w:eastAsia="Times New Roman" w:hAnsi="Times New Roman"/>
          <w:sz w:val="24"/>
          <w:szCs w:val="24"/>
        </w:rPr>
        <w:t xml:space="preserve"> (qualcuno le ha rese, in sedi qualificate) la cui </w:t>
      </w:r>
      <w:r>
        <w:rPr>
          <w:rFonts w:ascii="Times New Roman" w:cs="Times New Roman" w:eastAsia="Times New Roman" w:hAnsi="Times New Roman"/>
          <w:b/>
          <w:bCs/>
          <w:sz w:val="24"/>
          <w:szCs w:val="24"/>
        </w:rPr>
        <w:t xml:space="preserve">verità sostanziale resta non accertata</w:t>
      </w:r>
      <w:r>
        <w:rPr>
          <w:rFonts w:ascii="Times New Roman" w:cs="Times New Roman" w:eastAsia="Times New Roman" w:hAnsi="Times New Roman"/>
          <w:sz w:val="24"/>
          <w:szCs w:val="24"/>
        </w:rPr>
        <w:t xml:space="preserve">. Documentare l'esistenza di una testimonianza non è documentare ciò che essa afferma: è la distinzione su cui il corpus è costruito.</w:t>
      </w:r>
    </w:p>
    <w:p>
      <w:pPr>
        <w:pStyle w:val="Heading3"/>
        <w:spacing w:after="80" w:before="160"/>
      </w:pPr>
      <w:r>
        <w:rPr>
          <w:rFonts w:ascii="Times New Roman" w:cs="Times New Roman" w:eastAsia="Times New Roman" w:hAnsi="Times New Roman"/>
          <w:sz w:val="24"/>
          <w:szCs w:val="24"/>
        </w:rPr>
        <w:t xml:space="preserve">BH-4 · Con la convergenza temporale di via Nicotera (HY-4) — convergenza, da non promuovere</w:t>
      </w:r>
    </w:p>
    <w:p>
      <w:pPr>
        <w:spacing w:after="120" w:line="276"/>
        <w:jc w:val="both"/>
      </w:pPr>
      <w:r>
        <w:rPr>
          <w:rFonts w:ascii="Times New Roman" w:cs="Times New Roman" w:eastAsia="Times New Roman" w:hAnsi="Times New Roman"/>
          <w:sz w:val="24"/>
          <w:szCs w:val="24"/>
        </w:rPr>
        <w:t xml:space="preserve">L'apertura dell'ufficio romano un mese prima di via Fani, in uno stabile condiviso con coperture SISMI, è il tipo esatto di dato che la dietrologia trasforma in prova. Il corpus lo registra per ciò che è: una </w:t>
      </w:r>
      <w:r>
        <w:rPr>
          <w:rFonts w:ascii="Times New Roman" w:cs="Times New Roman" w:eastAsia="Times New Roman" w:hAnsi="Times New Roman"/>
          <w:b/>
          <w:bCs/>
          <w:sz w:val="24"/>
          <w:szCs w:val="24"/>
        </w:rPr>
        <w:t xml:space="preserve">convergenza di tempo e di luogo</w:t>
      </w:r>
      <w:r>
        <w:rPr>
          <w:rFonts w:ascii="Times New Roman" w:cs="Times New Roman" w:eastAsia="Times New Roman" w:hAnsi="Times New Roman"/>
          <w:sz w:val="24"/>
          <w:szCs w:val="24"/>
        </w:rPr>
        <w:t xml:space="preserve">, documentata e mai tradotta in alcun accertamento di responsabilità. Vale la regola dell'intero lavoro: la convergenza non si promuove a nesso.</w:t>
      </w:r>
    </w:p>
    <w:p>
      <w:pPr>
        <w:pStyle w:val="Heading2"/>
        <w:spacing w:after="100" w:before="200"/>
      </w:pPr>
      <w:r>
        <w:rPr>
          <w:rFonts w:ascii="Times New Roman" w:cs="Times New Roman" w:eastAsia="Times New Roman" w:hAnsi="Times New Roman"/>
          <w:sz w:val="24"/>
          <w:szCs w:val="24"/>
        </w:rPr>
        <w:t xml:space="preserve">4. Anti-triangolazioni (ATH-1…ATH-3)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Anti-triangolazione</w:t>
            </w:r>
          </w:p>
        </w:tc>
      </w:tr>
      <w:tr>
        <w:tc>
          <w:tcPr>
            <w:tcW w:type="dxa" w:w="4680"/>
          </w:tcPr>
          <w:p>
            <w:pPr>
              <w:spacing w:after="20" w:before="20"/>
              <w:jc w:val="left"/>
            </w:pPr>
            <w:r>
              <w:rPr>
                <w:rFonts w:ascii="Times New Roman" w:cs="Times New Roman" w:eastAsia="Times New Roman" w:hAnsi="Times New Roman"/>
                <w:sz w:val="20"/>
                <w:szCs w:val="20"/>
              </w:rPr>
              <w:t xml:space="preserve">ATH-1</w:t>
            </w:r>
          </w:p>
        </w:tc>
        <w:tc>
          <w:tcPr>
            <w:tcW w:type="dxa" w:w="4680"/>
          </w:tcPr>
          <w:p>
            <w:pPr>
              <w:spacing w:after="20" w:before="20"/>
              <w:jc w:val="left"/>
            </w:pPr>
            <w:r>
              <w:rPr>
                <w:rFonts w:ascii="Times New Roman" w:cs="Times New Roman" w:eastAsia="Times New Roman" w:hAnsi="Times New Roman"/>
                <w:b/>
                <w:bCs/>
                <w:sz w:val="20"/>
                <w:szCs w:val="20"/>
              </w:rPr>
              <w:t xml:space="preserve">Nessuna condanna, presunzione d'innocenza piena.</w:t>
            </w:r>
            <w:r>
              <w:rPr>
                <w:rFonts w:ascii="Times New Roman" w:cs="Times New Roman" w:eastAsia="Times New Roman" w:hAnsi="Times New Roman"/>
                <w:sz w:val="20"/>
                <w:szCs w:val="20"/>
              </w:rPr>
              <w:t xml:space="preserve"> I fondatori di Hyperion furono indagati e </w:t>
            </w:r>
            <w:r>
              <w:rPr>
                <w:rFonts w:ascii="Times New Roman" w:cs="Times New Roman" w:eastAsia="Times New Roman" w:hAnsi="Times New Roman"/>
                <w:b/>
                <w:bCs/>
                <w:sz w:val="20"/>
                <w:szCs w:val="20"/>
              </w:rPr>
              <w:t xml:space="preserve">prosciolti</w:t>
            </w:r>
            <w:r>
              <w:rPr>
                <w:rFonts w:ascii="Times New Roman" w:cs="Times New Roman" w:eastAsia="Times New Roman" w:hAnsi="Times New Roman"/>
                <w:sz w:val="20"/>
                <w:szCs w:val="20"/>
              </w:rPr>
              <w:t xml:space="preserve">. Ogni uso del loro nome come «responsabili» di alcunché è fuori dal terreno documentato e fuori dalla disciplina del corpus</w:t>
            </w:r>
          </w:p>
        </w:tc>
      </w:tr>
      <w:tr>
        <w:tc>
          <w:tcPr>
            <w:tcW w:type="dxa" w:w="4680"/>
          </w:tcPr>
          <w:p>
            <w:pPr>
              <w:spacing w:after="20" w:before="20"/>
              <w:jc w:val="left"/>
            </w:pPr>
            <w:r>
              <w:rPr>
                <w:rFonts w:ascii="Times New Roman" w:cs="Times New Roman" w:eastAsia="Times New Roman" w:hAnsi="Times New Roman"/>
                <w:sz w:val="20"/>
                <w:szCs w:val="20"/>
              </w:rPr>
              <w:t xml:space="preserve">ATH-2</w:t>
            </w:r>
          </w:p>
        </w:tc>
        <w:tc>
          <w:tcPr>
            <w:tcW w:type="dxa" w:w="4680"/>
          </w:tcPr>
          <w:p>
            <w:pPr>
              <w:spacing w:after="20" w:before="20"/>
              <w:jc w:val="left"/>
            </w:pPr>
            <w:r>
              <w:rPr>
                <w:rFonts w:ascii="Times New Roman" w:cs="Times New Roman" w:eastAsia="Times New Roman" w:hAnsi="Times New Roman"/>
                <w:b/>
                <w:bCs/>
                <w:sz w:val="20"/>
                <w:szCs w:val="20"/>
              </w:rPr>
              <w:t xml:space="preserve">Le due tesi non si sommano.</w:t>
            </w:r>
            <w:r>
              <w:rPr>
                <w:rFonts w:ascii="Times New Roman" w:cs="Times New Roman" w:eastAsia="Times New Roman" w:hAnsi="Times New Roman"/>
                <w:sz w:val="20"/>
                <w:szCs w:val="20"/>
              </w:rPr>
              <w:t xml:space="preserve"> «Centrale del terrorismo» e «centrale d'intelligence» sono congetture alternative; il doppio sospetto non costituisce un grado di prova intermedio. Chi le somma commette due volte l'errore che il corpus chiama promozione della convergenza a nesso</w:t>
            </w:r>
          </w:p>
        </w:tc>
      </w:tr>
      <w:tr>
        <w:tc>
          <w:tcPr>
            <w:tcW w:type="dxa" w:w="4680"/>
          </w:tcPr>
          <w:p>
            <w:pPr>
              <w:spacing w:after="20" w:before="20"/>
              <w:jc w:val="left"/>
            </w:pPr>
            <w:r>
              <w:rPr>
                <w:rFonts w:ascii="Times New Roman" w:cs="Times New Roman" w:eastAsia="Times New Roman" w:hAnsi="Times New Roman"/>
                <w:sz w:val="20"/>
                <w:szCs w:val="20"/>
              </w:rPr>
              <w:t xml:space="preserve">ATH-3</w:t>
            </w:r>
          </w:p>
        </w:tc>
        <w:tc>
          <w:tcPr>
            <w:tcW w:type="dxa" w:w="4680"/>
          </w:tcPr>
          <w:p>
            <w:pPr>
              <w:spacing w:after="20" w:before="20"/>
              <w:jc w:val="left"/>
            </w:pPr>
            <w:r>
              <w:rPr>
                <w:rFonts w:ascii="Times New Roman" w:cs="Times New Roman" w:eastAsia="Times New Roman" w:hAnsi="Times New Roman"/>
                <w:b/>
                <w:bCs/>
                <w:sz w:val="20"/>
                <w:szCs w:val="20"/>
              </w:rPr>
              <w:t xml:space="preserve">Il filo Moretti non è una catena di comando.</w:t>
            </w:r>
            <w:r>
              <w:rPr>
                <w:rFonts w:ascii="Times New Roman" w:cs="Times New Roman" w:eastAsia="Times New Roman" w:hAnsi="Times New Roman"/>
                <w:sz w:val="20"/>
                <w:szCs w:val="20"/>
              </w:rPr>
              <w:t xml:space="preserve"> Il passaggio biografico Superclan→BR di Moretti è documentato; la deduzione che le BR fossero eterodirette attraverso quel filo non lo è, e i processi — che pure disponevano delle dichiarazioni dei pentiti — non l'hanno accertata</w:t>
            </w:r>
          </w:p>
        </w:tc>
      </w:tr>
    </w:tbl>
    <w:p>
      <w:pPr>
        <w:spacing w:after="80"/>
      </w:pPr>
    </w:p>
    <w:p>
      <w:pPr>
        <w:pStyle w:val="Heading2"/>
        <w:spacing w:after="100" w:before="200"/>
      </w:pPr>
      <w:r>
        <w:rPr>
          <w:rFonts w:ascii="Times New Roman" w:cs="Times New Roman" w:eastAsia="Times New Roman" w:hAnsi="Times New Roman"/>
          <w:sz w:val="24"/>
          <w:szCs w:val="24"/>
        </w:rPr>
        <w:t xml:space="preserve">5. Registro di esecuzione</w:t>
      </w:r>
    </w:p>
    <w:p>
      <w:pPr>
        <w:pStyle w:val="ListParagraph"/>
        <w:numPr>
          <w:ilvl w:val="0"/>
          <w:numId w:val="1"/>
        </w:numPr>
        <w:spacing w:after="40"/>
        <w:jc w:val="both"/>
      </w:pPr>
      <w:r>
        <w:rPr>
          <w:rFonts w:ascii="Times New Roman" w:cs="Times New Roman" w:eastAsia="Times New Roman" w:hAnsi="Times New Roman"/>
          <w:sz w:val="24"/>
          <w:szCs w:val="24"/>
        </w:rPr>
        <w:t xml:space="preserve">Nodi documentati: </w:t>
      </w:r>
      <w:r>
        <w:rPr>
          <w:rFonts w:ascii="Times New Roman" w:cs="Times New Roman" w:eastAsia="Times New Roman" w:hAnsi="Times New Roman"/>
          <w:b/>
          <w:bCs/>
          <w:sz w:val="24"/>
          <w:szCs w:val="24"/>
        </w:rPr>
        <w:t xml:space="preserve">9</w:t>
      </w:r>
      <w:r>
        <w:rPr>
          <w:rFonts w:ascii="Times New Roman" w:cs="Times New Roman" w:eastAsia="Times New Roman" w:hAnsi="Times New Roman"/>
          <w:sz w:val="24"/>
          <w:szCs w:val="24"/>
        </w:rPr>
        <w:t xml:space="preserve"> (HY-1…HY-9), tutti con fonte citata; verifiche web dedicate eseguite in sessione: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sz w:val="24"/>
          <w:szCs w:val="24"/>
        </w:rPr>
        <w:t xml:space="preserve">Tesi vagliate e lasciate al grado di congettura: </w:t>
      </w: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 2), con criterio di smentita comune dichiarato (BH-2).</w:t>
      </w:r>
    </w:p>
    <w:p>
      <w:pPr>
        <w:pStyle w:val="ListParagraph"/>
        <w:numPr>
          <w:ilvl w:val="0"/>
          <w:numId w:val="1"/>
        </w:numPr>
        <w:spacing w:after="40"/>
        <w:jc w:val="both"/>
      </w:pPr>
      <w:r>
        <w:rPr>
          <w:rFonts w:ascii="Times New Roman" w:cs="Times New Roman" w:eastAsia="Times New Roman" w:hAnsi="Times New Roman"/>
          <w:sz w:val="24"/>
          <w:szCs w:val="24"/>
        </w:rPr>
        <w:t xml:space="preserve">Ponti con il corpus: </w:t>
      </w:r>
      <w:r>
        <w:rPr>
          <w:rFonts w:ascii="Times New Roman" w:cs="Times New Roman" w:eastAsia="Times New Roman" w:hAnsi="Times New Roman"/>
          <w:b/>
          <w:bCs/>
          <w:sz w:val="24"/>
          <w:szCs w:val="24"/>
        </w:rPr>
        <w:t xml:space="preserve">4</w:t>
      </w:r>
      <w:r>
        <w:rPr>
          <w:rFonts w:ascii="Times New Roman" w:cs="Times New Roman" w:eastAsia="Times New Roman" w:hAnsi="Times New Roman"/>
          <w:sz w:val="24"/>
          <w:szCs w:val="24"/>
        </w:rPr>
        <w:t xml:space="preserve"> (BH-1 genealogico documentato; BH-2 tematico; BH-3 simmetria di metodo; BH-4 convergenza dichiarata).</w:t>
      </w:r>
    </w:p>
    <w:p>
      <w:pPr>
        <w:pStyle w:val="ListParagraph"/>
        <w:numPr>
          <w:ilvl w:val="0"/>
          <w:numId w:val="1"/>
        </w:numPr>
        <w:spacing w:after="40"/>
        <w:jc w:val="both"/>
      </w:pPr>
      <w:r>
        <w:rPr>
          <w:rFonts w:ascii="Times New Roman" w:cs="Times New Roman" w:eastAsia="Times New Roman" w:hAnsi="Times New Roman"/>
          <w:sz w:val="24"/>
          <w:szCs w:val="24"/>
        </w:rPr>
        <w:t xml:space="preserve">Anti-triangolazioni: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w:t>
      </w:r>
    </w:p>
    <w:p>
      <w:pPr>
        <w:pStyle w:val="ListParagraph"/>
        <w:numPr>
          <w:ilvl w:val="0"/>
          <w:numId w:val="1"/>
        </w:numPr>
        <w:spacing w:after="40"/>
        <w:jc w:val="both"/>
      </w:pPr>
      <w:r>
        <w:rPr>
          <w:rFonts w:ascii="Times New Roman" w:cs="Times New Roman" w:eastAsia="Times New Roman" w:hAnsi="Times New Roman"/>
          <w:sz w:val="24"/>
          <w:szCs w:val="24"/>
        </w:rPr>
        <w:t xml:space="preserve">Il nodo </w:t>
      </w:r>
      <w:r>
        <w:rPr>
          <w:rFonts w:ascii="Times New Roman" w:cs="Times New Roman" w:eastAsia="Times New Roman" w:hAnsi="Times New Roman"/>
          <w:b/>
          <w:bCs/>
          <w:sz w:val="24"/>
          <w:szCs w:val="24"/>
        </w:rPr>
        <w:t xml:space="preserve">non è inserito</w:t>
      </w:r>
      <w:r>
        <w:rPr>
          <w:rFonts w:ascii="Times New Roman" w:cs="Times New Roman" w:eastAsia="Times New Roman" w:hAnsi="Times New Roman"/>
          <w:sz w:val="24"/>
          <w:szCs w:val="24"/>
        </w:rPr>
        <w:t xml:space="preserve"> nella cronologia sinottica: quella registra solo fatti documentati dei tre fili (Guevara, mito, Moro), e Hyperion vi apparterrebbe solo per via di tesi non provate.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Triangolazione del nodo Hyperion con il corpus. Fondatori nominati solo per fatti pubblici e con esiti giudiziari liberatori esplicitati; le due tesi contrapposte lasciate entrambe al grado di congettura con criterio di smentita dichiarato. Nessuna imputazione oltre il giudicato — qui, dove il giudicato assolve, la formula significa: nessuna imputazione.</w:t>
      </w:r>
    </w:p>
    <w:p>
      <w:r>
        <w:br w:type="page"/>
      </w:r>
    </w:p>
    <w:p>
      <w:pPr>
        <w:pStyle w:val="Heading1"/>
        <w:spacing w:after="120" w:before="240"/>
      </w:pPr>
      <w:r>
        <w:rPr>
          <w:rFonts w:ascii="Times New Roman" w:cs="Times New Roman" w:eastAsia="Times New Roman" w:hAnsi="Times New Roman"/>
          <w:sz w:val="24"/>
          <w:szCs w:val="24"/>
        </w:rPr>
        <w:t xml:space="preserve">Triangolazione d'incrocio: Feltrinelli e Hyperion</w:t>
      </w:r>
    </w:p>
    <w:p>
      <w:pPr>
        <w:spacing w:after="120" w:line="276"/>
        <w:jc w:val="both"/>
      </w:pPr>
      <w:r>
        <w:rPr>
          <w:rFonts w:ascii="Times New Roman" w:cs="Times New Roman" w:eastAsia="Times New Roman" w:hAnsi="Times New Roman"/>
          <w:i/>
          <w:iCs/>
          <w:sz w:val="24"/>
          <w:szCs w:val="24"/>
        </w:rPr>
        <w:t xml:space="preserve">I due fronti a confronto: la matrice milanese, le tre strade, i ponti biografici e le congetture smentite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w:t>
      </w:r>
      <w:r>
        <w:rPr>
          <w:rFonts w:ascii="Times New Roman" w:cs="Times New Roman" w:eastAsia="Times New Roman" w:hAnsi="Times New Roman"/>
          <w:i w:val="false"/>
          <w:iCs w:val="false"/>
          <w:sz w:val="24"/>
          <w:szCs w:val="24"/>
        </w:rPr>
        <w:t xml:space="preserve"> Il corpus ha ora due studi che si guardano: il vettore (Feltrinelli, i GAP, Segrate) e il nodo Hyperion (Simioni, Berio, Mulinaris, il Superclan, Parigi). Questo documento li </w:t>
      </w:r>
      <w:r>
        <w:rPr>
          <w:rFonts w:ascii="Times New Roman" w:cs="Times New Roman" w:eastAsia="Times New Roman" w:hAnsi="Times New Roman"/>
          <w:b/>
          <w:bCs/>
          <w:i w:val="false"/>
          <w:iCs w:val="false"/>
          <w:sz w:val="24"/>
          <w:szCs w:val="24"/>
        </w:rPr>
        <w:t xml:space="preserve">incrocia</w:t>
      </w:r>
      <w:r>
        <w:rPr>
          <w:rFonts w:ascii="Times New Roman" w:cs="Times New Roman" w:eastAsia="Times New Roman" w:hAnsi="Times New Roman"/>
          <w:i w:val="false"/>
          <w:iCs w:val="false"/>
          <w:sz w:val="24"/>
          <w:szCs w:val="24"/>
        </w:rPr>
        <w:t xml:space="preserve">: stabilisce che cosa li lega davvero — su fonti — e che cosa li lega solo nella pubblicistica. L'esito si anticipa perché orienta la lettura: </w:t>
      </w:r>
      <w:r>
        <w:rPr>
          <w:rFonts w:ascii="Times New Roman" w:cs="Times New Roman" w:eastAsia="Times New Roman" w:hAnsi="Times New Roman"/>
          <w:b/>
          <w:bCs/>
          <w:i w:val="false"/>
          <w:iCs w:val="false"/>
          <w:sz w:val="24"/>
          <w:szCs w:val="24"/>
        </w:rPr>
        <w:t xml:space="preserve">i due fronti condividono la matrice e gli uomini, non le organizzazioni.</w:t>
      </w:r>
      <w:r>
        <w:rPr>
          <w:rFonts w:ascii="Times New Roman" w:cs="Times New Roman" w:eastAsia="Times New Roman" w:hAnsi="Times New Roman"/>
          <w:i w:val="false"/>
          <w:iCs w:val="false"/>
          <w:sz w:val="24"/>
          <w:szCs w:val="24"/>
        </w:rPr>
        <w:t xml:space="preserve"> Hyperion nacque nel 1976, quattro anni dopo la morte di Feltrinelli: fra l'editore e la scuola di Parigi non esiste, per ragioni di calendario prima che di prova, alcun rapporto diretto. Ciò che esiste — ed è documentato — è un </w:t>
      </w:r>
      <w:r>
        <w:rPr>
          <w:rFonts w:ascii="Times New Roman" w:cs="Times New Roman" w:eastAsia="Times New Roman" w:hAnsi="Times New Roman"/>
          <w:b/>
          <w:bCs/>
          <w:i w:val="false"/>
          <w:iCs w:val="false"/>
          <w:sz w:val="24"/>
          <w:szCs w:val="24"/>
        </w:rPr>
        <w:t xml:space="preserve">ceppo comune</w:t>
      </w:r>
      <w:r>
        <w:rPr>
          <w:rFonts w:ascii="Times New Roman" w:cs="Times New Roman" w:eastAsia="Times New Roman" w:hAnsi="Times New Roman"/>
          <w:i w:val="false"/>
          <w:iCs w:val="false"/>
          <w:sz w:val="24"/>
          <w:szCs w:val="24"/>
        </w:rPr>
        <w:t xml:space="preserve"> (la Milano extraparlamentare del 1969-72) da cui uscirono tre progetti clandestini distinti, e alcuni </w:t>
      </w:r>
      <w:r>
        <w:rPr>
          <w:rFonts w:ascii="Times New Roman" w:cs="Times New Roman" w:eastAsia="Times New Roman" w:hAnsi="Times New Roman"/>
          <w:b/>
          <w:bCs/>
          <w:i w:val="false"/>
          <w:iCs w:val="false"/>
          <w:sz w:val="24"/>
          <w:szCs w:val="24"/>
        </w:rPr>
        <w:t xml:space="preserve">ponti biografici</w:t>
      </w:r>
      <w:r>
        <w:rPr>
          <w:rFonts w:ascii="Times New Roman" w:cs="Times New Roman" w:eastAsia="Times New Roman" w:hAnsi="Times New Roman"/>
          <w:i w:val="false"/>
          <w:iCs w:val="false"/>
          <w:sz w:val="24"/>
          <w:szCs w:val="24"/>
        </w:rPr>
        <w:t xml:space="preserve"> precisi. Vale la disciplina di entrambi i fronti: i fondatori di Hyperion furono prosciolti da ogni accusa; la morte di Feltrinelli ha una ricostruzione giudiziaria; le congetture della memorialistica sono trattate come tali, comprese quelle </w:t>
      </w:r>
      <w:r>
        <w:rPr>
          <w:rFonts w:ascii="Times New Roman" w:cs="Times New Roman" w:eastAsia="Times New Roman" w:hAnsi="Times New Roman"/>
          <w:b/>
          <w:bCs/>
          <w:i w:val="false"/>
          <w:iCs w:val="false"/>
          <w:sz w:val="24"/>
          <w:szCs w:val="24"/>
        </w:rPr>
        <w:t xml:space="preserve">smentite</w:t>
      </w:r>
      <w:r>
        <w:rPr>
          <w:rFonts w:ascii="Times New Roman" w:cs="Times New Roman" w:eastAsia="Times New Roman" w:hAnsi="Times New Roman"/>
          <w:i w:val="false"/>
          <w:iCs w:val="false"/>
          <w:sz w:val="24"/>
          <w:szCs w:val="24"/>
        </w:rPr>
        <w:t xml:space="preserv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1. La matrice e le tre strade (nodi FH-1…FH-2)</w:t>
      </w:r>
    </w:p>
    <w:p>
      <w:pPr>
        <w:spacing w:after="120" w:line="276"/>
        <w:jc w:val="both"/>
      </w:pPr>
      <w:r>
        <w:rPr>
          <w:rFonts w:ascii="Times New Roman" w:cs="Times New Roman" w:eastAsia="Times New Roman" w:hAnsi="Times New Roman"/>
          <w:b/>
          <w:bCs/>
          <w:sz w:val="24"/>
          <w:szCs w:val="24"/>
        </w:rPr>
        <w:t xml:space="preserve">FH-1 · Il ceppo comune (documentato).</w:t>
      </w:r>
      <w:r>
        <w:rPr>
          <w:rFonts w:ascii="Times New Roman" w:cs="Times New Roman" w:eastAsia="Times New Roman" w:hAnsi="Times New Roman"/>
          <w:sz w:val="24"/>
          <w:szCs w:val="24"/>
        </w:rPr>
        <w:t xml:space="preserve"> La matrice è il </w:t>
      </w:r>
      <w:r>
        <w:rPr>
          <w:rFonts w:ascii="Times New Roman" w:cs="Times New Roman" w:eastAsia="Times New Roman" w:hAnsi="Times New Roman"/>
          <w:b/>
          <w:bCs/>
          <w:sz w:val="24"/>
          <w:szCs w:val="24"/>
        </w:rPr>
        <w:t xml:space="preserve">Collettivo Politico Metropolitano</w:t>
      </w:r>
      <w:r>
        <w:rPr>
          <w:rFonts w:ascii="Times New Roman" w:cs="Times New Roman" w:eastAsia="Times New Roman" w:hAnsi="Times New Roman"/>
          <w:sz w:val="24"/>
          <w:szCs w:val="24"/>
        </w:rPr>
        <w:t xml:space="preserve"> (Milano, settembre 1969) e l'area che gli stava attorno: vi convissero Renato Curcio e i futuri fondatori di Hyperion — Simioni, Berio, Mulinaris (nodo HY-1). Feltrinelli non apparteneva al CPM, ma operava nella stessa città, negli stessi anni, sullo stesso crinale fra legalità e clandestinità, e con l'area era in contatto (nodo M-2: Curcio, «a scuola di guerriglia da Feltrinelli»).</w:t>
      </w:r>
    </w:p>
    <w:p>
      <w:pPr>
        <w:spacing w:after="120" w:line="276"/>
        <w:jc w:val="both"/>
      </w:pPr>
      <w:r>
        <w:rPr>
          <w:rFonts w:ascii="Times New Roman" w:cs="Times New Roman" w:eastAsia="Times New Roman" w:hAnsi="Times New Roman"/>
          <w:b/>
          <w:bCs/>
          <w:sz w:val="24"/>
          <w:szCs w:val="24"/>
        </w:rPr>
        <w:t xml:space="preserve">FH-2 · La triforcazione del 1970 (documentato).</w:t>
      </w:r>
      <w:r>
        <w:rPr>
          <w:rFonts w:ascii="Times New Roman" w:cs="Times New Roman" w:eastAsia="Times New Roman" w:hAnsi="Times New Roman"/>
          <w:sz w:val="24"/>
          <w:szCs w:val="24"/>
        </w:rPr>
        <w:t xml:space="preserve"> Nel giro di pochi mesi, da quel ceppo e dal suo intorno uscirono </w:t>
      </w:r>
      <w:r>
        <w:rPr>
          <w:rFonts w:ascii="Times New Roman" w:cs="Times New Roman" w:eastAsia="Times New Roman" w:hAnsi="Times New Roman"/>
          <w:b/>
          <w:bCs/>
          <w:sz w:val="24"/>
          <w:szCs w:val="24"/>
        </w:rPr>
        <w:t xml:space="preserve">tre progetti clandestini distinti</w:t>
      </w:r>
      <w:r>
        <w:rPr>
          <w:rFonts w:ascii="Times New Roman" w:cs="Times New Roman" w:eastAsia="Times New Roman" w:hAnsi="Times New Roman"/>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Strada</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Progetto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Data</w:t>
            </w:r>
          </w:p>
        </w:tc>
      </w:tr>
      <w:tr>
        <w:tc>
          <w:tcPr>
            <w:tcW w:type="dxa" w:w="3120"/>
          </w:tcPr>
          <w:p>
            <w:pPr>
              <w:spacing w:after="20" w:before="20"/>
              <w:jc w:val="left"/>
            </w:pPr>
            <w:r>
              <w:rPr>
                <w:rFonts w:ascii="Times New Roman" w:cs="Times New Roman" w:eastAsia="Times New Roman" w:hAnsi="Times New Roman"/>
                <w:sz w:val="20"/>
                <w:szCs w:val="20"/>
              </w:rPr>
              <w:t xml:space="preserve">Feltrinelli</w:t>
            </w:r>
          </w:p>
        </w:tc>
        <w:tc>
          <w:tcPr>
            <w:tcW w:type="dxa" w:w="3120"/>
          </w:tcPr>
          <w:p>
            <w:pPr>
              <w:spacing w:after="20" w:before="20"/>
              <w:jc w:val="left"/>
            </w:pPr>
            <w:r>
              <w:rPr>
                <w:rFonts w:ascii="Times New Roman" w:cs="Times New Roman" w:eastAsia="Times New Roman" w:hAnsi="Times New Roman"/>
                <w:b/>
                <w:bCs/>
                <w:sz w:val="20"/>
                <w:szCs w:val="20"/>
              </w:rPr>
              <w:t xml:space="preserve">GAP</w:t>
            </w:r>
            <w:r>
              <w:rPr>
                <w:rFonts w:ascii="Times New Roman" w:cs="Times New Roman" w:eastAsia="Times New Roman" w:hAnsi="Times New Roman"/>
                <w:sz w:val="20"/>
                <w:szCs w:val="20"/>
              </w:rPr>
              <w:t xml:space="preserve"> — il foco insurrezionale sul modello resistenziale</w:t>
            </w:r>
          </w:p>
        </w:tc>
        <w:tc>
          <w:tcPr>
            <w:tcW w:type="dxa" w:w="3120"/>
          </w:tcPr>
          <w:p>
            <w:pPr>
              <w:spacing w:after="20" w:before="20"/>
              <w:jc w:val="left"/>
            </w:pPr>
            <w:r>
              <w:rPr>
                <w:rFonts w:ascii="Times New Roman" w:cs="Times New Roman" w:eastAsia="Times New Roman" w:hAnsi="Times New Roman"/>
                <w:sz w:val="20"/>
                <w:szCs w:val="20"/>
              </w:rPr>
              <w:t xml:space="preserve">aprile-maggio 1970</w:t>
            </w:r>
          </w:p>
        </w:tc>
      </w:tr>
      <w:tr>
        <w:tc>
          <w:tcPr>
            <w:tcW w:type="dxa" w:w="3120"/>
          </w:tcPr>
          <w:p>
            <w:pPr>
              <w:spacing w:after="20" w:before="20"/>
              <w:jc w:val="left"/>
            </w:pPr>
            <w:r>
              <w:rPr>
                <w:rFonts w:ascii="Times New Roman" w:cs="Times New Roman" w:eastAsia="Times New Roman" w:hAnsi="Times New Roman"/>
                <w:sz w:val="20"/>
                <w:szCs w:val="20"/>
              </w:rPr>
              <w:t xml:space="preserve">Curcio, Franceschini e altri</w:t>
            </w:r>
          </w:p>
        </w:tc>
        <w:tc>
          <w:tcPr>
            <w:tcW w:type="dxa" w:w="3120"/>
          </w:tcPr>
          <w:p>
            <w:pPr>
              <w:spacing w:after="20" w:before="20"/>
              <w:jc w:val="left"/>
            </w:pPr>
            <w:r>
              <w:rPr>
                <w:rFonts w:ascii="Times New Roman" w:cs="Times New Roman" w:eastAsia="Times New Roman" w:hAnsi="Times New Roman"/>
                <w:b/>
                <w:bCs/>
                <w:sz w:val="20"/>
                <w:szCs w:val="20"/>
              </w:rPr>
              <w:t xml:space="preserve">Brigate Rosse</w:t>
            </w:r>
            <w:r>
              <w:rPr>
                <w:rFonts w:ascii="Times New Roman" w:cs="Times New Roman" w:eastAsia="Times New Roman" w:hAnsi="Times New Roman"/>
                <w:sz w:val="20"/>
                <w:szCs w:val="20"/>
              </w:rPr>
              <w:t xml:space="preserve"> — nate al convegno di Pecorile</w:t>
            </w:r>
          </w:p>
        </w:tc>
        <w:tc>
          <w:tcPr>
            <w:tcW w:type="dxa" w:w="3120"/>
          </w:tcPr>
          <w:p>
            <w:pPr>
              <w:spacing w:after="20" w:before="20"/>
              <w:jc w:val="left"/>
            </w:pPr>
            <w:r>
              <w:rPr>
                <w:rFonts w:ascii="Times New Roman" w:cs="Times New Roman" w:eastAsia="Times New Roman" w:hAnsi="Times New Roman"/>
                <w:sz w:val="20"/>
                <w:szCs w:val="20"/>
              </w:rPr>
              <w:t xml:space="preserve">agosto 1970</w:t>
            </w:r>
          </w:p>
        </w:tc>
      </w:tr>
      <w:tr>
        <w:tc>
          <w:tcPr>
            <w:tcW w:type="dxa" w:w="3120"/>
          </w:tcPr>
          <w:p>
            <w:pPr>
              <w:spacing w:after="20" w:before="20"/>
              <w:jc w:val="left"/>
            </w:pPr>
            <w:r>
              <w:rPr>
                <w:rFonts w:ascii="Times New Roman" w:cs="Times New Roman" w:eastAsia="Times New Roman" w:hAnsi="Times New Roman"/>
                <w:sz w:val="20"/>
                <w:szCs w:val="20"/>
              </w:rPr>
              <w:t xml:space="preserve">Simioni, Berio, Mulinaris</w:t>
            </w:r>
          </w:p>
        </w:tc>
        <w:tc>
          <w:tcPr>
            <w:tcW w:type="dxa" w:w="3120"/>
          </w:tcPr>
          <w:p>
            <w:pPr>
              <w:spacing w:after="20" w:before="20"/>
              <w:jc w:val="left"/>
            </w:pPr>
            <w:r>
              <w:rPr>
                <w:rFonts w:ascii="Times New Roman" w:cs="Times New Roman" w:eastAsia="Times New Roman" w:hAnsi="Times New Roman"/>
                <w:b/>
                <w:bCs/>
                <w:sz w:val="20"/>
                <w:szCs w:val="20"/>
              </w:rPr>
              <w:t xml:space="preserve">«Superclan»</w:t>
            </w:r>
            <w:r>
              <w:rPr>
                <w:rFonts w:ascii="Times New Roman" w:cs="Times New Roman" w:eastAsia="Times New Roman" w:hAnsi="Times New Roman"/>
                <w:sz w:val="20"/>
                <w:szCs w:val="20"/>
              </w:rPr>
              <w:t xml:space="preserve"> — la struttura riservata, poi la strada di Parigi fino a Hyperion (1976)</w:t>
            </w:r>
          </w:p>
        </w:tc>
        <w:tc>
          <w:tcPr>
            <w:tcW w:type="dxa" w:w="3120"/>
          </w:tcPr>
          <w:p>
            <w:pPr>
              <w:spacing w:after="20" w:before="20"/>
              <w:jc w:val="left"/>
            </w:pPr>
            <w:r>
              <w:rPr>
                <w:rFonts w:ascii="Times New Roman" w:cs="Times New Roman" w:eastAsia="Times New Roman" w:hAnsi="Times New Roman"/>
                <w:sz w:val="20"/>
                <w:szCs w:val="20"/>
              </w:rPr>
              <w:t xml:space="preserve">1970 → 1976</w:t>
            </w:r>
          </w:p>
        </w:tc>
      </w:tr>
    </w:tbl>
    <w:p>
      <w:pPr>
        <w:spacing w:after="80"/>
      </w:pPr>
    </w:p>
    <w:p>
      <w:pPr>
        <w:spacing w:after="120" w:line="276"/>
        <w:jc w:val="both"/>
      </w:pPr>
      <w:r>
        <w:rPr>
          <w:rFonts w:ascii="Times New Roman" w:cs="Times New Roman" w:eastAsia="Times New Roman" w:hAnsi="Times New Roman"/>
          <w:sz w:val="24"/>
          <w:szCs w:val="24"/>
        </w:rPr>
        <w:t xml:space="preserve">La triforcazione è il dato strutturale dell'incrocio: </w:t>
      </w:r>
      <w:r>
        <w:rPr>
          <w:rFonts w:ascii="Times New Roman" w:cs="Times New Roman" w:eastAsia="Times New Roman" w:hAnsi="Times New Roman"/>
          <w:b/>
          <w:bCs/>
          <w:sz w:val="24"/>
          <w:szCs w:val="24"/>
        </w:rPr>
        <w:t xml:space="preserve">non una piramide con un vertice, ma un cespo con tre rami</w:t>
      </w:r>
      <w:r>
        <w:rPr>
          <w:rFonts w:ascii="Times New Roman" w:cs="Times New Roman" w:eastAsia="Times New Roman" w:hAnsi="Times New Roman"/>
          <w:sz w:val="24"/>
          <w:szCs w:val="24"/>
        </w:rPr>
        <w:t xml:space="preserve"> — che la pubblicistica ha ripetutamente provato a ricomporre in un'unica regia, senza che alcun accertamento l'abbia mai consentito.</w:t>
      </w:r>
    </w:p>
    <w:p>
      <w:pPr>
        <w:pStyle w:val="Heading2"/>
        <w:spacing w:after="100" w:before="200"/>
      </w:pPr>
      <w:r>
        <w:rPr>
          <w:rFonts w:ascii="Times New Roman" w:cs="Times New Roman" w:eastAsia="Times New Roman" w:hAnsi="Times New Roman"/>
          <w:sz w:val="24"/>
          <w:szCs w:val="24"/>
        </w:rPr>
        <w:t xml:space="preserve">2. I ponti documentati (FH-3…FH-7)</w:t>
      </w:r>
    </w:p>
    <w:p>
      <w:pPr>
        <w:spacing w:after="120" w:line="276"/>
        <w:jc w:val="both"/>
      </w:pPr>
      <w:r>
        <w:rPr>
          <w:rFonts w:ascii="Times New Roman" w:cs="Times New Roman" w:eastAsia="Times New Roman" w:hAnsi="Times New Roman"/>
          <w:b/>
          <w:bCs/>
          <w:sz w:val="24"/>
          <w:szCs w:val="24"/>
        </w:rPr>
        <w:t xml:space="preserve">FH-3 · Feltrinelli e le BR: rapporti reali, comando unificato mai ottenuto.</w:t>
      </w:r>
      <w:r>
        <w:rPr>
          <w:rFonts w:ascii="Times New Roman" w:cs="Times New Roman" w:eastAsia="Times New Roman" w:hAnsi="Times New Roman"/>
          <w:sz w:val="24"/>
          <w:szCs w:val="24"/>
        </w:rPr>
        <w:t xml:space="preserve"> Dopo le prime azioni brigatiste (l'incendio alla Pirelli di Lainate, 25 gennaio 1971), Feltrinelli </w:t>
      </w:r>
      <w:r>
        <w:rPr>
          <w:rFonts w:ascii="Times New Roman" w:cs="Times New Roman" w:eastAsia="Times New Roman" w:hAnsi="Times New Roman"/>
          <w:b/>
          <w:bCs/>
          <w:sz w:val="24"/>
          <w:szCs w:val="24"/>
        </w:rPr>
        <w:t xml:space="preserve">stabilì rapporti con Curcio e Franceschini</w:t>
      </w:r>
      <w:r>
        <w:rPr>
          <w:rFonts w:ascii="Times New Roman" w:cs="Times New Roman" w:eastAsia="Times New Roman" w:hAnsi="Times New Roman"/>
          <w:sz w:val="24"/>
          <w:szCs w:val="24"/>
        </w:rPr>
        <w:t xml:space="preserve">: incontri sempre più frequenti dalla fine del 1970, fissati ai giardini di </w:t>
      </w:r>
      <w:r>
        <w:rPr>
          <w:rFonts w:ascii="Times New Roman" w:cs="Times New Roman" w:eastAsia="Times New Roman" w:hAnsi="Times New Roman"/>
          <w:b/>
          <w:bCs/>
          <w:sz w:val="24"/>
          <w:szCs w:val="24"/>
        </w:rPr>
        <w:t xml:space="preserve">piazza Castello</w:t>
      </w:r>
      <w:r>
        <w:rPr>
          <w:rFonts w:ascii="Times New Roman" w:cs="Times New Roman" w:eastAsia="Times New Roman" w:hAnsi="Times New Roman"/>
          <w:sz w:val="24"/>
          <w:szCs w:val="24"/>
        </w:rPr>
        <w:t xml:space="preserve"> e proseguiti negli appartamenti coperti dell'editore. Feltrinelli puntava al </w:t>
      </w:r>
      <w:r>
        <w:rPr>
          <w:rFonts w:ascii="Times New Roman" w:cs="Times New Roman" w:eastAsia="Times New Roman" w:hAnsi="Times New Roman"/>
          <w:b/>
          <w:bCs/>
          <w:sz w:val="24"/>
          <w:szCs w:val="24"/>
        </w:rPr>
        <w:t xml:space="preserve">comando unificato</w:t>
      </w:r>
      <w:r>
        <w:rPr>
          <w:rFonts w:ascii="Times New Roman" w:cs="Times New Roman" w:eastAsia="Times New Roman" w:hAnsi="Times New Roman"/>
          <w:sz w:val="24"/>
          <w:szCs w:val="24"/>
        </w:rPr>
        <w:t xml:space="preserve"> della lotta armata e </w:t>
      </w:r>
      <w:r>
        <w:rPr>
          <w:rFonts w:ascii="Times New Roman" w:cs="Times New Roman" w:eastAsia="Times New Roman" w:hAnsi="Times New Roman"/>
          <w:b/>
          <w:bCs/>
          <w:sz w:val="24"/>
          <w:szCs w:val="24"/>
        </w:rPr>
        <w:t xml:space="preserve">non lo ottenne</w:t>
      </w:r>
      <w:r>
        <w:rPr>
          <w:rFonts w:ascii="Times New Roman" w:cs="Times New Roman" w:eastAsia="Times New Roman" w:hAnsi="Times New Roman"/>
          <w:sz w:val="24"/>
          <w:szCs w:val="24"/>
        </w:rPr>
        <w:t xml:space="preserve">; della collaborazione resta traccia documentale nel foglio </w:t>
      </w:r>
      <w:r>
        <w:rPr>
          <w:rFonts w:ascii="Times New Roman" w:cs="Times New Roman" w:eastAsia="Times New Roman" w:hAnsi="Times New Roman"/>
          <w:b/>
          <w:bCs/>
          <w:sz w:val="24"/>
          <w:szCs w:val="24"/>
        </w:rPr>
        <w:t xml:space="preserve">«Nuova Resistenza»</w:t>
      </w:r>
      <w:r>
        <w:rPr>
          <w:rFonts w:ascii="Times New Roman" w:cs="Times New Roman" w:eastAsia="Times New Roman" w:hAnsi="Times New Roman"/>
          <w:sz w:val="24"/>
          <w:szCs w:val="24"/>
        </w:rPr>
        <w:t xml:space="preserve"> (aprile 1971, due numeri), continuazione ideale di «Voce Comunista» (Treccani, Dizionario Biografico (https://www.treccani.it/enciclopedia/giangiacomo-feltrinelli_(Dizionario-Biografico)/); Tassinari (https://www.ugomariatassinari.it/feltrinelli-curcio/)). Il ponte GAP-BR fu dunque </w:t>
      </w:r>
      <w:r>
        <w:rPr>
          <w:rFonts w:ascii="Times New Roman" w:cs="Times New Roman" w:eastAsia="Times New Roman" w:hAnsi="Times New Roman"/>
          <w:b/>
          <w:bCs/>
          <w:sz w:val="24"/>
          <w:szCs w:val="24"/>
        </w:rPr>
        <w:t xml:space="preserve">reale, personale e fallito nel suo obiettivo massimo</w:t>
      </w:r>
      <w:r>
        <w:rPr>
          <w:rFonts w:ascii="Times New Roman" w:cs="Times New Roman" w:eastAsia="Times New Roman" w:hAnsi="Times New Roman"/>
          <w:sz w:val="24"/>
          <w:szCs w:val="24"/>
        </w:rPr>
        <w:t xml:space="preserve"> — un negoziato fra sovrani, non una catena di comando.</w:t>
      </w:r>
    </w:p>
    <w:p>
      <w:pPr>
        <w:spacing w:after="120" w:line="276"/>
        <w:jc w:val="both"/>
      </w:pPr>
      <w:r>
        <w:rPr>
          <w:rFonts w:ascii="Times New Roman" w:cs="Times New Roman" w:eastAsia="Times New Roman" w:hAnsi="Times New Roman"/>
          <w:b/>
          <w:bCs/>
          <w:sz w:val="24"/>
          <w:szCs w:val="24"/>
        </w:rPr>
        <w:t xml:space="preserve">FH-4 · Franceschini dentro la struttura di Simioni (memorialistica incrociata).</w:t>
      </w:r>
      <w:r>
        <w:rPr>
          <w:rFonts w:ascii="Times New Roman" w:cs="Times New Roman" w:eastAsia="Times New Roman" w:hAnsi="Times New Roman"/>
          <w:sz w:val="24"/>
          <w:szCs w:val="24"/>
        </w:rPr>
        <w:t xml:space="preserve"> La pubblicistica critica sull'area ricostruisce che </w:t>
      </w:r>
      <w:r>
        <w:rPr>
          <w:rFonts w:ascii="Times New Roman" w:cs="Times New Roman" w:eastAsia="Times New Roman" w:hAnsi="Times New Roman"/>
          <w:b/>
          <w:bCs/>
          <w:sz w:val="24"/>
          <w:szCs w:val="24"/>
        </w:rPr>
        <w:t xml:space="preserve">Franceschini visse nella «Comune» di Simioni e fece parte della sua struttura riservata</w:t>
      </w:r>
      <w:r>
        <w:rPr>
          <w:rFonts w:ascii="Times New Roman" w:cs="Times New Roman" w:eastAsia="Times New Roman" w:hAnsi="Times New Roman"/>
          <w:sz w:val="24"/>
          <w:szCs w:val="24"/>
        </w:rPr>
        <w:t xml:space="preserve"> (dette «le zie rosse») prima della stagione BR (Insorgenze/Contropiano (https://insorgenze.net/2026/05/05/dalla-dottrina-mitterrand-alla-perfida-albione-le-mirabili-acrobazie-complottiste-del-giullare-fasanella/)). È il ponte biografico più stretto fra il nucleo fondativo delle BR e i futuri fondatori di Hyperion — e va pesato per quello che è: ricostruzione memorialistica di parte, usata nelle polemiche fra ex militanti in entrambe le direzioni, qui registrata con la sua fonte e senza promozione.</w:t>
      </w:r>
    </w:p>
    <w:p>
      <w:pPr>
        <w:spacing w:after="120" w:line="276"/>
        <w:jc w:val="both"/>
      </w:pPr>
      <w:r>
        <w:rPr>
          <w:rFonts w:ascii="Times New Roman" w:cs="Times New Roman" w:eastAsia="Times New Roman" w:hAnsi="Times New Roman"/>
          <w:b/>
          <w:bCs/>
          <w:sz w:val="24"/>
          <w:szCs w:val="24"/>
        </w:rPr>
        <w:t xml:space="preserve">FH-5 · Il filo Moretti (documentato, già vagliato).</w:t>
      </w:r>
      <w:r>
        <w:rPr>
          <w:rFonts w:ascii="Times New Roman" w:cs="Times New Roman" w:eastAsia="Times New Roman" w:hAnsi="Times New Roman"/>
          <w:sz w:val="24"/>
          <w:szCs w:val="24"/>
        </w:rPr>
        <w:t xml:space="preserve"> Mario Moretti transitò per il Superclan (nodo HY-2) e approdò alle BR fino alla direzione del sequestro Moro. È il secondo ponte biografico fra i due mondi; l'anti-triangolazione ATH-3 resta integra: </w:t>
      </w:r>
      <w:r>
        <w:rPr>
          <w:rFonts w:ascii="Times New Roman" w:cs="Times New Roman" w:eastAsia="Times New Roman" w:hAnsi="Times New Roman"/>
          <w:b/>
          <w:bCs/>
          <w:sz w:val="24"/>
          <w:szCs w:val="24"/>
        </w:rPr>
        <w:t xml:space="preserve">un filo biografico non è una catena di comando</w:t>
      </w:r>
      <w:r>
        <w:rPr>
          <w:rFonts w:ascii="Times New Roman" w:cs="Times New Roman" w:eastAsia="Times New Roman" w:hAnsi="Times New Roman"/>
          <w:sz w:val="24"/>
          <w:szCs w:val="24"/>
        </w:rPr>
        <w:t xml:space="preserve">, e i processi non hanno accertato alcuna eterodirezione.</w:t>
      </w:r>
    </w:p>
    <w:p>
      <w:pPr>
        <w:spacing w:after="120" w:line="276"/>
        <w:jc w:val="both"/>
      </w:pPr>
      <w:r>
        <w:rPr>
          <w:rFonts w:ascii="Times New Roman" w:cs="Times New Roman" w:eastAsia="Times New Roman" w:hAnsi="Times New Roman"/>
          <w:b/>
          <w:bCs/>
          <w:sz w:val="24"/>
          <w:szCs w:val="24"/>
        </w:rPr>
        <w:t xml:space="preserve">FH-6 · La giustizia trattò i due rami insieme (documentato).</w:t>
      </w:r>
      <w:r>
        <w:rPr>
          <w:rFonts w:ascii="Times New Roman" w:cs="Times New Roman" w:eastAsia="Times New Roman" w:hAnsi="Times New Roman"/>
          <w:sz w:val="24"/>
          <w:szCs w:val="24"/>
        </w:rPr>
        <w:t xml:space="preserve"> La magistratura celebrò un </w:t>
      </w:r>
      <w:r>
        <w:rPr>
          <w:rFonts w:ascii="Times New Roman" w:cs="Times New Roman" w:eastAsia="Times New Roman" w:hAnsi="Times New Roman"/>
          <w:b/>
          <w:bCs/>
          <w:sz w:val="24"/>
          <w:szCs w:val="24"/>
        </w:rPr>
        <w:t xml:space="preserve">processo congiunto «alle Brigate Rosse e ai GAP di Feltrinelli»</w:t>
      </w:r>
      <w:r>
        <w:rPr>
          <w:rFonts w:ascii="Times New Roman" w:cs="Times New Roman" w:eastAsia="Times New Roman" w:hAnsi="Times New Roman"/>
          <w:sz w:val="24"/>
          <w:szCs w:val="24"/>
        </w:rPr>
        <w:t xml:space="preserve"> (Torino, metà anni Settanta; il fascicolo è oggi valorizzato dal portale della memoria del Ministero della Cultura: memoria.cultura.gov.it (https://memoria.cultura.gov.it/w/processo-alle-brigate-rosse-e-ai-gap-di-feltrinelli)). Il dato è prezioso per l'incrocio: </w:t>
      </w:r>
      <w:r>
        <w:rPr>
          <w:rFonts w:ascii="Times New Roman" w:cs="Times New Roman" w:eastAsia="Times New Roman" w:hAnsi="Times New Roman"/>
          <w:b/>
          <w:bCs/>
          <w:sz w:val="24"/>
          <w:szCs w:val="24"/>
        </w:rPr>
        <w:t xml:space="preserve">l'unico luogo in cui GAP e BR furono davvero «unificati» fu l'aula giudiziaria</w:t>
      </w:r>
      <w:r>
        <w:rPr>
          <w:rFonts w:ascii="Times New Roman" w:cs="Times New Roman" w:eastAsia="Times New Roman" w:hAnsi="Times New Roman"/>
          <w:sz w:val="24"/>
          <w:szCs w:val="24"/>
        </w:rPr>
        <w:t xml:space="preserve"> — a conferma che i rapporti c'erano stati, e che di rapporti (non di fusione) si trattò.</w:t>
      </w:r>
    </w:p>
    <w:p>
      <w:pPr>
        <w:spacing w:after="120" w:line="276"/>
        <w:jc w:val="both"/>
      </w:pPr>
      <w:r>
        <w:rPr>
          <w:rFonts w:ascii="Times New Roman" w:cs="Times New Roman" w:eastAsia="Times New Roman" w:hAnsi="Times New Roman"/>
          <w:b/>
          <w:bCs/>
          <w:sz w:val="24"/>
          <w:szCs w:val="24"/>
        </w:rPr>
        <w:t xml:space="preserve">FH-7 · Il dopo-Segrate (documentato nella cornice, storiografico nel dettaglio).</w:t>
      </w:r>
      <w:r>
        <w:rPr>
          <w:rFonts w:ascii="Times New Roman" w:cs="Times New Roman" w:eastAsia="Times New Roman" w:hAnsi="Times New Roman"/>
          <w:sz w:val="24"/>
          <w:szCs w:val="24"/>
        </w:rPr>
        <w:t xml:space="preserve"> Con la morte di Feltrinelli i </w:t>
      </w:r>
      <w:r>
        <w:rPr>
          <w:rFonts w:ascii="Times New Roman" w:cs="Times New Roman" w:eastAsia="Times New Roman" w:hAnsi="Times New Roman"/>
          <w:b/>
          <w:bCs/>
          <w:sz w:val="24"/>
          <w:szCs w:val="24"/>
        </w:rPr>
        <w:t xml:space="preserve">GAP si dissolsero</w:t>
      </w:r>
      <w:r>
        <w:rPr>
          <w:rFonts w:ascii="Times New Roman" w:cs="Times New Roman" w:eastAsia="Times New Roman" w:hAnsi="Times New Roman"/>
          <w:sz w:val="24"/>
          <w:szCs w:val="24"/>
        </w:rPr>
        <w:t xml:space="preserve">; la sorte della rete — in parte dispersa, in parte riassorbita da altre formazioni — è oggetto della storiografia recente (D. Serafino, </w:t>
      </w:r>
      <w:r>
        <w:rPr>
          <w:rFonts w:ascii="Times New Roman" w:cs="Times New Roman" w:eastAsia="Times New Roman" w:hAnsi="Times New Roman"/>
          <w:i/>
          <w:iCs/>
          <w:sz w:val="24"/>
          <w:szCs w:val="24"/>
        </w:rPr>
        <w:t xml:space="preserve">Gappisti. La rete clandestina di Giangiacomo Feltrinelli</w:t>
      </w:r>
      <w:r>
        <w:rPr>
          <w:rFonts w:ascii="Times New Roman" w:cs="Times New Roman" w:eastAsia="Times New Roman" w:hAnsi="Times New Roman"/>
          <w:sz w:val="24"/>
          <w:szCs w:val="24"/>
        </w:rPr>
        <w:t xml:space="preserve">, DeriveApprodi: scheda (https://deriveapprodi.com/libro/gappisti/)). Le BR sopravvissero al 1972 e rimasero, delle tre strade del nodo FH-2, l'unica ancora percorsa: il campo clandestino si semplificò per sottrazione, non per successione ordinata.</w:t>
      </w:r>
    </w:p>
    <w:p>
      <w:pPr>
        <w:pStyle w:val="Heading2"/>
        <w:spacing w:after="100" w:before="200"/>
      </w:pPr>
      <w:r>
        <w:rPr>
          <w:rFonts w:ascii="Times New Roman" w:cs="Times New Roman" w:eastAsia="Times New Roman" w:hAnsi="Times New Roman"/>
          <w:sz w:val="24"/>
          <w:szCs w:val="24"/>
        </w:rPr>
        <w:t xml:space="preserve">3. La congettura smentita: Segrate e il Superclan (FH-8)</w:t>
      </w:r>
    </w:p>
    <w:p>
      <w:pPr>
        <w:spacing w:after="120" w:line="276"/>
        <w:jc w:val="both"/>
      </w:pPr>
      <w:r>
        <w:rPr>
          <w:rFonts w:ascii="Times New Roman" w:cs="Times New Roman" w:eastAsia="Times New Roman" w:hAnsi="Times New Roman"/>
          <w:sz w:val="24"/>
          <w:szCs w:val="24"/>
        </w:rPr>
        <w:t xml:space="preserve">Resta il punto dove i due fronti si toccano nella pubblicistica più che nelle fonti: </w:t>
      </w:r>
      <w:r>
        <w:rPr>
          <w:rFonts w:ascii="Times New Roman" w:cs="Times New Roman" w:eastAsia="Times New Roman" w:hAnsi="Times New Roman"/>
          <w:b/>
          <w:bCs/>
          <w:sz w:val="24"/>
          <w:szCs w:val="24"/>
        </w:rPr>
        <w:t xml:space="preserve">i sospetti sulla morte di Feltrinelli</w:t>
      </w:r>
      <w:r>
        <w:rPr>
          <w:rFonts w:ascii="Times New Roman" w:cs="Times New Roman" w:eastAsia="Times New Roman" w:hAnsi="Times New Roman"/>
          <w:sz w:val="24"/>
          <w:szCs w:val="24"/>
        </w:rPr>
        <w:t xml:space="preserve">. La memorialistica di Franceschini ha alimentato per decenni la tesi di una mano esterna a Segrate — i dubbi sul ruolo del militante detto «Gunter», e soprattutto l'affermazione che i </w:t>
      </w:r>
      <w:r>
        <w:rPr>
          <w:rFonts w:ascii="Times New Roman" w:cs="Times New Roman" w:eastAsia="Times New Roman" w:hAnsi="Times New Roman"/>
          <w:b/>
          <w:bCs/>
          <w:sz w:val="24"/>
          <w:szCs w:val="24"/>
        </w:rPr>
        <w:t xml:space="preserve">timer</w:t>
      </w:r>
      <w:r>
        <w:rPr>
          <w:rFonts w:ascii="Times New Roman" w:cs="Times New Roman" w:eastAsia="Times New Roman" w:hAnsi="Times New Roman"/>
          <w:sz w:val="24"/>
          <w:szCs w:val="24"/>
        </w:rPr>
        <w:t xml:space="preserve"> dell'ordigno fossero stati «manipolati». La verifica d'incrocio registra due fatti:</w:t>
      </w:r>
    </w:p>
    <w:p>
      <w:pPr>
        <w:spacing w:after="40"/>
        <w:ind w:left="360"/>
        <w:jc w:val="both"/>
      </w:pPr>
      <w:r>
        <w:rPr>
          <w:rFonts w:ascii="Times New Roman" w:cs="Times New Roman" w:eastAsia="Times New Roman" w:hAnsi="Times New Roman"/>
          <w:sz w:val="24"/>
          <w:szCs w:val="24"/>
        </w:rPr>
        <w:t xml:space="preserve">1. la ricostruzione giudiziaria (processo del 1979, riscontrata sui nastri di Robbiano di Mediglia — nodi F-16/F-17 della triangolazione Feltrinelli) resta quella dell'</w:t>
      </w:r>
      <w:r>
        <w:rPr>
          <w:rFonts w:ascii="Times New Roman" w:cs="Times New Roman" w:eastAsia="Times New Roman" w:hAnsi="Times New Roman"/>
          <w:b/>
          <w:bCs/>
          <w:sz w:val="24"/>
          <w:szCs w:val="24"/>
        </w:rPr>
        <w:t xml:space="preserve">incidente durante il sabotaggio</w:t>
      </w:r>
      <w:r>
        <w:rPr>
          <w:rFonts w:ascii="Times New Roman" w:cs="Times New Roman" w:eastAsia="Times New Roman" w:hAnsi="Times New Roman"/>
          <w:sz w:val="24"/>
          <w:szCs w:val="24"/>
        </w:rPr>
        <w:t xml:space="preserve">;</w:t>
      </w:r>
    </w:p>
    <w:p>
      <w:pPr>
        <w:spacing w:after="40"/>
        <w:ind w:left="360"/>
        <w:jc w:val="both"/>
      </w:pPr>
      <w:r>
        <w:rPr>
          <w:rFonts w:ascii="Times New Roman" w:cs="Times New Roman" w:eastAsia="Times New Roman" w:hAnsi="Times New Roman"/>
          <w:sz w:val="24"/>
          <w:szCs w:val="24"/>
        </w:rPr>
        <w:t xml:space="preserve">2. la specifica affermazione sui timer manipolati risulta </w:t>
      </w:r>
      <w:r>
        <w:rPr>
          <w:rFonts w:ascii="Times New Roman" w:cs="Times New Roman" w:eastAsia="Times New Roman" w:hAnsi="Times New Roman"/>
          <w:b/>
          <w:bCs/>
          <w:sz w:val="24"/>
          <w:szCs w:val="24"/>
        </w:rPr>
        <w:t xml:space="preserve">smentita da Vittorio Battistoni, il tecnico dei GAP che fornì l'esplosivo all'editore</w:t>
      </w:r>
      <w:r>
        <w:rPr>
          <w:rFonts w:ascii="Times New Roman" w:cs="Times New Roman" w:eastAsia="Times New Roman" w:hAnsi="Times New Roman"/>
          <w:sz w:val="24"/>
          <w:szCs w:val="24"/>
        </w:rPr>
        <w:t xml:space="preserve"> (Insorgenze/Contropiano (https://contropiano.org/news/cultura-news/2026/05/09/dalla-dottrina-mitterrand-alla-perfida-albione-le-acrobazie-complottiste-di-fasanella-0194867)).</w:t>
      </w:r>
    </w:p>
    <w:p>
      <w:pPr>
        <w:spacing w:after="120" w:line="276"/>
        <w:jc w:val="both"/>
      </w:pPr>
      <w:r>
        <w:rPr>
          <w:rFonts w:ascii="Times New Roman" w:cs="Times New Roman" w:eastAsia="Times New Roman" w:hAnsi="Times New Roman"/>
          <w:sz w:val="24"/>
          <w:szCs w:val="24"/>
        </w:rPr>
        <w:t xml:space="preserve">La versione che collega — per allusione — l'ambiente del Superclan alla morte di Segrate appartiene dunque alla categoria più bassa del corpus: </w:t>
      </w:r>
      <w:r>
        <w:rPr>
          <w:rFonts w:ascii="Times New Roman" w:cs="Times New Roman" w:eastAsia="Times New Roman" w:hAnsi="Times New Roman"/>
          <w:b/>
          <w:bCs/>
          <w:sz w:val="24"/>
          <w:szCs w:val="24"/>
        </w:rPr>
        <w:t xml:space="preserve">congettura memorialistica, priva di riscontro e contraddetta su un punto qualificante da testimonianza diretta</w:t>
      </w:r>
      <w:r>
        <w:rPr>
          <w:rFonts w:ascii="Times New Roman" w:cs="Times New Roman" w:eastAsia="Times New Roman" w:hAnsi="Times New Roman"/>
          <w:sz w:val="24"/>
          <w:szCs w:val="24"/>
        </w:rPr>
        <w:t xml:space="preserve">. La si registra per completezza e la si lascia lì. Nessun nome; e per i fondatori di Hyperion vale, anche qui, la presunzione d'innocenza piena.</w:t>
      </w:r>
    </w:p>
    <w:p>
      <w:pPr>
        <w:pStyle w:val="Heading2"/>
        <w:spacing w:after="100" w:before="200"/>
      </w:pPr>
      <w:r>
        <w:rPr>
          <w:rFonts w:ascii="Times New Roman" w:cs="Times New Roman" w:eastAsia="Times New Roman" w:hAnsi="Times New Roman"/>
          <w:sz w:val="24"/>
          <w:szCs w:val="24"/>
        </w:rPr>
        <w:t xml:space="preserve">4. Anti-triangolazioni d'incrocio (ATI-1…ATI-3)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Anti-triangolazione</w:t>
            </w:r>
          </w:p>
        </w:tc>
      </w:tr>
      <w:tr>
        <w:tc>
          <w:tcPr>
            <w:tcW w:type="dxa" w:w="4680"/>
          </w:tcPr>
          <w:p>
            <w:pPr>
              <w:spacing w:after="20" w:before="20"/>
              <w:jc w:val="left"/>
            </w:pPr>
            <w:r>
              <w:rPr>
                <w:rFonts w:ascii="Times New Roman" w:cs="Times New Roman" w:eastAsia="Times New Roman" w:hAnsi="Times New Roman"/>
                <w:sz w:val="20"/>
                <w:szCs w:val="20"/>
              </w:rPr>
              <w:t xml:space="preserve">ATI-1</w:t>
            </w:r>
          </w:p>
        </w:tc>
        <w:tc>
          <w:tcPr>
            <w:tcW w:type="dxa" w:w="4680"/>
          </w:tcPr>
          <w:p>
            <w:pPr>
              <w:spacing w:after="20" w:before="20"/>
              <w:jc w:val="left"/>
            </w:pPr>
            <w:r>
              <w:rPr>
                <w:rFonts w:ascii="Times New Roman" w:cs="Times New Roman" w:eastAsia="Times New Roman" w:hAnsi="Times New Roman"/>
                <w:b/>
                <w:bCs/>
                <w:sz w:val="20"/>
                <w:szCs w:val="20"/>
              </w:rPr>
              <w:t xml:space="preserve">Feltrinelli e Hyperion non si incontrarono mai.</w:t>
            </w:r>
            <w:r>
              <w:rPr>
                <w:rFonts w:ascii="Times New Roman" w:cs="Times New Roman" w:eastAsia="Times New Roman" w:hAnsi="Times New Roman"/>
                <w:sz w:val="20"/>
                <w:szCs w:val="20"/>
              </w:rPr>
              <w:t xml:space="preserve"> La scuola nacque nel 1976; Feltrinelli morì nel 1972. Ogni schema che li metta nello stesso organigramma proietta all'indietro un'entità che non esisteva. L'incrocio è di </w:t>
            </w:r>
            <w:r>
              <w:rPr>
                <w:rFonts w:ascii="Times New Roman" w:cs="Times New Roman" w:eastAsia="Times New Roman" w:hAnsi="Times New Roman"/>
                <w:b/>
                <w:bCs/>
                <w:sz w:val="20"/>
                <w:szCs w:val="20"/>
              </w:rPr>
              <w:t xml:space="preserve">matrice e di uomini</w:t>
            </w:r>
            <w:r>
              <w:rPr>
                <w:rFonts w:ascii="Times New Roman" w:cs="Times New Roman" w:eastAsia="Times New Roman" w:hAnsi="Times New Roman"/>
                <w:sz w:val="20"/>
                <w:szCs w:val="20"/>
              </w:rPr>
              <w:t xml:space="preserve">, mai di organizzazioni</w:t>
            </w:r>
          </w:p>
        </w:tc>
      </w:tr>
      <w:tr>
        <w:tc>
          <w:tcPr>
            <w:tcW w:type="dxa" w:w="4680"/>
          </w:tcPr>
          <w:p>
            <w:pPr>
              <w:spacing w:after="20" w:before="20"/>
              <w:jc w:val="left"/>
            </w:pPr>
            <w:r>
              <w:rPr>
                <w:rFonts w:ascii="Times New Roman" w:cs="Times New Roman" w:eastAsia="Times New Roman" w:hAnsi="Times New Roman"/>
                <w:sz w:val="20"/>
                <w:szCs w:val="20"/>
              </w:rPr>
              <w:t xml:space="preserve">ATI-2</w:t>
            </w:r>
          </w:p>
        </w:tc>
        <w:tc>
          <w:tcPr>
            <w:tcW w:type="dxa" w:w="4680"/>
          </w:tcPr>
          <w:p>
            <w:pPr>
              <w:spacing w:after="20" w:before="20"/>
              <w:jc w:val="left"/>
            </w:pPr>
            <w:r>
              <w:rPr>
                <w:rFonts w:ascii="Times New Roman" w:cs="Times New Roman" w:eastAsia="Times New Roman" w:hAnsi="Times New Roman"/>
                <w:b/>
                <w:bCs/>
                <w:sz w:val="20"/>
                <w:szCs w:val="20"/>
              </w:rPr>
              <w:t xml:space="preserve">La triforcazione non ha un vertice.</w:t>
            </w:r>
            <w:r>
              <w:rPr>
                <w:rFonts w:ascii="Times New Roman" w:cs="Times New Roman" w:eastAsia="Times New Roman" w:hAnsi="Times New Roman"/>
                <w:sz w:val="20"/>
                <w:szCs w:val="20"/>
              </w:rPr>
              <w:t xml:space="preserve"> Tre progetti dal medesimo ceppo non fanno una regia unica: il comando unificato fu cercato (da Feltrinelli, FH-3) e </w:t>
            </w:r>
            <w:r>
              <w:rPr>
                <w:rFonts w:ascii="Times New Roman" w:cs="Times New Roman" w:eastAsia="Times New Roman" w:hAnsi="Times New Roman"/>
                <w:b/>
                <w:bCs/>
                <w:sz w:val="20"/>
                <w:szCs w:val="20"/>
              </w:rPr>
              <w:t xml:space="preserve">non ottenuto</w:t>
            </w:r>
            <w:r>
              <w:rPr>
                <w:rFonts w:ascii="Times New Roman" w:cs="Times New Roman" w:eastAsia="Times New Roman" w:hAnsi="Times New Roman"/>
                <w:sz w:val="20"/>
                <w:szCs w:val="20"/>
              </w:rPr>
              <w:t xml:space="preserve"> — il fallimento di quell'unificazione è documentato quanto i rapporti stessi</w:t>
            </w:r>
          </w:p>
        </w:tc>
      </w:tr>
      <w:tr>
        <w:tc>
          <w:tcPr>
            <w:tcW w:type="dxa" w:w="4680"/>
          </w:tcPr>
          <w:p>
            <w:pPr>
              <w:spacing w:after="20" w:before="20"/>
              <w:jc w:val="left"/>
            </w:pPr>
            <w:r>
              <w:rPr>
                <w:rFonts w:ascii="Times New Roman" w:cs="Times New Roman" w:eastAsia="Times New Roman" w:hAnsi="Times New Roman"/>
                <w:sz w:val="20"/>
                <w:szCs w:val="20"/>
              </w:rPr>
              <w:t xml:space="preserve">ATI-3</w:t>
            </w:r>
          </w:p>
        </w:tc>
        <w:tc>
          <w:tcPr>
            <w:tcW w:type="dxa" w:w="4680"/>
          </w:tcPr>
          <w:p>
            <w:pPr>
              <w:spacing w:after="20" w:before="20"/>
              <w:jc w:val="left"/>
            </w:pPr>
            <w:r>
              <w:rPr>
                <w:rFonts w:ascii="Times New Roman" w:cs="Times New Roman" w:eastAsia="Times New Roman" w:hAnsi="Times New Roman"/>
                <w:b/>
                <w:bCs/>
                <w:sz w:val="20"/>
                <w:szCs w:val="20"/>
              </w:rPr>
              <w:t xml:space="preserve">La memorialistica di parte non è fonte di accusa.</w:t>
            </w:r>
            <w:r>
              <w:rPr>
                <w:rFonts w:ascii="Times New Roman" w:cs="Times New Roman" w:eastAsia="Times New Roman" w:hAnsi="Times New Roman"/>
                <w:sz w:val="20"/>
                <w:szCs w:val="20"/>
              </w:rPr>
              <w:t xml:space="preserve"> Le ricostruzioni di Franceschini (su Simioni, su Moretti, su Segrate) e le repliche degli avversari appartengono a una guerra della memoria fra ex militanti: si citano con attribuzione, si pesano, non si promuovono. Dove sono state verificate, ne è uscita una smentita (FH-8)</w:t>
            </w:r>
          </w:p>
        </w:tc>
      </w:tr>
    </w:tbl>
    <w:p>
      <w:pPr>
        <w:spacing w:after="80"/>
      </w:pPr>
    </w:p>
    <w:p>
      <w:pPr>
        <w:pStyle w:val="Heading2"/>
        <w:spacing w:after="100" w:before="200"/>
      </w:pPr>
      <w:r>
        <w:rPr>
          <w:rFonts w:ascii="Times New Roman" w:cs="Times New Roman" w:eastAsia="Times New Roman" w:hAnsi="Times New Roman"/>
          <w:sz w:val="24"/>
          <w:szCs w:val="24"/>
        </w:rPr>
        <w:t xml:space="preserve">5. Registro di esecuzione</w:t>
      </w:r>
    </w:p>
    <w:p>
      <w:pPr>
        <w:pStyle w:val="ListParagraph"/>
        <w:numPr>
          <w:ilvl w:val="0"/>
          <w:numId w:val="1"/>
        </w:numPr>
        <w:spacing w:after="40"/>
        <w:jc w:val="both"/>
      </w:pPr>
      <w:r>
        <w:rPr>
          <w:rFonts w:ascii="Times New Roman" w:cs="Times New Roman" w:eastAsia="Times New Roman" w:hAnsi="Times New Roman"/>
          <w:sz w:val="24"/>
          <w:szCs w:val="24"/>
        </w:rPr>
        <w:t xml:space="preserve">Nodi d'incrocio: </w:t>
      </w:r>
      <w:r>
        <w:rPr>
          <w:rFonts w:ascii="Times New Roman" w:cs="Times New Roman" w:eastAsia="Times New Roman" w:hAnsi="Times New Roman"/>
          <w:b/>
          <w:bCs/>
          <w:sz w:val="24"/>
          <w:szCs w:val="24"/>
        </w:rPr>
        <w:t xml:space="preserve">8</w:t>
      </w:r>
      <w:r>
        <w:rPr>
          <w:rFonts w:ascii="Times New Roman" w:cs="Times New Roman" w:eastAsia="Times New Roman" w:hAnsi="Times New Roman"/>
          <w:sz w:val="24"/>
          <w:szCs w:val="24"/>
        </w:rPr>
        <w:t xml:space="preserve"> (FH-1…FH-8): 6 documentati, 1 memorialistico incrociato (FH-4), 1 congettura smentita (FH-8).</w:t>
      </w:r>
    </w:p>
    <w:p>
      <w:pPr>
        <w:pStyle w:val="ListParagraph"/>
        <w:numPr>
          <w:ilvl w:val="0"/>
          <w:numId w:val="1"/>
        </w:numPr>
        <w:spacing w:after="40"/>
        <w:jc w:val="both"/>
      </w:pPr>
      <w:r>
        <w:rPr>
          <w:rFonts w:ascii="Times New Roman" w:cs="Times New Roman" w:eastAsia="Times New Roman" w:hAnsi="Times New Roman"/>
          <w:sz w:val="24"/>
          <w:szCs w:val="24"/>
        </w:rPr>
        <w:t xml:space="preserve">Verifiche web dedicate in sessione: </w:t>
      </w: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(rapporti Feltrinelli-BR e confluenze post-1972; memorialistica Franceschini/«zie rosse»/timer e sua smentita).</w:t>
      </w:r>
    </w:p>
    <w:p>
      <w:pPr>
        <w:pStyle w:val="ListParagraph"/>
        <w:numPr>
          <w:ilvl w:val="0"/>
          <w:numId w:val="1"/>
        </w:numPr>
        <w:spacing w:after="40"/>
        <w:jc w:val="both"/>
      </w:pPr>
      <w:r>
        <w:rPr>
          <w:rFonts w:ascii="Times New Roman" w:cs="Times New Roman" w:eastAsia="Times New Roman" w:hAnsi="Times New Roman"/>
          <w:sz w:val="24"/>
          <w:szCs w:val="24"/>
        </w:rPr>
        <w:t xml:space="preserve">Anti-triangolazioni: </w:t>
      </w: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(ATI-1…ATI-3).</w:t>
      </w:r>
    </w:p>
    <w:p>
      <w:pPr>
        <w:pStyle w:val="ListParagraph"/>
        <w:numPr>
          <w:ilvl w:val="0"/>
          <w:numId w:val="1"/>
        </w:numPr>
        <w:spacing w:after="40"/>
        <w:jc w:val="both"/>
      </w:pPr>
      <w:r>
        <w:rPr>
          <w:rFonts w:ascii="Times New Roman" w:cs="Times New Roman" w:eastAsia="Times New Roman" w:hAnsi="Times New Roman"/>
          <w:sz w:val="24"/>
          <w:szCs w:val="24"/>
        </w:rPr>
        <w:t xml:space="preserve">Il documento si appoggia ai nodi già verificati delle due triangolazioni madri (F-1…F-17; HY-1…HY-9) senza duplicarli.</w:t>
      </w:r>
    </w:p>
    <w:p>
      <w:pPr>
        <w:pStyle w:val="ListParagraph"/>
        <w:numPr>
          <w:ilvl w:val="0"/>
          <w:numId w:val="1"/>
        </w:numPr>
        <w:spacing w:after="40"/>
        <w:jc w:val="both"/>
      </w:pPr>
      <w:r>
        <w:rPr>
          <w:rFonts w:ascii="Times New Roman" w:cs="Times New Roman" w:eastAsia="Times New Roman" w:hAnsi="Times New Roman"/>
          <w:sz w:val="24"/>
          <w:szCs w:val="24"/>
        </w:rPr>
        <w:t xml:space="preserve">Sintesi dell'incrocio in una riga: </w:t>
      </w:r>
      <w:r>
        <w:rPr>
          <w:rFonts w:ascii="Times New Roman" w:cs="Times New Roman" w:eastAsia="Times New Roman" w:hAnsi="Times New Roman"/>
          <w:b/>
          <w:bCs/>
          <w:sz w:val="24"/>
          <w:szCs w:val="24"/>
        </w:rPr>
        <w:t xml:space="preserve">stesso ceppo, tre strade, ponti di uomini, nessuna regia accertata — e l'unica «unificazione» reale avvenne in tribunale.</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Triangolazione d'incrocio fra i fronti Feltrinelli e Hyperion. Matrice comune e ponti biografici documentati; congetture memorialistiche declassate o smentite; presunzione d'innocenza piena per i prosciolti. Regola di Ferro: dove la fonte documenta, si certifica; dove tace, si tace.</w:t>
      </w:r>
    </w:p>
    <w:p>
      <w:r>
        <w:br w:type="page"/>
      </w:r>
    </w:p>
    <w:p>
      <w:pPr>
        <w:pStyle w:val="Heading1"/>
        <w:spacing w:after="120" w:before="240"/>
      </w:pPr>
      <w:r>
        <w:rPr>
          <w:rFonts w:ascii="Times New Roman" w:cs="Times New Roman" w:eastAsia="Times New Roman" w:hAnsi="Times New Roman"/>
          <w:sz w:val="24"/>
          <w:szCs w:val="24"/>
        </w:rPr>
        <w:t xml:space="preserve">Il Tribunale Speciale per la Difesa dello Stato (1926-1943): storia di un'istituzione</w:t>
      </w:r>
    </w:p>
    <w:p>
      <w:pPr>
        <w:spacing w:after="120" w:line="276"/>
        <w:jc w:val="both"/>
      </w:pPr>
      <w:r>
        <w:rPr>
          <w:rFonts w:ascii="Times New Roman" w:cs="Times New Roman" w:eastAsia="Times New Roman" w:hAnsi="Times New Roman"/>
          <w:i/>
          <w:iCs/>
          <w:sz w:val="24"/>
          <w:szCs w:val="24"/>
        </w:rPr>
        <w:t xml:space="preserve">Studio storico — 24 agosto 2026 · Chiude il cerchio con il primo documento del branch</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 e disciplina.</w:t>
      </w:r>
      <w:r>
        <w:rPr>
          <w:rFonts w:ascii="Times New Roman" w:cs="Times New Roman" w:eastAsia="Times New Roman" w:hAnsi="Times New Roman"/>
          <w:i w:val="false"/>
          <w:iCs w:val="false"/>
          <w:sz w:val="24"/>
          <w:szCs w:val="24"/>
        </w:rPr>
        <w:t xml:space="preserve"> Questo branch è nato da un elenco: gli amnistiati del Tribunale Speciale censiti nell'archivio bolognese (</w:t>
      </w:r>
      <w:r>
        <w:rPr>
          <w:rFonts w:ascii="Times New Roman" w:cs="Times New Roman" w:eastAsia="Times New Roman" w:hAnsi="Times New Roman"/>
          <w:i w:val="false"/>
          <w:iCs w:val="false"/>
          <w:sz w:val="24"/>
          <w:szCs w:val="24"/>
        </w:rPr>
        <w:t xml:space="preserve">amnistiati-tribunale-speciale.md</w:t>
      </w:r>
      <w:r>
        <w:rPr>
          <w:rFonts w:ascii="Times New Roman" w:cs="Times New Roman" w:eastAsia="Times New Roman" w:hAnsi="Times New Roman"/>
          <w:i w:val="false"/>
          <w:iCs w:val="false"/>
          <w:sz w:val="24"/>
          <w:szCs w:val="24"/>
        </w:rPr>
        <w:t xml:space="preserve">). Quell'elenco nominava le persone; questo studio ricostruisce </w:t>
      </w:r>
      <w:r>
        <w:rPr>
          <w:rFonts w:ascii="Times New Roman" w:cs="Times New Roman" w:eastAsia="Times New Roman" w:hAnsi="Times New Roman"/>
          <w:b/>
          <w:bCs/>
          <w:i w:val="false"/>
          <w:iCs w:val="false"/>
          <w:sz w:val="24"/>
          <w:szCs w:val="24"/>
        </w:rPr>
        <w:t xml:space="preserve">l'istituzione</w:t>
      </w:r>
      <w:r>
        <w:rPr>
          <w:rFonts w:ascii="Times New Roman" w:cs="Times New Roman" w:eastAsia="Times New Roman" w:hAnsi="Times New Roman"/>
          <w:i w:val="false"/>
          <w:iCs w:val="false"/>
          <w:sz w:val="24"/>
          <w:szCs w:val="24"/>
        </w:rPr>
        <w:t xml:space="preserve"> che le colpì — la legge che la creò, la sua struttura e procedura, i numeri della repressione, i processi celebri, le amnistie che la accompagnarono, la fine e l'eredità costituzionale. Vale la Regola di Ferro del corpus: ogni cifra e ogni data qui riportata è riscontrata su fonti indipendenti citate (ANPPIA, ANPI, Archivio Centrale dello Stato, storiografia); dove le fonti divergono, la divergenza è dichiarata. Ricostruzione storica: né apologia né uso politico retroattivo.</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I. La legge: novembre 1926, le «leggi eccezionali»</w:t>
      </w:r>
    </w:p>
    <w:p>
      <w:pPr>
        <w:spacing w:after="120" w:line="276"/>
        <w:jc w:val="both"/>
      </w:pPr>
      <w:r>
        <w:rPr>
          <w:rFonts w:ascii="Times New Roman" w:cs="Times New Roman" w:eastAsia="Times New Roman" w:hAnsi="Times New Roman"/>
          <w:sz w:val="24"/>
          <w:szCs w:val="24"/>
        </w:rPr>
        <w:t xml:space="preserve">Il Tribunale Speciale nacque dentro la stretta finale della dittatura. Nel 1926 Mussolini era scampato a una serie di attentati; dopo l'ultimo — il colpo di pistola attribuito al quindicenne Anteo Zamboni a Bologna, il 31 ottobre 1926, seguito dal linciaggio del ragazzo — il regime varò in poche settimane le cosiddette </w:t>
      </w:r>
      <w:r>
        <w:rPr>
          <w:rFonts w:ascii="Times New Roman" w:cs="Times New Roman" w:eastAsia="Times New Roman" w:hAnsi="Times New Roman"/>
          <w:b/>
          <w:bCs/>
          <w:sz w:val="24"/>
          <w:szCs w:val="24"/>
        </w:rPr>
        <w:t xml:space="preserve">«leggi eccezionali» o «fascistissime»</w:t>
      </w:r>
      <w:r>
        <w:rPr>
          <w:rFonts w:ascii="Times New Roman" w:cs="Times New Roman" w:eastAsia="Times New Roman" w:hAnsi="Times New Roman"/>
          <w:sz w:val="24"/>
          <w:szCs w:val="24"/>
        </w:rPr>
        <w:t xml:space="preserve">: scioglimento dei partiti, soppressione della stampa d'opposizione, decadenza dei deputati aventiniani, istituzione del confino di polizia.</w:t>
      </w:r>
    </w:p>
    <w:p>
      <w:pPr>
        <w:spacing w:after="120" w:line="276"/>
        <w:jc w:val="both"/>
      </w:pPr>
      <w:r>
        <w:rPr>
          <w:rFonts w:ascii="Times New Roman" w:cs="Times New Roman" w:eastAsia="Times New Roman" w:hAnsi="Times New Roman"/>
          <w:sz w:val="24"/>
          <w:szCs w:val="24"/>
        </w:rPr>
        <w:t xml:space="preserve">Il vertice dell'edificio fu la </w:t>
      </w:r>
      <w:r>
        <w:rPr>
          <w:rFonts w:ascii="Times New Roman" w:cs="Times New Roman" w:eastAsia="Times New Roman" w:hAnsi="Times New Roman"/>
          <w:b/>
          <w:bCs/>
          <w:sz w:val="24"/>
          <w:szCs w:val="24"/>
        </w:rPr>
        <w:t xml:space="preserve">legge 25 novembre 1926, n. 2008</w:t>
      </w:r>
      <w:r>
        <w:rPr>
          <w:rFonts w:ascii="Times New Roman" w:cs="Times New Roman" w:eastAsia="Times New Roman" w:hAnsi="Times New Roman"/>
          <w:sz w:val="24"/>
          <w:szCs w:val="24"/>
        </w:rPr>
        <w:t xml:space="preserve"> («Provvedimenti per la difesa dello Stato»), completata dal regolamento di attuazione di dicembre (Archivio Centrale dello Stato (https://search.acs.beniculturali.it/OpacACS/authority/IT-ACS-SP00001-00000424); Wikipedia IT (https://it.wikipedia.org/wiki/Tribunale_speciale_per_la_difesa_dello_Stato_(1926-1943))). La legge fece due cose insieme, e vanno tenute distinte perché misurano la rottura giuridica:</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Reintrodusse la pena di morte</w:t>
      </w:r>
      <w:r>
        <w:rPr>
          <w:rFonts w:ascii="Times New Roman" w:cs="Times New Roman" w:eastAsia="Times New Roman" w:hAnsi="Times New Roman"/>
          <w:sz w:val="24"/>
          <w:szCs w:val="24"/>
        </w:rPr>
        <w:t xml:space="preserve"> per i delitti politici — che lo Stato liberale aveva abolito con il codice Zanardelli del 1889 — e creò nuove fattispecie (ricostituzione di partiti disciolti, propaganda sovversiva, espatrio clandestino aggravato).</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Istituì un giudice speciale</w:t>
      </w:r>
      <w:r>
        <w:rPr>
          <w:rFonts w:ascii="Times New Roman" w:cs="Times New Roman" w:eastAsia="Times New Roman" w:hAnsi="Times New Roman"/>
          <w:sz w:val="24"/>
          <w:szCs w:val="24"/>
        </w:rPr>
        <w:t xml:space="preserve"> per giudicarli: il Tribunale Speciale per la Difesa dello Stato, previsto in origine come </w:t>
      </w:r>
      <w:r>
        <w:rPr>
          <w:rFonts w:ascii="Times New Roman" w:cs="Times New Roman" w:eastAsia="Times New Roman" w:hAnsi="Times New Roman"/>
          <w:b/>
          <w:bCs/>
          <w:sz w:val="24"/>
          <w:szCs w:val="24"/>
        </w:rPr>
        <w:t xml:space="preserve">temporaneo</w:t>
      </w:r>
      <w:r>
        <w:rPr>
          <w:rFonts w:ascii="Times New Roman" w:cs="Times New Roman" w:eastAsia="Times New Roman" w:hAnsi="Times New Roman"/>
          <w:sz w:val="24"/>
          <w:szCs w:val="24"/>
        </w:rPr>
        <w:t xml:space="preserve"> (cinque anni) e poi </w:t>
      </w:r>
      <w:r>
        <w:rPr>
          <w:rFonts w:ascii="Times New Roman" w:cs="Times New Roman" w:eastAsia="Times New Roman" w:hAnsi="Times New Roman"/>
          <w:b/>
          <w:bCs/>
          <w:sz w:val="24"/>
          <w:szCs w:val="24"/>
        </w:rPr>
        <w:t xml:space="preserve">prorogato ripetutamente</w:t>
      </w:r>
      <w:r>
        <w:rPr>
          <w:rFonts w:ascii="Times New Roman" w:cs="Times New Roman" w:eastAsia="Times New Roman" w:hAnsi="Times New Roman"/>
          <w:sz w:val="24"/>
          <w:szCs w:val="24"/>
        </w:rPr>
        <w:t xml:space="preserve"> fino a diventare organo permanente della dittatura, operativo dal </w:t>
      </w:r>
      <w:r>
        <w:rPr>
          <w:rFonts w:ascii="Times New Roman" w:cs="Times New Roman" w:eastAsia="Times New Roman" w:hAnsi="Times New Roman"/>
          <w:b/>
          <w:bCs/>
          <w:sz w:val="24"/>
          <w:szCs w:val="24"/>
        </w:rPr>
        <w:t xml:space="preserve">febbraio 1927</w:t>
      </w:r>
      <w:r>
        <w:rPr>
          <w:rFonts w:ascii="Times New Roman" w:cs="Times New Roman" w:eastAsia="Times New Roman" w:hAnsi="Times New Roman"/>
          <w:sz w:val="24"/>
          <w:szCs w:val="24"/>
        </w:rPr>
        <w:t xml:space="preserve"> al </w:t>
      </w:r>
      <w:r>
        <w:rPr>
          <w:rFonts w:ascii="Times New Roman" w:cs="Times New Roman" w:eastAsia="Times New Roman" w:hAnsi="Times New Roman"/>
          <w:b/>
          <w:bCs/>
          <w:sz w:val="24"/>
          <w:szCs w:val="24"/>
        </w:rPr>
        <w:t xml:space="preserve">luglio 1943</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sz w:val="24"/>
          <w:szCs w:val="24"/>
        </w:rPr>
        <w:t xml:space="preserve">La temporaneità dichiarata e la permanenza di fatto sono il primo dato istituzionale: lo strumento «eccezionale» che diventa ordinario è la firma degli stati d'eccezione consolidati.</w:t>
      </w:r>
    </w:p>
    <w:p>
      <w:pPr>
        <w:pStyle w:val="Heading2"/>
        <w:spacing w:after="100" w:before="200"/>
      </w:pPr>
      <w:r>
        <w:rPr>
          <w:rFonts w:ascii="Times New Roman" w:cs="Times New Roman" w:eastAsia="Times New Roman" w:hAnsi="Times New Roman"/>
          <w:sz w:val="24"/>
          <w:szCs w:val="24"/>
        </w:rPr>
        <w:t xml:space="preserve">II. Struttura e procedura: un tribunale di guerra in tempo di pace</w:t>
      </w:r>
    </w:p>
    <w:p>
      <w:pPr>
        <w:spacing w:after="120" w:line="276"/>
        <w:jc w:val="both"/>
      </w:pPr>
      <w:r>
        <w:rPr>
          <w:rFonts w:ascii="Times New Roman" w:cs="Times New Roman" w:eastAsia="Times New Roman" w:hAnsi="Times New Roman"/>
          <w:sz w:val="24"/>
          <w:szCs w:val="24"/>
        </w:rPr>
        <w:t xml:space="preserve">La natura dell'organo sta tutta nella sua composizione e nel suo rito. Il Tribunale — con sede a Roma — era </w:t>
      </w:r>
      <w:r>
        <w:rPr>
          <w:rFonts w:ascii="Times New Roman" w:cs="Times New Roman" w:eastAsia="Times New Roman" w:hAnsi="Times New Roman"/>
          <w:b/>
          <w:bCs/>
          <w:sz w:val="24"/>
          <w:szCs w:val="24"/>
        </w:rPr>
        <w:t xml:space="preserve">presieduto da un ufficiale superiore</w:t>
      </w:r>
      <w:r>
        <w:rPr>
          <w:rFonts w:ascii="Times New Roman" w:cs="Times New Roman" w:eastAsia="Times New Roman" w:hAnsi="Times New Roman"/>
          <w:sz w:val="24"/>
          <w:szCs w:val="24"/>
        </w:rPr>
        <w:t xml:space="preserve"> delle forze armate o della Milizia, e i suoi </w:t>
      </w:r>
      <w:r>
        <w:rPr>
          <w:rFonts w:ascii="Times New Roman" w:cs="Times New Roman" w:eastAsia="Times New Roman" w:hAnsi="Times New Roman"/>
          <w:b/>
          <w:bCs/>
          <w:sz w:val="24"/>
          <w:szCs w:val="24"/>
        </w:rPr>
        <w:t xml:space="preserve">giudici erano consoli della Milizia Volontaria per la Sicurezza Nazionale</w:t>
      </w:r>
      <w:r>
        <w:rPr>
          <w:rFonts w:ascii="Times New Roman" w:cs="Times New Roman" w:eastAsia="Times New Roman" w:hAnsi="Times New Roman"/>
          <w:sz w:val="24"/>
          <w:szCs w:val="24"/>
        </w:rPr>
        <w:t xml:space="preserve">: cioè ufficiali del partito armato, non magistrati ordinari (ANPPIA (https://anppia.it/il-tribunale-speciale/); ANPI, Promemoria (https://promemoria.anpi.it/2656-2/)). Applicava il </w:t>
      </w:r>
      <w:r>
        <w:rPr>
          <w:rFonts w:ascii="Times New Roman" w:cs="Times New Roman" w:eastAsia="Times New Roman" w:hAnsi="Times New Roman"/>
          <w:b/>
          <w:bCs/>
          <w:sz w:val="24"/>
          <w:szCs w:val="24"/>
        </w:rPr>
        <w:t xml:space="preserve">codice penale militare di guerra</w:t>
      </w:r>
      <w:r>
        <w:rPr>
          <w:rFonts w:ascii="Times New Roman" w:cs="Times New Roman" w:eastAsia="Times New Roman" w:hAnsi="Times New Roman"/>
          <w:sz w:val="24"/>
          <w:szCs w:val="24"/>
        </w:rPr>
        <w:t xml:space="preserve"> — in tempo di pace e a civili — con ciò che ne conseguiva:</w:t>
      </w:r>
    </w:p>
    <w:p>
      <w:pPr>
        <w:pStyle w:val="ListParagraph"/>
        <w:numPr>
          <w:ilvl w:val="0"/>
          <w:numId w:val="1"/>
        </w:numPr>
        <w:spacing w:after="40"/>
        <w:jc w:val="both"/>
      </w:pPr>
      <w:r>
        <w:rPr>
          <w:rFonts w:ascii="Times New Roman" w:cs="Times New Roman" w:eastAsia="Times New Roman" w:hAnsi="Times New Roman"/>
          <w:b/>
          <w:bCs/>
          <w:sz w:val="24"/>
          <w:szCs w:val="24"/>
        </w:rPr>
        <w:t xml:space="preserve">istruttoria</w:t>
      </w:r>
      <w:r>
        <w:rPr>
          <w:rFonts w:ascii="Times New Roman" w:cs="Times New Roman" w:eastAsia="Times New Roman" w:hAnsi="Times New Roman"/>
          <w:sz w:val="24"/>
          <w:szCs w:val="24"/>
        </w:rPr>
        <w:t xml:space="preserve"> affidata di fatto alla polizia politica (dal 1927 l'OVRA), con la confessione e la delazione come architravi probatorie;</w:t>
      </w:r>
    </w:p>
    <w:p>
      <w:pPr>
        <w:pStyle w:val="ListParagraph"/>
        <w:numPr>
          <w:ilvl w:val="0"/>
          <w:numId w:val="1"/>
        </w:numPr>
        <w:spacing w:after="40"/>
        <w:jc w:val="both"/>
      </w:pPr>
      <w:r>
        <w:rPr>
          <w:rFonts w:ascii="Times New Roman" w:cs="Times New Roman" w:eastAsia="Times New Roman" w:hAnsi="Times New Roman"/>
          <w:b/>
          <w:bCs/>
          <w:sz w:val="24"/>
          <w:szCs w:val="24"/>
        </w:rPr>
        <w:t xml:space="preserve">rito militare</w:t>
      </w:r>
      <w:r>
        <w:rPr>
          <w:rFonts w:ascii="Times New Roman" w:cs="Times New Roman" w:eastAsia="Times New Roman" w:hAnsi="Times New Roman"/>
          <w:sz w:val="24"/>
          <w:szCs w:val="24"/>
        </w:rPr>
        <w:t xml:space="preserve"> sommario, difesa fortemente compressa;</w:t>
      </w:r>
    </w:p>
    <w:p>
      <w:pPr>
        <w:pStyle w:val="ListParagraph"/>
        <w:numPr>
          <w:ilvl w:val="0"/>
          <w:numId w:val="1"/>
        </w:numPr>
        <w:spacing w:after="40"/>
        <w:jc w:val="both"/>
      </w:pPr>
      <w:r>
        <w:rPr>
          <w:rFonts w:ascii="Times New Roman" w:cs="Times New Roman" w:eastAsia="Times New Roman" w:hAnsi="Times New Roman"/>
          <w:b/>
          <w:bCs/>
          <w:sz w:val="24"/>
          <w:szCs w:val="24"/>
        </w:rPr>
        <w:t xml:space="preserve">sentenze inappellabili</w:t>
      </w:r>
      <w:r>
        <w:rPr>
          <w:rFonts w:ascii="Times New Roman" w:cs="Times New Roman" w:eastAsia="Times New Roman" w:hAnsi="Times New Roman"/>
          <w:sz w:val="24"/>
          <w:szCs w:val="24"/>
        </w:rPr>
        <w:t xml:space="preserve">: nessun appello, nessun ricorso in Cassazione;</w:t>
      </w:r>
    </w:p>
    <w:p>
      <w:pPr>
        <w:pStyle w:val="ListParagraph"/>
        <w:numPr>
          <w:ilvl w:val="0"/>
          <w:numId w:val="1"/>
        </w:numPr>
        <w:spacing w:after="40"/>
        <w:jc w:val="both"/>
      </w:pPr>
      <w:r>
        <w:rPr>
          <w:rFonts w:ascii="Times New Roman" w:cs="Times New Roman" w:eastAsia="Times New Roman" w:hAnsi="Times New Roman"/>
          <w:b/>
          <w:bCs/>
          <w:sz w:val="24"/>
          <w:szCs w:val="24"/>
        </w:rPr>
        <w:t xml:space="preserve">pene accessorie</w:t>
      </w:r>
      <w:r>
        <w:rPr>
          <w:rFonts w:ascii="Times New Roman" w:cs="Times New Roman" w:eastAsia="Times New Roman" w:hAnsi="Times New Roman"/>
          <w:sz w:val="24"/>
          <w:szCs w:val="24"/>
        </w:rPr>
        <w:t xml:space="preserve"> sistematiche: interdizione perpetua dai pubblici uffici, vigilanza speciale, possibili misure sui beni.</w:t>
      </w:r>
    </w:p>
    <w:p>
      <w:pPr>
        <w:spacing w:after="120" w:line="276"/>
        <w:jc w:val="both"/>
      </w:pPr>
      <w:r>
        <w:rPr>
          <w:rFonts w:ascii="Times New Roman" w:cs="Times New Roman" w:eastAsia="Times New Roman" w:hAnsi="Times New Roman"/>
          <w:sz w:val="24"/>
          <w:szCs w:val="24"/>
        </w:rPr>
        <w:t xml:space="preserve">Un tribunale di guerra permanente contro il nemico interno: questa è la definizione tecnica dell'istituto, ed è la ragione per cui la Costituente, vent'anni dopo, ne farà il negativo fotografico della propria giurisdizione.</w:t>
      </w:r>
    </w:p>
    <w:p>
      <w:pPr>
        <w:pStyle w:val="Heading2"/>
        <w:spacing w:after="100" w:before="200"/>
      </w:pPr>
      <w:r>
        <w:rPr>
          <w:rFonts w:ascii="Times New Roman" w:cs="Times New Roman" w:eastAsia="Times New Roman" w:hAnsi="Times New Roman"/>
          <w:sz w:val="24"/>
          <w:szCs w:val="24"/>
        </w:rPr>
        <w:t xml:space="preserve">III. I numeri della repressione (1927-1943)</w:t>
      </w:r>
    </w:p>
    <w:p>
      <w:pPr>
        <w:spacing w:after="120" w:line="276"/>
        <w:jc w:val="both"/>
      </w:pPr>
      <w:r>
        <w:rPr>
          <w:rFonts w:ascii="Times New Roman" w:cs="Times New Roman" w:eastAsia="Times New Roman" w:hAnsi="Times New Roman"/>
          <w:sz w:val="24"/>
          <w:szCs w:val="24"/>
        </w:rPr>
        <w:t xml:space="preserve">Le cifre consolidate della storiografia (censimento ANPPIA / Dal Pont, riprese dalle voci d'archivio) sono le seguenti (ANPPIA (https://anppia.it/il-tribunale-speciale/); Wikipedia IT (https://it.wikipedia.org/wiki/Tribunale_speciale_per_la_difesa_dello_Stato_(1926-1943)); ANPI (https://www.anpi.it/libri/il-tribunale-speciale-la-difesa-dello-stato)):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Voce</w:t>
            </w:r>
          </w:p>
        </w:tc>
        <w:tc>
          <w:tcPr>
            <w:tcW w:type="dxa" w:w="4680"/>
            <w:shd w:fill="1F3864" w:val="clear"/>
          </w:tcPr>
          <w:p>
            <w:pPr>
              <w:spacing w:after="20" w:before="20"/>
              <w:jc w:val="left"/>
            </w:pPr>
            <w:r>
              <w:rPr>
                <w:rFonts w:ascii="Times New Roman" w:cs="Times New Roman" w:eastAsia="Times New Roman" w:hAnsi="Times New Roman"/>
                <w:b/>
                <w:bCs/>
                <w:color w:val="FFFFFF"/>
                <w:sz w:val="20"/>
                <w:szCs w:val="20"/>
              </w:rPr>
              <w:t xml:space="preserve">Cifra</w:t>
            </w:r>
          </w:p>
        </w:tc>
      </w:tr>
      <w:tr>
        <w:tc>
          <w:tcPr>
            <w:tcW w:type="dxa" w:w="4680"/>
          </w:tcPr>
          <w:p>
            <w:pPr>
              <w:spacing w:after="20" w:before="20"/>
              <w:jc w:val="left"/>
            </w:pPr>
            <w:r>
              <w:rPr>
                <w:rFonts w:ascii="Times New Roman" w:cs="Times New Roman" w:eastAsia="Times New Roman" w:hAnsi="Times New Roman"/>
                <w:sz w:val="20"/>
                <w:szCs w:val="20"/>
              </w:rPr>
              <w:t xml:space="preserve">Deferiti al Tribunale (1926-1943)</w:t>
            </w:r>
          </w:p>
        </w:tc>
        <w:tc>
          <w:tcPr>
            <w:tcW w:type="dxa" w:w="4680"/>
          </w:tcPr>
          <w:p>
            <w:pPr>
              <w:spacing w:after="20" w:before="20"/>
              <w:jc w:val="left"/>
            </w:pPr>
            <w:r>
              <w:rPr>
                <w:rFonts w:ascii="Times New Roman" w:cs="Times New Roman" w:eastAsia="Times New Roman" w:hAnsi="Times New Roman"/>
                <w:b/>
                <w:bCs/>
                <w:sz w:val="20"/>
                <w:szCs w:val="20"/>
              </w:rPr>
              <w:t xml:space="preserve">15.806</w:t>
            </w:r>
          </w:p>
        </w:tc>
      </w:tr>
      <w:tr>
        <w:tc>
          <w:tcPr>
            <w:tcW w:type="dxa" w:w="4680"/>
          </w:tcPr>
          <w:p>
            <w:pPr>
              <w:spacing w:after="20" w:before="20"/>
              <w:jc w:val="left"/>
            </w:pPr>
            <w:r>
              <w:rPr>
                <w:rFonts w:ascii="Times New Roman" w:cs="Times New Roman" w:eastAsia="Times New Roman" w:hAnsi="Times New Roman"/>
                <w:sz w:val="20"/>
                <w:szCs w:val="20"/>
              </w:rPr>
              <w:t xml:space="preserve">Giudicati</w:t>
            </w:r>
          </w:p>
        </w:tc>
        <w:tc>
          <w:tcPr>
            <w:tcW w:type="dxa" w:w="4680"/>
          </w:tcPr>
          <w:p>
            <w:pPr>
              <w:spacing w:after="20" w:before="20"/>
              <w:jc w:val="left"/>
            </w:pPr>
            <w:r>
              <w:rPr>
                <w:rFonts w:ascii="Times New Roman" w:cs="Times New Roman" w:eastAsia="Times New Roman" w:hAnsi="Times New Roman"/>
                <w:b/>
                <w:bCs/>
                <w:sz w:val="20"/>
                <w:szCs w:val="20"/>
              </w:rPr>
              <w:t xml:space="preserve">5.619-5.620</w:t>
            </w:r>
            <w:r>
              <w:rPr>
                <w:rFonts w:ascii="Times New Roman" w:cs="Times New Roman" w:eastAsia="Times New Roman" w:hAnsi="Times New Roman"/>
                <w:sz w:val="20"/>
                <w:szCs w:val="20"/>
              </w:rPr>
              <w:t xml:space="preserve"> (le fonti oscillano di un'unità)</w:t>
            </w:r>
          </w:p>
        </w:tc>
      </w:tr>
      <w:tr>
        <w:tc>
          <w:tcPr>
            <w:tcW w:type="dxa" w:w="4680"/>
          </w:tcPr>
          <w:p>
            <w:pPr>
              <w:spacing w:after="20" w:before="20"/>
              <w:jc w:val="left"/>
            </w:pPr>
            <w:r>
              <w:rPr>
                <w:rFonts w:ascii="Times New Roman" w:cs="Times New Roman" w:eastAsia="Times New Roman" w:hAnsi="Times New Roman"/>
                <w:sz w:val="20"/>
                <w:szCs w:val="20"/>
              </w:rPr>
              <w:t xml:space="preserve">Condannati</w:t>
            </w:r>
          </w:p>
        </w:tc>
        <w:tc>
          <w:tcPr>
            <w:tcW w:type="dxa" w:w="4680"/>
          </w:tcPr>
          <w:p>
            <w:pPr>
              <w:spacing w:after="20" w:before="20"/>
              <w:jc w:val="left"/>
            </w:pPr>
            <w:r>
              <w:rPr>
                <w:rFonts w:ascii="Times New Roman" w:cs="Times New Roman" w:eastAsia="Times New Roman" w:hAnsi="Times New Roman"/>
                <w:b/>
                <w:bCs/>
                <w:sz w:val="20"/>
                <w:szCs w:val="20"/>
              </w:rPr>
              <w:t xml:space="preserve">4.596</w:t>
            </w:r>
          </w:p>
        </w:tc>
      </w:tr>
      <w:tr>
        <w:tc>
          <w:tcPr>
            <w:tcW w:type="dxa" w:w="4680"/>
          </w:tcPr>
          <w:p>
            <w:pPr>
              <w:spacing w:after="20" w:before="20"/>
              <w:jc w:val="left"/>
            </w:pPr>
            <w:r>
              <w:rPr>
                <w:rFonts w:ascii="Times New Roman" w:cs="Times New Roman" w:eastAsia="Times New Roman" w:hAnsi="Times New Roman"/>
                <w:sz w:val="20"/>
                <w:szCs w:val="20"/>
              </w:rPr>
              <w:t xml:space="preserve">Monte complessivo di reclusione comminata</w:t>
            </w:r>
          </w:p>
        </w:tc>
        <w:tc>
          <w:tcPr>
            <w:tcW w:type="dxa" w:w="4680"/>
          </w:tcPr>
          <w:p>
            <w:pPr>
              <w:spacing w:after="20" w:before="20"/>
              <w:jc w:val="left"/>
            </w:pPr>
            <w:r>
              <w:rPr>
                <w:rFonts w:ascii="Times New Roman" w:cs="Times New Roman" w:eastAsia="Times New Roman" w:hAnsi="Times New Roman"/>
                <w:b/>
                <w:bCs/>
                <w:sz w:val="20"/>
                <w:szCs w:val="20"/>
              </w:rPr>
              <w:t xml:space="preserve">27.752 anni, 5 mesi e 19 giorni</w:t>
            </w:r>
          </w:p>
        </w:tc>
      </w:tr>
      <w:tr>
        <w:tc>
          <w:tcPr>
            <w:tcW w:type="dxa" w:w="4680"/>
          </w:tcPr>
          <w:p>
            <w:pPr>
              <w:spacing w:after="20" w:before="20"/>
              <w:jc w:val="left"/>
            </w:pPr>
            <w:r>
              <w:rPr>
                <w:rFonts w:ascii="Times New Roman" w:cs="Times New Roman" w:eastAsia="Times New Roman" w:hAnsi="Times New Roman"/>
                <w:sz w:val="20"/>
                <w:szCs w:val="20"/>
              </w:rPr>
              <w:t xml:space="preserve">Ergastoli</w:t>
            </w:r>
          </w:p>
        </w:tc>
        <w:tc>
          <w:tcPr>
            <w:tcW w:type="dxa" w:w="4680"/>
          </w:tcPr>
          <w:p>
            <w:pPr>
              <w:spacing w:after="20" w:before="20"/>
              <w:jc w:val="left"/>
            </w:pPr>
            <w:r>
              <w:rPr>
                <w:rFonts w:ascii="Times New Roman" w:cs="Times New Roman" w:eastAsia="Times New Roman" w:hAnsi="Times New Roman"/>
                <w:b/>
                <w:bCs/>
                <w:sz w:val="20"/>
                <w:szCs w:val="20"/>
              </w:rPr>
              <w:t xml:space="preserve">3</w:t>
            </w:r>
          </w:p>
        </w:tc>
      </w:tr>
      <w:tr>
        <w:tc>
          <w:tcPr>
            <w:tcW w:type="dxa" w:w="4680"/>
          </w:tcPr>
          <w:p>
            <w:pPr>
              <w:spacing w:after="20" w:before="20"/>
              <w:jc w:val="left"/>
            </w:pPr>
            <w:r>
              <w:rPr>
                <w:rFonts w:ascii="Times New Roman" w:cs="Times New Roman" w:eastAsia="Times New Roman" w:hAnsi="Times New Roman"/>
                <w:sz w:val="20"/>
                <w:szCs w:val="20"/>
              </w:rPr>
              <w:t xml:space="preserve">Condanne a morte pronunciate</w:t>
            </w:r>
          </w:p>
        </w:tc>
        <w:tc>
          <w:tcPr>
            <w:tcW w:type="dxa" w:w="4680"/>
          </w:tcPr>
          <w:p>
            <w:pPr>
              <w:spacing w:after="20" w:before="20"/>
              <w:jc w:val="left"/>
            </w:pPr>
            <w:r>
              <w:rPr>
                <w:rFonts w:ascii="Times New Roman" w:cs="Times New Roman" w:eastAsia="Times New Roman" w:hAnsi="Times New Roman"/>
                <w:b/>
                <w:bCs/>
                <w:sz w:val="20"/>
                <w:szCs w:val="20"/>
              </w:rPr>
              <w:t xml:space="preserve">42</w:t>
            </w:r>
          </w:p>
        </w:tc>
      </w:tr>
      <w:tr>
        <w:tc>
          <w:tcPr>
            <w:tcW w:type="dxa" w:w="4680"/>
          </w:tcPr>
          <w:p>
            <w:pPr>
              <w:spacing w:after="20" w:before="20"/>
              <w:jc w:val="left"/>
            </w:pPr>
            <w:r>
              <w:rPr>
                <w:rFonts w:ascii="Times New Roman" w:cs="Times New Roman" w:eastAsia="Times New Roman" w:hAnsi="Times New Roman"/>
                <w:sz w:val="20"/>
                <w:szCs w:val="20"/>
              </w:rPr>
              <w:t xml:space="preserve">Condanne a morte eseguite</w:t>
            </w:r>
          </w:p>
        </w:tc>
        <w:tc>
          <w:tcPr>
            <w:tcW w:type="dxa" w:w="4680"/>
          </w:tcPr>
          <w:p>
            <w:pPr>
              <w:spacing w:after="20" w:before="20"/>
              <w:jc w:val="left"/>
            </w:pPr>
            <w:r>
              <w:rPr>
                <w:rFonts w:ascii="Times New Roman" w:cs="Times New Roman" w:eastAsia="Times New Roman" w:hAnsi="Times New Roman"/>
                <w:b/>
                <w:bCs/>
                <w:sz w:val="20"/>
                <w:szCs w:val="20"/>
              </w:rPr>
              <w:t xml:space="preserve">31</w:t>
            </w:r>
          </w:p>
        </w:tc>
      </w:tr>
    </w:tbl>
    <w:p>
      <w:pPr>
        <w:spacing w:after="80"/>
      </w:pPr>
    </w:p>
    <w:p>
      <w:pPr>
        <w:spacing w:after="120" w:line="276"/>
        <w:jc w:val="both"/>
      </w:pPr>
      <w:r>
        <w:rPr>
          <w:rFonts w:ascii="Times New Roman" w:cs="Times New Roman" w:eastAsia="Times New Roman" w:hAnsi="Times New Roman"/>
          <w:sz w:val="24"/>
          <w:szCs w:val="24"/>
        </w:rPr>
        <w:t xml:space="preserve">Dietro le cifre, tre fatti che le qualificano:</w:t>
      </w:r>
    </w:p>
    <w:p>
      <w:pPr>
        <w:pStyle w:val="ListParagraph"/>
        <w:numPr>
          <w:ilvl w:val="0"/>
          <w:numId w:val="1"/>
        </w:numPr>
        <w:spacing w:after="40"/>
        <w:jc w:val="both"/>
      </w:pPr>
      <w:r>
        <w:rPr>
          <w:rFonts w:ascii="Times New Roman" w:cs="Times New Roman" w:eastAsia="Times New Roman" w:hAnsi="Times New Roman"/>
          <w:b/>
          <w:bCs/>
          <w:sz w:val="24"/>
          <w:szCs w:val="24"/>
        </w:rPr>
        <w:t xml:space="preserve">La prima esecuzione</w:t>
      </w:r>
      <w:r>
        <w:rPr>
          <w:rFonts w:ascii="Times New Roman" w:cs="Times New Roman" w:eastAsia="Times New Roman" w:hAnsi="Times New Roman"/>
          <w:sz w:val="24"/>
          <w:szCs w:val="24"/>
        </w:rPr>
        <w:t xml:space="preserve"> fu quella di </w:t>
      </w:r>
      <w:r>
        <w:rPr>
          <w:rFonts w:ascii="Times New Roman" w:cs="Times New Roman" w:eastAsia="Times New Roman" w:hAnsi="Times New Roman"/>
          <w:b/>
          <w:bCs/>
          <w:sz w:val="24"/>
          <w:szCs w:val="24"/>
        </w:rPr>
        <w:t xml:space="preserve">Michele Della Maggiora</w:t>
      </w:r>
      <w:r>
        <w:rPr>
          <w:rFonts w:ascii="Times New Roman" w:cs="Times New Roman" w:eastAsia="Times New Roman" w:hAnsi="Times New Roman"/>
          <w:sz w:val="24"/>
          <w:szCs w:val="24"/>
        </w:rPr>
        <w:t xml:space="preserve">, bracciante comunista toscano: condannato a morte il 17 ottobre 1928 e </w:t>
      </w:r>
      <w:r>
        <w:rPr>
          <w:rFonts w:ascii="Times New Roman" w:cs="Times New Roman" w:eastAsia="Times New Roman" w:hAnsi="Times New Roman"/>
          <w:b/>
          <w:bCs/>
          <w:sz w:val="24"/>
          <w:szCs w:val="24"/>
        </w:rPr>
        <w:t xml:space="preserve">fucilato il 18 ottobre 1928</w:t>
      </w:r>
      <w:r>
        <w:rPr>
          <w:rFonts w:ascii="Times New Roman" w:cs="Times New Roman" w:eastAsia="Times New Roman" w:hAnsi="Times New Roman"/>
          <w:sz w:val="24"/>
          <w:szCs w:val="24"/>
        </w:rPr>
        <w:t xml:space="preserve"> a Ponte Buggianese — caso che ebbe eco internazionale (ANPPIA, scheda Della Maggiora (https://anppia.it/antifascisti/della-maggiora-michele/); Wikipedia IT (https://it.wikipedia.org/wiki/Michele_Della_Maggiora)).</w:t>
      </w:r>
    </w:p>
    <w:p>
      <w:pPr>
        <w:pStyle w:val="ListParagraph"/>
        <w:numPr>
          <w:ilvl w:val="0"/>
          <w:numId w:val="1"/>
        </w:numPr>
        <w:spacing w:after="40"/>
        <w:jc w:val="both"/>
      </w:pPr>
      <w:r>
        <w:rPr>
          <w:rFonts w:ascii="Times New Roman" w:cs="Times New Roman" w:eastAsia="Times New Roman" w:hAnsi="Times New Roman"/>
          <w:b/>
          <w:bCs/>
          <w:sz w:val="24"/>
          <w:szCs w:val="24"/>
        </w:rPr>
        <w:t xml:space="preserve">Una parte cospicua dei fucilati furono antifascisti sloveni e croati</w:t>
      </w:r>
      <w:r>
        <w:rPr>
          <w:rFonts w:ascii="Times New Roman" w:cs="Times New Roman" w:eastAsia="Times New Roman" w:hAnsi="Times New Roman"/>
          <w:sz w:val="24"/>
          <w:szCs w:val="24"/>
        </w:rPr>
        <w:t xml:space="preserve"> della Venezia Giulia: i quattro di </w:t>
      </w:r>
      <w:r>
        <w:rPr>
          <w:rFonts w:ascii="Times New Roman" w:cs="Times New Roman" w:eastAsia="Times New Roman" w:hAnsi="Times New Roman"/>
          <w:b/>
          <w:bCs/>
          <w:sz w:val="24"/>
          <w:szCs w:val="24"/>
        </w:rPr>
        <w:t xml:space="preserve">Basovizza</w:t>
      </w:r>
      <w:r>
        <w:rPr>
          <w:rFonts w:ascii="Times New Roman" w:cs="Times New Roman" w:eastAsia="Times New Roman" w:hAnsi="Times New Roman"/>
          <w:sz w:val="24"/>
          <w:szCs w:val="24"/>
        </w:rPr>
        <w:t xml:space="preserve"> — Ferdo Bidovec, Fran Marušič, Zvonimir Miloš, Alojz Valenčič — fucilati il </w:t>
      </w:r>
      <w:r>
        <w:rPr>
          <w:rFonts w:ascii="Times New Roman" w:cs="Times New Roman" w:eastAsia="Times New Roman" w:hAnsi="Times New Roman"/>
          <w:b/>
          <w:bCs/>
          <w:sz w:val="24"/>
          <w:szCs w:val="24"/>
        </w:rPr>
        <w:t xml:space="preserve">6 settembre 1930</w:t>
      </w:r>
      <w:r>
        <w:rPr>
          <w:rFonts w:ascii="Times New Roman" w:cs="Times New Roman" w:eastAsia="Times New Roman" w:hAnsi="Times New Roman"/>
          <w:sz w:val="24"/>
          <w:szCs w:val="24"/>
        </w:rPr>
        <w:t xml:space="preserve"> dopo il primo processo di Trieste (Grosseto Contemporanea (http://www.grossetocontemporanea.it/fucilati-di-basovizza/)), e altri dopo il secondo processo di Trieste del dicembre 1941. La repressione del Tribunale fu anche, in misura rilevante, repressione </w:t>
      </w:r>
      <w:r>
        <w:rPr>
          <w:rFonts w:ascii="Times New Roman" w:cs="Times New Roman" w:eastAsia="Times New Roman" w:hAnsi="Times New Roman"/>
          <w:b/>
          <w:bCs/>
          <w:sz w:val="24"/>
          <w:szCs w:val="24"/>
        </w:rPr>
        <w:t xml:space="preserve">nazionale</w:t>
      </w:r>
      <w:r>
        <w:rPr>
          <w:rFonts w:ascii="Times New Roman" w:cs="Times New Roman" w:eastAsia="Times New Roman" w:hAnsi="Times New Roman"/>
          <w:sz w:val="24"/>
          <w:szCs w:val="24"/>
        </w:rPr>
        <w:t xml:space="preserve"> contro le minoranze slave.</w:t>
      </w:r>
    </w:p>
    <w:p>
      <w:pPr>
        <w:pStyle w:val="ListParagraph"/>
        <w:numPr>
          <w:ilvl w:val="0"/>
          <w:numId w:val="1"/>
        </w:numPr>
        <w:spacing w:after="40"/>
        <w:jc w:val="both"/>
      </w:pPr>
      <w:r>
        <w:rPr>
          <w:rFonts w:ascii="Times New Roman" w:cs="Times New Roman" w:eastAsia="Times New Roman" w:hAnsi="Times New Roman"/>
          <w:sz w:val="24"/>
          <w:szCs w:val="24"/>
        </w:rPr>
        <w:t xml:space="preserve">Le cifre delle esecuzioni </w:t>
      </w:r>
      <w:r>
        <w:rPr>
          <w:rFonts w:ascii="Times New Roman" w:cs="Times New Roman" w:eastAsia="Times New Roman" w:hAnsi="Times New Roman"/>
          <w:b/>
          <w:bCs/>
          <w:sz w:val="24"/>
          <w:szCs w:val="24"/>
        </w:rPr>
        <w:t xml:space="preserve">non comprendono chi morì in carcere</w:t>
      </w:r>
      <w:r>
        <w:rPr>
          <w:rFonts w:ascii="Times New Roman" w:cs="Times New Roman" w:eastAsia="Times New Roman" w:hAnsi="Times New Roman"/>
          <w:sz w:val="24"/>
          <w:szCs w:val="24"/>
        </w:rPr>
        <w:t xml:space="preserve"> per gli effetti della detenzione. Il caso maggiore è quello di </w:t>
      </w:r>
      <w:r>
        <w:rPr>
          <w:rFonts w:ascii="Times New Roman" w:cs="Times New Roman" w:eastAsia="Times New Roman" w:hAnsi="Times New Roman"/>
          <w:b/>
          <w:bCs/>
          <w:sz w:val="24"/>
          <w:szCs w:val="24"/>
        </w:rPr>
        <w:t xml:space="preserve">Antonio Gramsci</w:t>
      </w:r>
      <w:r>
        <w:rPr>
          <w:rFonts w:ascii="Times New Roman" w:cs="Times New Roman" w:eastAsia="Times New Roman" w:hAnsi="Times New Roman"/>
          <w:sz w:val="24"/>
          <w:szCs w:val="24"/>
        </w:rPr>
        <w:t xml:space="preserve">, morto il 27 aprile 1937, pochi giorni dopo la fine formale della pena, dopo dieci anni di carcere che ne avevano distrutto la salute.</w:t>
      </w:r>
    </w:p>
    <w:p>
      <w:pPr>
        <w:pStyle w:val="Heading2"/>
        <w:spacing w:after="100" w:before="200"/>
      </w:pPr>
      <w:r>
        <w:rPr>
          <w:rFonts w:ascii="Times New Roman" w:cs="Times New Roman" w:eastAsia="Times New Roman" w:hAnsi="Times New Roman"/>
          <w:sz w:val="24"/>
          <w:szCs w:val="24"/>
        </w:rPr>
        <w:t xml:space="preserve">IV. I processi celebri: il «processone» e gli uomini che sarebbero tornati</w:t>
      </w:r>
    </w:p>
    <w:p>
      <w:pPr>
        <w:spacing w:after="120" w:line="276"/>
        <w:jc w:val="both"/>
      </w:pPr>
      <w:r>
        <w:rPr>
          <w:rFonts w:ascii="Times New Roman" w:cs="Times New Roman" w:eastAsia="Times New Roman" w:hAnsi="Times New Roman"/>
          <w:sz w:val="24"/>
          <w:szCs w:val="24"/>
        </w:rPr>
        <w:t xml:space="preserve">Il processo che definì il Tribunale davanti alla storia fu il </w:t>
      </w:r>
      <w:r>
        <w:rPr>
          <w:rFonts w:ascii="Times New Roman" w:cs="Times New Roman" w:eastAsia="Times New Roman" w:hAnsi="Times New Roman"/>
          <w:b/>
          <w:bCs/>
          <w:sz w:val="24"/>
          <w:szCs w:val="24"/>
        </w:rPr>
        <w:t xml:space="preserve">«processone»</w:t>
      </w:r>
      <w:r>
        <w:rPr>
          <w:rFonts w:ascii="Times New Roman" w:cs="Times New Roman" w:eastAsia="Times New Roman" w:hAnsi="Times New Roman"/>
          <w:sz w:val="24"/>
          <w:szCs w:val="24"/>
        </w:rPr>
        <w:t xml:space="preserve"> contro il gruppo dirigente del Partito Comunista d'Italia: si aprì a Roma il </w:t>
      </w:r>
      <w:r>
        <w:rPr>
          <w:rFonts w:ascii="Times New Roman" w:cs="Times New Roman" w:eastAsia="Times New Roman" w:hAnsi="Times New Roman"/>
          <w:b/>
          <w:bCs/>
          <w:sz w:val="24"/>
          <w:szCs w:val="24"/>
        </w:rPr>
        <w:t xml:space="preserve">28 maggio 1928</w:t>
      </w:r>
      <w:r>
        <w:rPr>
          <w:rFonts w:ascii="Times New Roman" w:cs="Times New Roman" w:eastAsia="Times New Roman" w:hAnsi="Times New Roman"/>
          <w:sz w:val="24"/>
          <w:szCs w:val="24"/>
        </w:rPr>
        <w:t xml:space="preserve">, con ventidue imputati fra cui </w:t>
      </w:r>
      <w:r>
        <w:rPr>
          <w:rFonts w:ascii="Times New Roman" w:cs="Times New Roman" w:eastAsia="Times New Roman" w:hAnsi="Times New Roman"/>
          <w:b/>
          <w:bCs/>
          <w:sz w:val="24"/>
          <w:szCs w:val="24"/>
        </w:rPr>
        <w:t xml:space="preserve">Antonio Gramsci, Umberto Terracini, Mauro Scoccimarro e Giovanni Roveda</w:t>
      </w:r>
      <w:r>
        <w:rPr>
          <w:rFonts w:ascii="Times New Roman" w:cs="Times New Roman" w:eastAsia="Times New Roman" w:hAnsi="Times New Roman"/>
          <w:sz w:val="24"/>
          <w:szCs w:val="24"/>
        </w:rPr>
        <w:t xml:space="preserve">, e si chiuse il </w:t>
      </w:r>
      <w:r>
        <w:rPr>
          <w:rFonts w:ascii="Times New Roman" w:cs="Times New Roman" w:eastAsia="Times New Roman" w:hAnsi="Times New Roman"/>
          <w:b/>
          <w:bCs/>
          <w:sz w:val="24"/>
          <w:szCs w:val="24"/>
        </w:rPr>
        <w:t xml:space="preserve">4 giugno 1928</w:t>
      </w:r>
      <w:r>
        <w:rPr>
          <w:rFonts w:ascii="Times New Roman" w:cs="Times New Roman" w:eastAsia="Times New Roman" w:hAnsi="Times New Roman"/>
          <w:sz w:val="24"/>
          <w:szCs w:val="24"/>
        </w:rPr>
        <w:t xml:space="preserve"> (PCI Genova, «Il processone» (http://www.pci-genova.it/il-processone-contro-i-comunisti/); IGS Italia (https://www.igsitalia.org/attivita-igs/cronache-degli-eventi-gramsciani/140-il-processo-non-ha-fine)). Il pubblico ministero era </w:t>
      </w:r>
      <w:r>
        <w:rPr>
          <w:rFonts w:ascii="Times New Roman" w:cs="Times New Roman" w:eastAsia="Times New Roman" w:hAnsi="Times New Roman"/>
          <w:b/>
          <w:bCs/>
          <w:sz w:val="24"/>
          <w:szCs w:val="24"/>
        </w:rPr>
        <w:t xml:space="preserve">Michele Isgrò</w:t>
      </w:r>
      <w:r>
        <w:rPr>
          <w:rFonts w:ascii="Times New Roman" w:cs="Times New Roman" w:eastAsia="Times New Roman" w:hAnsi="Times New Roman"/>
          <w:sz w:val="24"/>
          <w:szCs w:val="24"/>
        </w:rPr>
        <w:t xml:space="preserve">; alla requisitoria è attribuita la frase rimasta celebre — «</w:t>
      </w:r>
      <w:r>
        <w:rPr>
          <w:rFonts w:ascii="Times New Roman" w:cs="Times New Roman" w:eastAsia="Times New Roman" w:hAnsi="Times New Roman"/>
          <w:b/>
          <w:bCs/>
          <w:sz w:val="24"/>
          <w:szCs w:val="24"/>
        </w:rPr>
        <w:t xml:space="preserve">per vent'anni dobbiamo impedire a questo cervello di funzionare</w:t>
      </w:r>
      <w:r>
        <w:rPr>
          <w:rFonts w:ascii="Times New Roman" w:cs="Times New Roman" w:eastAsia="Times New Roman" w:hAnsi="Times New Roman"/>
          <w:sz w:val="24"/>
          <w:szCs w:val="24"/>
        </w:rPr>
        <w:t xml:space="preserve">» — tramandata dalla memorialistica e dalle cronache (la si cita qui come tale: tradizione consolidata, non atto processuale). Gramsci fu condannato a </w:t>
      </w:r>
      <w:r>
        <w:rPr>
          <w:rFonts w:ascii="Times New Roman" w:cs="Times New Roman" w:eastAsia="Times New Roman" w:hAnsi="Times New Roman"/>
          <w:b/>
          <w:bCs/>
          <w:sz w:val="24"/>
          <w:szCs w:val="24"/>
        </w:rPr>
        <w:t xml:space="preserve">20 anni, 4 mesi e 5 giorni</w:t>
      </w:r>
      <w:r>
        <w:rPr>
          <w:rFonts w:ascii="Times New Roman" w:cs="Times New Roman" w:eastAsia="Times New Roman" w:hAnsi="Times New Roman"/>
          <w:sz w:val="24"/>
          <w:szCs w:val="24"/>
        </w:rPr>
        <w:t xml:space="preserve">; Terracini alla pena più alta del processo, oltre ventidue anni.</w:t>
      </w:r>
    </w:p>
    <w:p>
      <w:pPr>
        <w:spacing w:after="120" w:line="276"/>
        <w:jc w:val="both"/>
      </w:pPr>
      <w:r>
        <w:rPr>
          <w:rFonts w:ascii="Times New Roman" w:cs="Times New Roman" w:eastAsia="Times New Roman" w:hAnsi="Times New Roman"/>
          <w:sz w:val="24"/>
          <w:szCs w:val="24"/>
        </w:rPr>
        <w:t xml:space="preserve">La lista dei condannati del Tribunale è, riletta oggi, una parte della classe dirigente della Repubblica che sarebbe nata: vi figurano — oltre a Gramsci, che non sopravvisse — </w:t>
      </w:r>
      <w:r>
        <w:rPr>
          <w:rFonts w:ascii="Times New Roman" w:cs="Times New Roman" w:eastAsia="Times New Roman" w:hAnsi="Times New Roman"/>
          <w:b/>
          <w:bCs/>
          <w:sz w:val="24"/>
          <w:szCs w:val="24"/>
        </w:rPr>
        <w:t xml:space="preserve">Umberto Terracini</w:t>
      </w:r>
      <w:r>
        <w:rPr>
          <w:rFonts w:ascii="Times New Roman" w:cs="Times New Roman" w:eastAsia="Times New Roman" w:hAnsi="Times New Roman"/>
          <w:sz w:val="24"/>
          <w:szCs w:val="24"/>
        </w:rPr>
        <w:t xml:space="preserve">, che nel 1947-48 avrebbe </w:t>
      </w:r>
      <w:r>
        <w:rPr>
          <w:rFonts w:ascii="Times New Roman" w:cs="Times New Roman" w:eastAsia="Times New Roman" w:hAnsi="Times New Roman"/>
          <w:b/>
          <w:bCs/>
          <w:sz w:val="24"/>
          <w:szCs w:val="24"/>
        </w:rPr>
        <w:t xml:space="preserve">presieduto l'Assemblea Costituente</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rPr>
        <w:t xml:space="preserve">Sandro Pertini</w:t>
      </w:r>
      <w:r>
        <w:rPr>
          <w:rFonts w:ascii="Times New Roman" w:cs="Times New Roman" w:eastAsia="Times New Roman" w:hAnsi="Times New Roman"/>
          <w:sz w:val="24"/>
          <w:szCs w:val="24"/>
        </w:rPr>
        <w:t xml:space="preserve">, condannato nel 1929, futuro </w:t>
      </w:r>
      <w:r>
        <w:rPr>
          <w:rFonts w:ascii="Times New Roman" w:cs="Times New Roman" w:eastAsia="Times New Roman" w:hAnsi="Times New Roman"/>
          <w:b/>
          <w:bCs/>
          <w:sz w:val="24"/>
          <w:szCs w:val="24"/>
        </w:rPr>
        <w:t xml:space="preserve">Presidente della Repubblica</w:t>
      </w:r>
      <w:r>
        <w:rPr>
          <w:rFonts w:ascii="Times New Roman" w:cs="Times New Roman" w:eastAsia="Times New Roman" w:hAnsi="Times New Roman"/>
          <w:sz w:val="24"/>
          <w:szCs w:val="24"/>
        </w:rPr>
        <w:t xml:space="preserve">. Il rovesciamento non è retorica: è un dato prosopografico. Gli imputati di ieri scrissero le regole che vietano il giudice di ieri.</w:t>
      </w:r>
    </w:p>
    <w:p>
      <w:pPr>
        <w:pStyle w:val="Heading2"/>
        <w:spacing w:after="100" w:before="200"/>
      </w:pPr>
      <w:r>
        <w:rPr>
          <w:rFonts w:ascii="Times New Roman" w:cs="Times New Roman" w:eastAsia="Times New Roman" w:hAnsi="Times New Roman"/>
          <w:sz w:val="24"/>
          <w:szCs w:val="24"/>
        </w:rPr>
        <w:t xml:space="preserve">V. Le amnistie: la clemenza come strumento del medesimo apparato</w:t>
      </w:r>
    </w:p>
    <w:p>
      <w:pPr>
        <w:spacing w:after="120" w:line="276"/>
        <w:jc w:val="both"/>
      </w:pPr>
      <w:r>
        <w:rPr>
          <w:rFonts w:ascii="Times New Roman" w:cs="Times New Roman" w:eastAsia="Times New Roman" w:hAnsi="Times New Roman"/>
          <w:sz w:val="24"/>
          <w:szCs w:val="24"/>
        </w:rPr>
        <w:t xml:space="preserve">Qui lo studio si salda al primo documento del branch. Durante il regime furono concesse </w:t>
      </w:r>
      <w:r>
        <w:rPr>
          <w:rFonts w:ascii="Times New Roman" w:cs="Times New Roman" w:eastAsia="Times New Roman" w:hAnsi="Times New Roman"/>
          <w:b/>
          <w:bCs/>
          <w:sz w:val="24"/>
          <w:szCs w:val="24"/>
        </w:rPr>
        <w:t xml:space="preserve">sette amnistie</w:t>
      </w:r>
      <w:r>
        <w:rPr>
          <w:rFonts w:ascii="Times New Roman" w:cs="Times New Roman" w:eastAsia="Times New Roman" w:hAnsi="Times New Roman"/>
          <w:sz w:val="24"/>
          <w:szCs w:val="24"/>
        </w:rPr>
        <w:t xml:space="preserve">; per i condannati del Tribunale Speciale contarono soprattutto due:</w:t>
      </w:r>
    </w:p>
    <w:p>
      <w:pPr>
        <w:pStyle w:val="ListParagraph"/>
        <w:numPr>
          <w:ilvl w:val="0"/>
          <w:numId w:val="1"/>
        </w:numPr>
        <w:spacing w:after="40"/>
        <w:jc w:val="both"/>
      </w:pPr>
      <w:r>
        <w:rPr>
          <w:rFonts w:ascii="Times New Roman" w:cs="Times New Roman" w:eastAsia="Times New Roman" w:hAnsi="Times New Roman"/>
          <w:sz w:val="24"/>
          <w:szCs w:val="24"/>
        </w:rPr>
        <w:t xml:space="preserve">l'</w:t>
      </w:r>
      <w:r>
        <w:rPr>
          <w:rFonts w:ascii="Times New Roman" w:cs="Times New Roman" w:eastAsia="Times New Roman" w:hAnsi="Times New Roman"/>
          <w:b/>
          <w:bCs/>
          <w:sz w:val="24"/>
          <w:szCs w:val="24"/>
        </w:rPr>
        <w:t xml:space="preserve">amnistia del decennale</w:t>
      </w:r>
      <w:r>
        <w:rPr>
          <w:rFonts w:ascii="Times New Roman" w:cs="Times New Roman" w:eastAsia="Times New Roman" w:hAnsi="Times New Roman"/>
          <w:sz w:val="24"/>
          <w:szCs w:val="24"/>
        </w:rPr>
        <w:t xml:space="preserve"> (novembre 1932), che liberò </w:t>
      </w:r>
      <w:r>
        <w:rPr>
          <w:rFonts w:ascii="Times New Roman" w:cs="Times New Roman" w:eastAsia="Times New Roman" w:hAnsi="Times New Roman"/>
          <w:b/>
          <w:bCs/>
          <w:sz w:val="24"/>
          <w:szCs w:val="24"/>
        </w:rPr>
        <w:t xml:space="preserve">639 dei 1.056 detenuti</w:t>
      </w:r>
      <w:r>
        <w:rPr>
          <w:rFonts w:ascii="Times New Roman" w:cs="Times New Roman" w:eastAsia="Times New Roman" w:hAnsi="Times New Roman"/>
          <w:sz w:val="24"/>
          <w:szCs w:val="24"/>
        </w:rPr>
        <w:t xml:space="preserve"> allora in carcere per condanne del Tribunale, più </w:t>
      </w:r>
      <w:r>
        <w:rPr>
          <w:rFonts w:ascii="Times New Roman" w:cs="Times New Roman" w:eastAsia="Times New Roman" w:hAnsi="Times New Roman"/>
          <w:b/>
          <w:bCs/>
          <w:sz w:val="24"/>
          <w:szCs w:val="24"/>
        </w:rPr>
        <w:t xml:space="preserve">595 confinati</w:t>
      </w:r>
      <w:r>
        <w:rPr>
          <w:rFonts w:ascii="Times New Roman" w:cs="Times New Roman" w:eastAsia="Times New Roman" w:hAnsi="Times New Roman"/>
          <w:sz w:val="24"/>
          <w:szCs w:val="24"/>
        </w:rPr>
        <w:t xml:space="preserve"> — è l'amnistia da cui proviene la quasi totalità dei nomi dell'elenco bolognese del branch;</w:t>
      </w:r>
    </w:p>
    <w:p>
      <w:pPr>
        <w:pStyle w:val="ListParagraph"/>
        <w:numPr>
          <w:ilvl w:val="0"/>
          <w:numId w:val="1"/>
        </w:numPr>
        <w:spacing w:after="40"/>
        <w:jc w:val="both"/>
      </w:pPr>
      <w:r>
        <w:rPr>
          <w:rFonts w:ascii="Times New Roman" w:cs="Times New Roman" w:eastAsia="Times New Roman" w:hAnsi="Times New Roman"/>
          <w:sz w:val="24"/>
          <w:szCs w:val="24"/>
        </w:rPr>
        <w:t xml:space="preserve">l'</w:t>
      </w:r>
      <w:r>
        <w:rPr>
          <w:rFonts w:ascii="Times New Roman" w:cs="Times New Roman" w:eastAsia="Times New Roman" w:hAnsi="Times New Roman"/>
          <w:b/>
          <w:bCs/>
          <w:sz w:val="24"/>
          <w:szCs w:val="24"/>
        </w:rPr>
        <w:t xml:space="preserve">amnistia del ventennale</w:t>
      </w:r>
      <w:r>
        <w:rPr>
          <w:rFonts w:ascii="Times New Roman" w:cs="Times New Roman" w:eastAsia="Times New Roman" w:hAnsi="Times New Roman"/>
          <w:sz w:val="24"/>
          <w:szCs w:val="24"/>
        </w:rPr>
        <w:t xml:space="preserve"> (17 ottobre 1942), di portata molto limitata.</w:t>
      </w:r>
    </w:p>
    <w:p>
      <w:pPr>
        <w:spacing w:after="120" w:line="276"/>
        <w:jc w:val="both"/>
      </w:pPr>
      <w:r>
        <w:rPr>
          <w:rFonts w:ascii="Times New Roman" w:cs="Times New Roman" w:eastAsia="Times New Roman" w:hAnsi="Times New Roman"/>
          <w:sz w:val="24"/>
          <w:szCs w:val="24"/>
        </w:rPr>
        <w:t xml:space="preserve">Il punto interpretativo, documentato dalle stesse schede individuali dell'archivio bolognese, è che </w:t>
      </w:r>
      <w:r>
        <w:rPr>
          <w:rFonts w:ascii="Times New Roman" w:cs="Times New Roman" w:eastAsia="Times New Roman" w:hAnsi="Times New Roman"/>
          <w:b/>
          <w:bCs/>
          <w:sz w:val="24"/>
          <w:szCs w:val="24"/>
        </w:rPr>
        <w:t xml:space="preserve">la clemenza non smontava l'apparato: lo completava</w:t>
      </w:r>
      <w:r>
        <w:rPr>
          <w:rFonts w:ascii="Times New Roman" w:cs="Times New Roman" w:eastAsia="Times New Roman" w:hAnsi="Times New Roman"/>
          <w:sz w:val="24"/>
          <w:szCs w:val="24"/>
        </w:rPr>
        <w:t xml:space="preserve">. Gli amnistiati uscivano dal carcere ed entravano quasi sempre in un regime di </w:t>
      </w:r>
      <w:r>
        <w:rPr>
          <w:rFonts w:ascii="Times New Roman" w:cs="Times New Roman" w:eastAsia="Times New Roman" w:hAnsi="Times New Roman"/>
          <w:b/>
          <w:bCs/>
          <w:sz w:val="24"/>
          <w:szCs w:val="24"/>
        </w:rPr>
        <w:t xml:space="preserve">confino, ammonizione o vigilanza speciale</w:t>
      </w:r>
      <w:r>
        <w:rPr>
          <w:rFonts w:ascii="Times New Roman" w:cs="Times New Roman" w:eastAsia="Times New Roman" w:hAnsi="Times New Roman"/>
          <w:sz w:val="24"/>
          <w:szCs w:val="24"/>
        </w:rPr>
        <w:t xml:space="preserve"> (si vedano, nell'elenco, i casi Alberoni, Benfenati, Fabbri Andrea, Serantoni); molti furono ricondannati dallo stesso Tribunale pochi anni dopo (Benfenati, 1938). L'amnistia del decennale fu un atto di propaganda del regime nel suo anniversario — la dittatura che si mostra magnanima verso nemici già piegati — non una restituzione di diritti: il sorvegliato speciale è un condannato con la pena trasformata. Il primo documento del branch e questo studio descrivono così </w:t>
      </w:r>
      <w:r>
        <w:rPr>
          <w:rFonts w:ascii="Times New Roman" w:cs="Times New Roman" w:eastAsia="Times New Roman" w:hAnsi="Times New Roman"/>
          <w:b/>
          <w:bCs/>
          <w:sz w:val="24"/>
          <w:szCs w:val="24"/>
        </w:rPr>
        <w:t xml:space="preserve">le due facce dello stesso congegno</w:t>
      </w:r>
      <w:r>
        <w:rPr>
          <w:rFonts w:ascii="Times New Roman" w:cs="Times New Roman" w:eastAsia="Times New Roman" w:hAnsi="Times New Roman"/>
          <w:sz w:val="24"/>
          <w:szCs w:val="24"/>
        </w:rPr>
        <w:t xml:space="preserve">: il colpo e la grazia, entrambi nelle stesse mani.</w:t>
      </w:r>
    </w:p>
    <w:p>
      <w:pPr>
        <w:pStyle w:val="Heading2"/>
        <w:spacing w:after="100" w:before="200"/>
      </w:pPr>
      <w:r>
        <w:rPr>
          <w:rFonts w:ascii="Times New Roman" w:cs="Times New Roman" w:eastAsia="Times New Roman" w:hAnsi="Times New Roman"/>
          <w:sz w:val="24"/>
          <w:szCs w:val="24"/>
        </w:rPr>
        <w:t xml:space="preserve">VI. La fine e le due eredità (1943-1948)</w:t>
      </w:r>
    </w:p>
    <w:p>
      <w:pPr>
        <w:spacing w:after="120" w:line="276"/>
        <w:jc w:val="both"/>
      </w:pPr>
      <w:r>
        <w:rPr>
          <w:rFonts w:ascii="Times New Roman" w:cs="Times New Roman" w:eastAsia="Times New Roman" w:hAnsi="Times New Roman"/>
          <w:sz w:val="24"/>
          <w:szCs w:val="24"/>
        </w:rPr>
        <w:t xml:space="preserve">Il Tribunale Speciale fu </w:t>
      </w:r>
      <w:r>
        <w:rPr>
          <w:rFonts w:ascii="Times New Roman" w:cs="Times New Roman" w:eastAsia="Times New Roman" w:hAnsi="Times New Roman"/>
          <w:b/>
          <w:bCs/>
          <w:sz w:val="24"/>
          <w:szCs w:val="24"/>
        </w:rPr>
        <w:t xml:space="preserve">soppresso con il regio decreto-legge 29 luglio 1943, n. 668</w:t>
      </w:r>
      <w:r>
        <w:rPr>
          <w:rFonts w:ascii="Times New Roman" w:cs="Times New Roman" w:eastAsia="Times New Roman" w:hAnsi="Times New Roman"/>
          <w:sz w:val="24"/>
          <w:szCs w:val="24"/>
        </w:rPr>
        <w:t xml:space="preserve">, uno dei primi atti del governo Badoglio dopo la caduta del fascismo del 25 luglio (vLex, R.D.L. 668/1943 (https://it.vlex.com/vid/regio-decreto-legge-29-862142053)). Alla data della soppressione aveva comminato — la formula è quella degli atti — ventisettemilasettecentocinquantadue anni di reclusione e quarantadue pene di morte.</w:t>
      </w:r>
    </w:p>
    <w:p>
      <w:pPr>
        <w:spacing w:after="120" w:line="276"/>
        <w:jc w:val="both"/>
      </w:pPr>
      <w:r>
        <w:rPr>
          <w:rFonts w:ascii="Times New Roman" w:cs="Times New Roman" w:eastAsia="Times New Roman" w:hAnsi="Times New Roman"/>
          <w:sz w:val="24"/>
          <w:szCs w:val="24"/>
        </w:rPr>
        <w:t xml:space="preserve">Ma la storia dell'istituto ebbe </w:t>
      </w:r>
      <w:r>
        <w:rPr>
          <w:rFonts w:ascii="Times New Roman" w:cs="Times New Roman" w:eastAsia="Times New Roman" w:hAnsi="Times New Roman"/>
          <w:b/>
          <w:bCs/>
          <w:sz w:val="24"/>
          <w:szCs w:val="24"/>
        </w:rPr>
        <w:t xml:space="preserve">due eredità di segno opposto</w:t>
      </w:r>
      <w:r>
        <w:rPr>
          <w:rFonts w:ascii="Times New Roman" w:cs="Times New Roman" w:eastAsia="Times New Roman" w:hAnsi="Times New Roman"/>
          <w:sz w:val="24"/>
          <w:szCs w:val="24"/>
        </w:rPr>
        <w:t xml:space="preserve">:</w:t>
      </w:r>
    </w:p>
    <w:p>
      <w:pPr>
        <w:spacing w:after="40"/>
        <w:ind w:left="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La replica.</w:t>
      </w:r>
      <w:r>
        <w:rPr>
          <w:rFonts w:ascii="Times New Roman" w:cs="Times New Roman" w:eastAsia="Times New Roman" w:hAnsi="Times New Roman"/>
          <w:sz w:val="24"/>
          <w:szCs w:val="24"/>
        </w:rPr>
        <w:t xml:space="preserve"> La Repubblica Sociale Italiana ricreò nel proprio territorio un apparato di giustizia politica speciale — il Tribunale speciale per la difesa dello Stato della RSI e il Tribunale speciale straordinario che a </w:t>
      </w:r>
      <w:r>
        <w:rPr>
          <w:rFonts w:ascii="Times New Roman" w:cs="Times New Roman" w:eastAsia="Times New Roman" w:hAnsi="Times New Roman"/>
          <w:b/>
          <w:bCs/>
          <w:sz w:val="24"/>
          <w:szCs w:val="24"/>
        </w:rPr>
        <w:t xml:space="preserve">Verona, nel gennaio 1944</w:t>
      </w:r>
      <w:r>
        <w:rPr>
          <w:rFonts w:ascii="Times New Roman" w:cs="Times New Roman" w:eastAsia="Times New Roman" w:hAnsi="Times New Roman"/>
          <w:sz w:val="24"/>
          <w:szCs w:val="24"/>
        </w:rPr>
        <w:t xml:space="preserve">, condannò a morte i «traditori» del Gran Consiglio (fucilazione di Ciano, De Bono e altri). Lo strumento, cioè, sopravvisse alla propria soppressione ovunque sopravvisse il potere che l'aveva creato (cfr. A. Grilli, </w:t>
      </w:r>
      <w:r>
        <w:rPr>
          <w:rFonts w:ascii="Times New Roman" w:cs="Times New Roman" w:eastAsia="Times New Roman" w:hAnsi="Times New Roman"/>
          <w:i/>
          <w:iCs/>
          <w:sz w:val="24"/>
          <w:szCs w:val="24"/>
        </w:rPr>
        <w:t xml:space="preserve">Resistenza e repressione. Il Tribunale speciale per la difesa dello Stato nella RSI</w:t>
      </w:r>
      <w:r>
        <w:rPr>
          <w:rFonts w:ascii="Times New Roman" w:cs="Times New Roman" w:eastAsia="Times New Roman" w:hAnsi="Times New Roman"/>
          <w:sz w:val="24"/>
          <w:szCs w:val="24"/>
        </w:rPr>
        <w:t xml:space="preserve">, Letture.org (https://www.letture.org/resistenza-e-repressione-il-tribunale-speciale-per-la-difesa-dello-stato-nella-rsi-antonio-grilli)).</w:t>
      </w:r>
    </w:p>
    <w:p>
      <w:pPr>
        <w:spacing w:after="40"/>
        <w:ind w:left="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Il divieto.</w:t>
      </w:r>
      <w:r>
        <w:rPr>
          <w:rFonts w:ascii="Times New Roman" w:cs="Times New Roman" w:eastAsia="Times New Roman" w:hAnsi="Times New Roman"/>
          <w:sz w:val="24"/>
          <w:szCs w:val="24"/>
        </w:rPr>
        <w:t xml:space="preserve"> L'Assemblea Costituente — presieduta da Terracini, condannato del «processone»; fra i suoi membri il giovane </w:t>
      </w:r>
      <w:r>
        <w:rPr>
          <w:rFonts w:ascii="Times New Roman" w:cs="Times New Roman" w:eastAsia="Times New Roman" w:hAnsi="Times New Roman"/>
          <w:b/>
          <w:bCs/>
          <w:sz w:val="24"/>
          <w:szCs w:val="24"/>
        </w:rPr>
        <w:t xml:space="preserve">Aldo Moro</w:t>
      </w:r>
      <w:r>
        <w:rPr>
          <w:rFonts w:ascii="Times New Roman" w:cs="Times New Roman" w:eastAsia="Times New Roman" w:hAnsi="Times New Roman"/>
          <w:sz w:val="24"/>
          <w:szCs w:val="24"/>
        </w:rPr>
        <w:t xml:space="preserve">, costituente nel 1946 — scolpì il rifiuto dell'esperienza nell'</w:t>
      </w:r>
      <w:r>
        <w:rPr>
          <w:rFonts w:ascii="Times New Roman" w:cs="Times New Roman" w:eastAsia="Times New Roman" w:hAnsi="Times New Roman"/>
          <w:b/>
          <w:bCs/>
          <w:sz w:val="24"/>
          <w:szCs w:val="24"/>
        </w:rPr>
        <w:t xml:space="preserve">articolo 102, secondo comma, della Costituzione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Non possono essere istituiti giudici straordinari o giudici speciali</w:t>
      </w:r>
      <w:r>
        <w:rPr>
          <w:rFonts w:ascii="Times New Roman" w:cs="Times New Roman" w:eastAsia="Times New Roman" w:hAnsi="Times New Roman"/>
          <w:sz w:val="24"/>
          <w:szCs w:val="24"/>
        </w:rPr>
        <w:t xml:space="preserve">» (Magistratura Democratica (https://www.magistraturademocratica.it/articolo/25-aprile-costituzione-giurisdizione-20874/)). Con l'articolo 27 la Costituzione bandì anche la pena di morte dall'ordinamento ordinario. Il Tribunale Speciale è, in negativo, dentro la Costituzione: le sue vittime ne furono in parte gli autori, e ciò che esso era stato — giudice di parte, rito di guerra, pena capitale politica — divenne l'elenco di ciò che la Repubblica si vietò per sempre.</w:t>
      </w:r>
    </w:p>
    <w:p>
      <w:pPr>
        <w:pStyle w:val="Heading2"/>
        <w:spacing w:after="100" w:before="200"/>
      </w:pPr>
      <w:r>
        <w:rPr>
          <w:rFonts w:ascii="Times New Roman" w:cs="Times New Roman" w:eastAsia="Times New Roman" w:hAnsi="Times New Roman"/>
          <w:sz w:val="24"/>
          <w:szCs w:val="24"/>
        </w:rPr>
        <w:t xml:space="preserve">VII. Il cerchio del branch, e i suoi limiti</w:t>
      </w:r>
    </w:p>
    <w:p>
      <w:pPr>
        <w:spacing w:after="120" w:line="276"/>
        <w:jc w:val="both"/>
      </w:pPr>
      <w:r>
        <w:rPr>
          <w:rFonts w:ascii="Times New Roman" w:cs="Times New Roman" w:eastAsia="Times New Roman" w:hAnsi="Times New Roman"/>
          <w:sz w:val="24"/>
          <w:szCs w:val="24"/>
        </w:rPr>
        <w:t xml:space="preserve">Con questo studio il branch chiude il proprio cerchio tematico: era partito dai </w:t>
      </w:r>
      <w:r>
        <w:rPr>
          <w:rFonts w:ascii="Times New Roman" w:cs="Times New Roman" w:eastAsia="Times New Roman" w:hAnsi="Times New Roman"/>
          <w:b/>
          <w:bCs/>
          <w:sz w:val="24"/>
          <w:szCs w:val="24"/>
        </w:rPr>
        <w:t xml:space="preserve">nomi</w:t>
      </w:r>
      <w:r>
        <w:rPr>
          <w:rFonts w:ascii="Times New Roman" w:cs="Times New Roman" w:eastAsia="Times New Roman" w:hAnsi="Times New Roman"/>
          <w:sz w:val="24"/>
          <w:szCs w:val="24"/>
        </w:rPr>
        <w:t xml:space="preserve"> (gli amnistiati bolognesi) ed arriva all'</w:t>
      </w:r>
      <w:r>
        <w:rPr>
          <w:rFonts w:ascii="Times New Roman" w:cs="Times New Roman" w:eastAsia="Times New Roman" w:hAnsi="Times New Roman"/>
          <w:b/>
          <w:bCs/>
          <w:sz w:val="24"/>
          <w:szCs w:val="24"/>
        </w:rPr>
        <w:t xml:space="preserve">istituzione</w:t>
      </w:r>
      <w:r>
        <w:rPr>
          <w:rFonts w:ascii="Times New Roman" w:cs="Times New Roman" w:eastAsia="Times New Roman" w:hAnsi="Times New Roman"/>
          <w:sz w:val="24"/>
          <w:szCs w:val="24"/>
        </w:rPr>
        <w:t xml:space="preserve">; in mezzo stanno i fili guevariani e morotei. I ponti interni vanno però dichiarati con la consueta disciplina:</w:t>
      </w:r>
    </w:p>
    <w:p>
      <w:pPr>
        <w:pStyle w:val="ListParagraph"/>
        <w:numPr>
          <w:ilvl w:val="0"/>
          <w:numId w:val="1"/>
        </w:numPr>
        <w:spacing w:after="40"/>
        <w:jc w:val="both"/>
      </w:pPr>
      <w:r>
        <w:rPr>
          <w:rFonts w:ascii="Times New Roman" w:cs="Times New Roman" w:eastAsia="Times New Roman" w:hAnsi="Times New Roman"/>
          <w:b/>
          <w:bCs/>
          <w:sz w:val="24"/>
          <w:szCs w:val="24"/>
        </w:rPr>
        <w:t xml:space="preserve">Ponte documentato</w:t>
      </w:r>
      <w:r>
        <w:rPr>
          <w:rFonts w:ascii="Times New Roman" w:cs="Times New Roman" w:eastAsia="Times New Roman" w:hAnsi="Times New Roman"/>
          <w:sz w:val="24"/>
          <w:szCs w:val="24"/>
        </w:rPr>
        <w:t xml:space="preserve"> con </w:t>
      </w:r>
      <w:r>
        <w:rPr>
          <w:rFonts w:ascii="Times New Roman" w:cs="Times New Roman" w:eastAsia="Times New Roman" w:hAnsi="Times New Roman"/>
          <w:i/>
          <w:iCs/>
          <w:sz w:val="24"/>
          <w:szCs w:val="24"/>
        </w:rPr>
        <w:t xml:space="preserve">amnistiati-tribunale-speciale.md</w:t>
      </w:r>
      <w:r>
        <w:rPr>
          <w:rFonts w:ascii="Times New Roman" w:cs="Times New Roman" w:eastAsia="Times New Roman" w:hAnsi="Times New Roman"/>
          <w:sz w:val="24"/>
          <w:szCs w:val="24"/>
        </w:rPr>
        <w:t xml:space="preserve">: le cifre nazionali del decennale (639/1.056 + 595) e i casi individuali dell'elenco sono due scale della stessa vicenda; lo studio fornisce il quadro che le schede presupponevano.</w:t>
      </w:r>
    </w:p>
    <w:p>
      <w:pPr>
        <w:pStyle w:val="ListParagraph"/>
        <w:numPr>
          <w:ilvl w:val="0"/>
          <w:numId w:val="1"/>
        </w:numPr>
        <w:spacing w:after="40"/>
        <w:jc w:val="both"/>
      </w:pPr>
      <w:r>
        <w:rPr>
          <w:rFonts w:ascii="Times New Roman" w:cs="Times New Roman" w:eastAsia="Times New Roman" w:hAnsi="Times New Roman"/>
          <w:b/>
          <w:bCs/>
          <w:sz w:val="24"/>
          <w:szCs w:val="24"/>
        </w:rPr>
        <w:t xml:space="preserve">Ponte documentato</w:t>
      </w:r>
      <w:r>
        <w:rPr>
          <w:rFonts w:ascii="Times New Roman" w:cs="Times New Roman" w:eastAsia="Times New Roman" w:hAnsi="Times New Roman"/>
          <w:sz w:val="24"/>
          <w:szCs w:val="24"/>
        </w:rPr>
        <w:t xml:space="preserve"> con il caso Moro: Moro fu </w:t>
      </w:r>
      <w:r>
        <w:rPr>
          <w:rFonts w:ascii="Times New Roman" w:cs="Times New Roman" w:eastAsia="Times New Roman" w:hAnsi="Times New Roman"/>
          <w:b/>
          <w:bCs/>
          <w:sz w:val="24"/>
          <w:szCs w:val="24"/>
        </w:rPr>
        <w:t xml:space="preserve">costituente</w:t>
      </w:r>
      <w:r>
        <w:rPr>
          <w:rFonts w:ascii="Times New Roman" w:cs="Times New Roman" w:eastAsia="Times New Roman" w:hAnsi="Times New Roman"/>
          <w:sz w:val="24"/>
          <w:szCs w:val="24"/>
        </w:rPr>
        <w:t xml:space="preserve"> — appartenne all'assemblea che scrisse il divieto dell'art. 102 nato da questa esperienza. È un ponte biografico-istituzionale, non una tesi: l'uomo che le BR avrebbero «processato» in una «prigione del popolo» nel 1978 aveva contribuito a fondare l'ordinamento che vieta ogni giudice speciale. L'accostamento fra il Tribunale del regime e il «processo» brigatista a Moro è invece una </w:t>
      </w:r>
      <w:r>
        <w:rPr>
          <w:rFonts w:ascii="Times New Roman" w:cs="Times New Roman" w:eastAsia="Times New Roman" w:hAnsi="Times New Roman"/>
          <w:b/>
          <w:bCs/>
          <w:sz w:val="24"/>
          <w:szCs w:val="24"/>
        </w:rPr>
        <w:t xml:space="preserve">convergenza simbolica</w:t>
      </w:r>
      <w:r>
        <w:rPr>
          <w:rFonts w:ascii="Times New Roman" w:cs="Times New Roman" w:eastAsia="Times New Roman" w:hAnsi="Times New Roman"/>
          <w:sz w:val="24"/>
          <w:szCs w:val="24"/>
        </w:rPr>
        <w:t xml:space="preserve"> (il giudice di parte che si traveste da tribunale), non un nesso storico: lo si registra e lo si lascia lì.</w:t>
      </w:r>
    </w:p>
    <w:p>
      <w:pPr>
        <w:pStyle w:val="ListParagraph"/>
        <w:numPr>
          <w:ilvl w:val="0"/>
          <w:numId w:val="1"/>
        </w:numPr>
        <w:spacing w:after="40"/>
        <w:jc w:val="both"/>
      </w:pPr>
      <w:r>
        <w:rPr>
          <w:rFonts w:ascii="Times New Roman" w:cs="Times New Roman" w:eastAsia="Times New Roman" w:hAnsi="Times New Roman"/>
          <w:b/>
          <w:bCs/>
          <w:sz w:val="24"/>
          <w:szCs w:val="24"/>
        </w:rPr>
        <w:t xml:space="preserve">Convergenza tematica</w:t>
      </w:r>
      <w:r>
        <w:rPr>
          <w:rFonts w:ascii="Times New Roman" w:cs="Times New Roman" w:eastAsia="Times New Roman" w:hAnsi="Times New Roman"/>
          <w:sz w:val="24"/>
          <w:szCs w:val="24"/>
        </w:rPr>
        <w:t xml:space="preserve"> già dichiarata (triangolazione Feltrinelli, ponte B-6): l'asse fascismo/antifascismo attraversa il branch — il Tribunale colpì l'antifascismo; i GAP del 1970 ne ripresero </w:t>
      </w:r>
      <w:r>
        <w:rPr>
          <w:rFonts w:ascii="Times New Roman" w:cs="Times New Roman" w:eastAsia="Times New Roman" w:hAnsi="Times New Roman"/>
          <w:b/>
          <w:bCs/>
          <w:sz w:val="24"/>
          <w:szCs w:val="24"/>
        </w:rPr>
        <w:t xml:space="preserve">il nome</w:t>
      </w:r>
      <w:r>
        <w:rPr>
          <w:rFonts w:ascii="Times New Roman" w:cs="Times New Roman" w:eastAsia="Times New Roman" w:hAnsi="Times New Roman"/>
          <w:sz w:val="24"/>
          <w:szCs w:val="24"/>
        </w:rPr>
        <w:t xml:space="preserve"> dalla Resistenza senza alcuna continuità reale. Nessuna promozione a nesso.</w:t>
      </w:r>
    </w:p>
    <w:p>
      <w:pPr>
        <w:spacing w:after="120" w:line="276"/>
        <w:jc w:val="both"/>
      </w:pPr>
      <w:r>
        <w:rPr>
          <w:rFonts w:ascii="Times New Roman" w:cs="Times New Roman" w:eastAsia="Times New Roman" w:hAnsi="Times New Roman"/>
          <w:b/>
          <w:bCs/>
          <w:sz w:val="24"/>
          <w:szCs w:val="24"/>
        </w:rPr>
        <w:t xml:space="preserve">Divergenze da presidiare.</w:t>
      </w:r>
      <w:r>
        <w:rPr>
          <w:rFonts w:ascii="Times New Roman" w:cs="Times New Roman" w:eastAsia="Times New Roman" w:hAnsi="Times New Roman"/>
          <w:sz w:val="24"/>
          <w:szCs w:val="24"/>
        </w:rPr>
        <w:t xml:space="preserve"> Questo studio non autorizza equazioni: il Tribunale Speciale fu un organo di uno Stato dittatoriale contro i suoi oppositori; nessun istituto della Repubblica, per quanto criticabile, gli è assimilabile, e ogni uso polemico contemporaneo della comparazione esce dal terreno documentato di queste pagine.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Fonti</w:t>
      </w:r>
    </w:p>
    <w:p>
      <w:pPr>
        <w:pStyle w:val="ListParagraph"/>
        <w:numPr>
          <w:ilvl w:val="0"/>
          <w:numId w:val="1"/>
        </w:numPr>
        <w:spacing w:after="40"/>
        <w:jc w:val="both"/>
      </w:pPr>
      <w:r>
        <w:rPr>
          <w:rFonts w:ascii="Times New Roman" w:cs="Times New Roman" w:eastAsia="Times New Roman" w:hAnsi="Times New Roman"/>
          <w:b/>
          <w:bCs/>
          <w:sz w:val="24"/>
          <w:szCs w:val="24"/>
        </w:rPr>
        <w:t xml:space="preserve">ANPPIA</w:t>
      </w:r>
      <w:r>
        <w:rPr>
          <w:rFonts w:ascii="Times New Roman" w:cs="Times New Roman" w:eastAsia="Times New Roman" w:hAnsi="Times New Roman"/>
          <w:sz w:val="24"/>
          <w:szCs w:val="24"/>
        </w:rPr>
        <w:t xml:space="preserve"> (Associazione Nazionale Perseguitati Politici Italiani Antifascisti), «Il Tribunale Speciale» (anppia.it (https://anppia.it/il-tribunale-speciale/)) e scheda Della Maggiora (link (https://anppia.it/antifascisti/della-maggiora-michele/)) — l'associazione erede del censimento Dal Pont, fonte delle cifre consolidate.</w:t>
      </w:r>
    </w:p>
    <w:p>
      <w:pPr>
        <w:pStyle w:val="ListParagraph"/>
        <w:numPr>
          <w:ilvl w:val="0"/>
          <w:numId w:val="1"/>
        </w:numPr>
        <w:spacing w:after="40"/>
        <w:jc w:val="both"/>
      </w:pPr>
      <w:r>
        <w:rPr>
          <w:rFonts w:ascii="Times New Roman" w:cs="Times New Roman" w:eastAsia="Times New Roman" w:hAnsi="Times New Roman"/>
          <w:b/>
          <w:bCs/>
          <w:sz w:val="24"/>
          <w:szCs w:val="24"/>
        </w:rPr>
        <w:t xml:space="preserve">ANPI</w:t>
      </w:r>
      <w:r>
        <w:rPr>
          <w:rFonts w:ascii="Times New Roman" w:cs="Times New Roman" w:eastAsia="Times New Roman" w:hAnsi="Times New Roman"/>
          <w:sz w:val="24"/>
          <w:szCs w:val="24"/>
        </w:rPr>
        <w:t xml:space="preserve">, «Il Tribunale speciale per la difesa dello Stato (1927-1943)» (promemoria.anpi.it (https://promemoria.anpi.it/2656-2/)) e scheda libro (anpi.it (https://www.anpi.it/libri/il-tribunale-speciale-la-difesa-dello-stato)).</w:t>
      </w:r>
    </w:p>
    <w:p>
      <w:pPr>
        <w:pStyle w:val="ListParagraph"/>
        <w:numPr>
          <w:ilvl w:val="0"/>
          <w:numId w:val="1"/>
        </w:numPr>
        <w:spacing w:after="40"/>
        <w:jc w:val="both"/>
      </w:pPr>
      <w:r>
        <w:rPr>
          <w:rFonts w:ascii="Times New Roman" w:cs="Times New Roman" w:eastAsia="Times New Roman" w:hAnsi="Times New Roman"/>
          <w:b/>
          <w:bCs/>
          <w:sz w:val="24"/>
          <w:szCs w:val="24"/>
        </w:rPr>
        <w:t xml:space="preserve">Archivio Centrale dello Stato</w:t>
      </w:r>
      <w:r>
        <w:rPr>
          <w:rFonts w:ascii="Times New Roman" w:cs="Times New Roman" w:eastAsia="Times New Roman" w:hAnsi="Times New Roman"/>
          <w:sz w:val="24"/>
          <w:szCs w:val="24"/>
        </w:rPr>
        <w:t xml:space="preserve">, fondo Tribunale Speciale (search.acs.beniculturali.it (https://search.acs.beniculturali.it/OpacACS/authority/IT-ACS-SP00001-00000424)).</w:t>
      </w:r>
    </w:p>
    <w:p>
      <w:pPr>
        <w:pStyle w:val="ListParagraph"/>
        <w:numPr>
          <w:ilvl w:val="0"/>
          <w:numId w:val="1"/>
        </w:numPr>
        <w:spacing w:after="40"/>
        <w:jc w:val="both"/>
      </w:pPr>
      <w:r>
        <w:rPr>
          <w:rFonts w:ascii="Times New Roman" w:cs="Times New Roman" w:eastAsia="Times New Roman" w:hAnsi="Times New Roman"/>
          <w:b/>
          <w:bCs/>
          <w:sz w:val="24"/>
          <w:szCs w:val="24"/>
        </w:rPr>
        <w:t xml:space="preserve">R.D.L. 29 luglio 1943, n. 668</w:t>
      </w:r>
      <w:r>
        <w:rPr>
          <w:rFonts w:ascii="Times New Roman" w:cs="Times New Roman" w:eastAsia="Times New Roman" w:hAnsi="Times New Roman"/>
          <w:sz w:val="24"/>
          <w:szCs w:val="24"/>
        </w:rPr>
        <w:t xml:space="preserve"> (soppressione) — vLex Italia (https://it.vlex.com/vid/regio-decreto-legge-29-862142053).</w:t>
      </w:r>
    </w:p>
    <w:p>
      <w:pPr>
        <w:pStyle w:val="ListParagraph"/>
        <w:numPr>
          <w:ilvl w:val="0"/>
          <w:numId w:val="1"/>
        </w:numPr>
        <w:spacing w:after="40"/>
        <w:jc w:val="both"/>
      </w:pPr>
      <w:r>
        <w:rPr>
          <w:rFonts w:ascii="Times New Roman" w:cs="Times New Roman" w:eastAsia="Times New Roman" w:hAnsi="Times New Roman"/>
          <w:sz w:val="24"/>
          <w:szCs w:val="24"/>
        </w:rPr>
        <w:t xml:space="preserve">Voci enciclopediche per i fatti non controversi: Tribunale speciale (1926-1943) (https://it.wikipedia.org/wiki/Tribunale_speciale_per_la_difesa_dello_Stato_(1926-1943)); Condannati a morte dal Tribunale speciale (https://it.wikipedia.org/wiki/Condannati_a_morte_dal_Tribunale_speciale_per_la_difesa_dello_Stato); Michele Della Maggiora (https://it.wikipedia.org/wiki/Michele_Della_Maggiora).</w:t>
      </w:r>
    </w:p>
    <w:p>
      <w:pPr>
        <w:pStyle w:val="ListParagraph"/>
        <w:numPr>
          <w:ilvl w:val="0"/>
          <w:numId w:val="1"/>
        </w:numPr>
        <w:spacing w:after="40"/>
        <w:jc w:val="both"/>
      </w:pPr>
      <w:r>
        <w:rPr>
          <w:rFonts w:ascii="Times New Roman" w:cs="Times New Roman" w:eastAsia="Times New Roman" w:hAnsi="Times New Roman"/>
          <w:sz w:val="24"/>
          <w:szCs w:val="24"/>
        </w:rPr>
        <w:t xml:space="preserve">Sul «processone»: PCI Genova (http://www.pci-genova.it/il-processone-contro-i-comunisti/); IGS Italia (https://www.igsitalia.org/attivita-igs/cronache-degli-eventi-gramsciani/140-il-processo-non-ha-fine). La frase di Isgrò è citata come tradizione memorialistica, non come atto processuale.</w:t>
      </w:r>
    </w:p>
    <w:p>
      <w:pPr>
        <w:pStyle w:val="ListParagraph"/>
        <w:numPr>
          <w:ilvl w:val="0"/>
          <w:numId w:val="1"/>
        </w:numPr>
        <w:spacing w:after="40"/>
        <w:jc w:val="both"/>
      </w:pPr>
      <w:r>
        <w:rPr>
          <w:rFonts w:ascii="Times New Roman" w:cs="Times New Roman" w:eastAsia="Times New Roman" w:hAnsi="Times New Roman"/>
          <w:sz w:val="24"/>
          <w:szCs w:val="24"/>
        </w:rPr>
        <w:t xml:space="preserve">Su Basovizza: Grosseto Contemporanea (http://www.grossetocontemporanea.it/fucilati-di-basovizza/); diecifebbraio.info (https://www.diecifebbraio.info/2012/09/martiri-di-basovizza-6-settembre-1930/).</w:t>
      </w:r>
    </w:p>
    <w:p>
      <w:pPr>
        <w:pStyle w:val="ListParagraph"/>
        <w:numPr>
          <w:ilvl w:val="0"/>
          <w:numId w:val="1"/>
        </w:numPr>
        <w:spacing w:after="40"/>
        <w:jc w:val="both"/>
      </w:pPr>
      <w:r>
        <w:rPr>
          <w:rFonts w:ascii="Times New Roman" w:cs="Times New Roman" w:eastAsia="Times New Roman" w:hAnsi="Times New Roman"/>
          <w:sz w:val="24"/>
          <w:szCs w:val="24"/>
        </w:rPr>
        <w:t xml:space="preserve">Sull'eredità costituzionale: Magistratura Democratica (https://www.magistraturademocratica.it/articolo/25-aprile-costituzione-giurisdizione-20874/). Sulla RSI: A. Grilli, </w:t>
      </w:r>
      <w:r>
        <w:rPr>
          <w:rFonts w:ascii="Times New Roman" w:cs="Times New Roman" w:eastAsia="Times New Roman" w:hAnsi="Times New Roman"/>
          <w:i/>
          <w:iCs/>
          <w:sz w:val="24"/>
          <w:szCs w:val="24"/>
        </w:rPr>
        <w:t xml:space="preserve">Resistenza e repressione</w:t>
      </w:r>
      <w:r>
        <w:rPr>
          <w:rFonts w:ascii="Times New Roman" w:cs="Times New Roman" w:eastAsia="Times New Roman" w:hAnsi="Times New Roman"/>
          <w:sz w:val="24"/>
          <w:szCs w:val="24"/>
        </w:rPr>
        <w:t xml:space="preserve"> (Letture.org (https://www.letture.org/resistenza-e-repressione-il-tribunale-speciale-per-la-difesa-dello-stato-nella-rsi-antonio-grilli)).</w:t>
      </w:r>
    </w:p>
    <w:p>
      <w:pPr>
        <w:pStyle w:val="ListParagraph"/>
        <w:numPr>
          <w:ilvl w:val="0"/>
          <w:numId w:val="1"/>
        </w:numPr>
        <w:spacing w:after="40"/>
        <w:jc w:val="both"/>
      </w:pPr>
      <w:r>
        <w:rPr>
          <w:rFonts w:ascii="Times New Roman" w:cs="Times New Roman" w:eastAsia="Times New Roman" w:hAnsi="Times New Roman"/>
          <w:b/>
          <w:bCs/>
          <w:sz w:val="24"/>
          <w:szCs w:val="24"/>
        </w:rPr>
        <w:t xml:space="preserve">Archivio Storia e Memoria di Bologna</w:t>
      </w:r>
      <w:r>
        <w:rPr>
          <w:rFonts w:ascii="Times New Roman" w:cs="Times New Roman" w:eastAsia="Times New Roman" w:hAnsi="Times New Roman"/>
          <w:sz w:val="24"/>
          <w:szCs w:val="24"/>
        </w:rPr>
        <w:t xml:space="preserve"> per i casi individuali, già censiti nel primo documento del branch.</w:t>
      </w:r>
    </w:p>
    <w:p>
      <w:pPr>
        <w:spacing w:after="120" w:line="276"/>
        <w:jc w:val="both"/>
      </w:pPr>
      <w:r>
        <w:rPr>
          <w:rFonts w:ascii="Times New Roman" w:cs="Times New Roman" w:eastAsia="Times New Roman" w:hAnsi="Times New Roman"/>
          <w:i/>
          <w:iCs/>
          <w:sz w:val="24"/>
          <w:szCs w:val="24"/>
        </w:rPr>
        <w:t xml:space="preserve">Le cifre seguono il censimento consolidato (ANPPIA/Dal Pont); l'oscillazione 5.619/5.620 giudicati è dichiarata. La quota esatta di fucilati appartenenti alle minoranze slave varia nelle fonti ed è data qui in forma qualitativa («parte cospicua») con i due processi documentati. Ricostruzione storica, senza usi polemici retroattivi.</w:t>
      </w: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Studio storico sull'istituzione da cui il branch è partito. Si salda a monte con `amnistiati-tribunale-speciale.md` (i nomi) e tocca il versante moroteo nel solo punto documentato (Moro costituente; art. 102 Cost.). Regola di Ferro: dove la fonte documenta, si certifica; dove tace, si tace.</w:t>
      </w:r>
    </w:p>
    <w:p>
      <w:r>
        <w:br w:type="page"/>
      </w:r>
    </w:p>
    <w:p>
      <w:pPr>
        <w:pStyle w:val="Heading1"/>
        <w:spacing w:after="120" w:before="240"/>
      </w:pPr>
      <w:r>
        <w:rPr>
          <w:rFonts w:ascii="Times New Roman" w:cs="Times New Roman" w:eastAsia="Times New Roman" w:hAnsi="Times New Roman"/>
          <w:sz w:val="24"/>
          <w:szCs w:val="24"/>
        </w:rPr>
        <w:t xml:space="preserve">Il Tribunale Speciale: approfondimento in sottonodi</w:t>
      </w:r>
    </w:p>
    <w:p>
      <w:pPr>
        <w:spacing w:after="120" w:line="276"/>
        <w:jc w:val="both"/>
      </w:pPr>
      <w:r>
        <w:rPr>
          <w:rFonts w:ascii="Times New Roman" w:cs="Times New Roman" w:eastAsia="Times New Roman" w:hAnsi="Times New Roman"/>
          <w:i/>
          <w:iCs/>
          <w:sz w:val="24"/>
          <w:szCs w:val="24"/>
        </w:rPr>
        <w:t xml:space="preserve">Complemento allo studio sull'istituzione — 24 agosto 2026</w:t>
      </w:r>
    </w:p>
    <w:p>
      <w:pPr>
        <w:pBdr>
          <w:left w:val="single" w:color="1F3864" w:sz="18" w:space="8"/>
        </w:pBdr>
        <w:spacing w:after="80" w:before="80"/>
        <w:ind w:left="360" w:right="360"/>
        <w:jc w:val="both"/>
      </w:pPr>
      <w:r>
        <w:rPr>
          <w:rFonts w:ascii="Times New Roman" w:cs="Times New Roman" w:eastAsia="Times New Roman" w:hAnsi="Times New Roman"/>
          <w:b/>
          <w:bCs/>
          <w:i w:val="false"/>
          <w:iCs w:val="false"/>
          <w:sz w:val="24"/>
          <w:szCs w:val="24"/>
        </w:rPr>
        <w:t xml:space="preserve">Statuto.</w:t>
      </w:r>
      <w:r>
        <w:rPr>
          <w:rFonts w:ascii="Times New Roman" w:cs="Times New Roman" w:eastAsia="Times New Roman" w:hAnsi="Times New Roman"/>
          <w:i w:val="false"/>
          <w:iCs w:val="false"/>
          <w:sz w:val="24"/>
          <w:szCs w:val="24"/>
        </w:rPr>
        <w:t xml:space="preserve"> Questo documento approfondisce, in </w:t>
      </w:r>
      <w:r>
        <w:rPr>
          <w:rFonts w:ascii="Times New Roman" w:cs="Times New Roman" w:eastAsia="Times New Roman" w:hAnsi="Times New Roman"/>
          <w:b/>
          <w:bCs/>
          <w:i w:val="false"/>
          <w:iCs w:val="false"/>
          <w:sz w:val="24"/>
          <w:szCs w:val="24"/>
        </w:rPr>
        <w:t xml:space="preserve">otto sottonodi verificati</w:t>
      </w:r>
      <w:r>
        <w:rPr>
          <w:rFonts w:ascii="Times New Roman" w:cs="Times New Roman" w:eastAsia="Times New Roman" w:hAnsi="Times New Roman"/>
          <w:i w:val="false"/>
          <w:iCs w:val="false"/>
          <w:sz w:val="24"/>
          <w:szCs w:val="24"/>
        </w:rPr>
        <w:t xml:space="preserve">, ciò che lo studio principale (</w:t>
      </w:r>
      <w:r>
        <w:rPr>
          <w:rFonts w:ascii="Times New Roman" w:cs="Times New Roman" w:eastAsia="Times New Roman" w:hAnsi="Times New Roman"/>
          <w:i w:val="false"/>
          <w:iCs w:val="false"/>
          <w:sz w:val="24"/>
          <w:szCs w:val="24"/>
        </w:rPr>
        <w:t xml:space="preserve">tribunale-speciale-storia-istituzione.md</w:t>
      </w:r>
      <w:r>
        <w:rPr>
          <w:rFonts w:ascii="Times New Roman" w:cs="Times New Roman" w:eastAsia="Times New Roman" w:hAnsi="Times New Roman"/>
          <w:i w:val="false"/>
          <w:iCs w:val="false"/>
          <w:sz w:val="24"/>
          <w:szCs w:val="24"/>
        </w:rPr>
        <w:t xml:space="preserve">) ha dovuto trattare in sintesi: gli uomini che presiedettero il Tribunale, la macchina istruttoria, i due processi di Trieste, la prosopografia dei condannati che fecero la Repubblica, la scala bolognese da cui il branch è partito, le donne davanti al Tribunale, la svolta di guerra e la questione dell'impunità postbellica. Ogni sottonodo dichiara le proprie fonti e il proprio grado. Vale la Regola di Ferro: dove la fonte documenta, si certifica; dove tace, si tace.</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S-1 · I tre presidenti (1927-1943)</w:t>
      </w:r>
    </w:p>
    <w:p>
      <w:pPr>
        <w:spacing w:after="120" w:line="276"/>
        <w:jc w:val="both"/>
      </w:pPr>
      <w:r>
        <w:rPr>
          <w:rFonts w:ascii="Times New Roman" w:cs="Times New Roman" w:eastAsia="Times New Roman" w:hAnsi="Times New Roman"/>
          <w:sz w:val="24"/>
          <w:szCs w:val="24"/>
        </w:rPr>
        <w:t xml:space="preserve">Il Tribunale ebbe, in sedici anni, tre presidenti — e la loro successione racconta la parabola dell'istituto (Wikipedia IT (https://it.wikipedia.org/wiki/Tribunale_speciale_per_la_difesa_dello_Stato_(1926-1943)); Guido Cristini (https://it.wikipedia.org/wiki/Guido_Cristini); Antonino Tringali Casanuova (https://en.wikipedia.org/wiki/Antonino_Tringali_Casanuova)):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Presidente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Periodo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Profilo</w:t>
            </w:r>
          </w:p>
        </w:tc>
      </w:tr>
      <w:tr>
        <w:tc>
          <w:tcPr>
            <w:tcW w:type="dxa" w:w="3120"/>
          </w:tcPr>
          <w:p>
            <w:pPr>
              <w:spacing w:after="20" w:before="20"/>
              <w:jc w:val="left"/>
            </w:pPr>
            <w:r>
              <w:rPr>
                <w:rFonts w:ascii="Times New Roman" w:cs="Times New Roman" w:eastAsia="Times New Roman" w:hAnsi="Times New Roman"/>
                <w:b/>
                <w:bCs/>
                <w:sz w:val="20"/>
                <w:szCs w:val="20"/>
              </w:rPr>
              <w:t xml:space="preserve">Carlo Sanna</w:t>
            </w:r>
          </w:p>
        </w:tc>
        <w:tc>
          <w:tcPr>
            <w:tcW w:type="dxa" w:w="3120"/>
          </w:tcPr>
          <w:p>
            <w:pPr>
              <w:spacing w:after="20" w:before="20"/>
              <w:jc w:val="left"/>
            </w:pPr>
            <w:r>
              <w:rPr>
                <w:rFonts w:ascii="Times New Roman" w:cs="Times New Roman" w:eastAsia="Times New Roman" w:hAnsi="Times New Roman"/>
                <w:sz w:val="20"/>
                <w:szCs w:val="20"/>
              </w:rPr>
              <w:t xml:space="preserve">1927 – estate 1928</w:t>
            </w:r>
          </w:p>
        </w:tc>
        <w:tc>
          <w:tcPr>
            <w:tcW w:type="dxa" w:w="3120"/>
          </w:tcPr>
          <w:p>
            <w:pPr>
              <w:spacing w:after="20" w:before="20"/>
              <w:jc w:val="left"/>
            </w:pPr>
            <w:r>
              <w:rPr>
                <w:rFonts w:ascii="Times New Roman" w:cs="Times New Roman" w:eastAsia="Times New Roman" w:hAnsi="Times New Roman"/>
                <w:sz w:val="20"/>
                <w:szCs w:val="20"/>
              </w:rPr>
              <w:t xml:space="preserve">Generale dell'esercito, primo presidente; morì d'infarto in carica</w:t>
            </w:r>
          </w:p>
        </w:tc>
      </w:tr>
      <w:tr>
        <w:tc>
          <w:tcPr>
            <w:tcW w:type="dxa" w:w="3120"/>
          </w:tcPr>
          <w:p>
            <w:pPr>
              <w:spacing w:after="20" w:before="20"/>
              <w:jc w:val="left"/>
            </w:pPr>
            <w:r>
              <w:rPr>
                <w:rFonts w:ascii="Times New Roman" w:cs="Times New Roman" w:eastAsia="Times New Roman" w:hAnsi="Times New Roman"/>
                <w:b/>
                <w:bCs/>
                <w:sz w:val="20"/>
                <w:szCs w:val="20"/>
              </w:rPr>
              <w:t xml:space="preserve">Guido Cristini</w:t>
            </w:r>
          </w:p>
        </w:tc>
        <w:tc>
          <w:tcPr>
            <w:tcW w:type="dxa" w:w="3120"/>
          </w:tcPr>
          <w:p>
            <w:pPr>
              <w:spacing w:after="20" w:before="20"/>
              <w:jc w:val="left"/>
            </w:pPr>
            <w:r>
              <w:rPr>
                <w:rFonts w:ascii="Times New Roman" w:cs="Times New Roman" w:eastAsia="Times New Roman" w:hAnsi="Times New Roman"/>
                <w:sz w:val="20"/>
                <w:szCs w:val="20"/>
              </w:rPr>
              <w:t xml:space="preserve">1928 – 27 novembre 1932</w:t>
            </w:r>
          </w:p>
        </w:tc>
        <w:tc>
          <w:tcPr>
            <w:tcW w:type="dxa" w:w="3120"/>
          </w:tcPr>
          <w:p>
            <w:pPr>
              <w:spacing w:after="20" w:before="20"/>
              <w:jc w:val="left"/>
            </w:pPr>
            <w:r>
              <w:rPr>
                <w:rFonts w:ascii="Times New Roman" w:cs="Times New Roman" w:eastAsia="Times New Roman" w:hAnsi="Times New Roman"/>
                <w:sz w:val="20"/>
                <w:szCs w:val="20"/>
              </w:rPr>
              <w:t xml:space="preserve">Nominato a soli trentatré anni; presiedette il «processone» del 1928; la sua è la stagione della repressione contro la rete clandestina del PCI</w:t>
            </w:r>
          </w:p>
        </w:tc>
      </w:tr>
      <w:tr>
        <w:tc>
          <w:tcPr>
            <w:tcW w:type="dxa" w:w="3120"/>
          </w:tcPr>
          <w:p>
            <w:pPr>
              <w:spacing w:after="20" w:before="20"/>
              <w:jc w:val="left"/>
            </w:pPr>
            <w:r>
              <w:rPr>
                <w:rFonts w:ascii="Times New Roman" w:cs="Times New Roman" w:eastAsia="Times New Roman" w:hAnsi="Times New Roman"/>
                <w:b/>
                <w:bCs/>
                <w:sz w:val="20"/>
                <w:szCs w:val="20"/>
              </w:rPr>
              <w:t xml:space="preserve">Antonino Tringali Casanuova</w:t>
            </w:r>
          </w:p>
        </w:tc>
        <w:tc>
          <w:tcPr>
            <w:tcW w:type="dxa" w:w="3120"/>
          </w:tcPr>
          <w:p>
            <w:pPr>
              <w:spacing w:after="20" w:before="20"/>
              <w:jc w:val="left"/>
            </w:pPr>
            <w:r>
              <w:rPr>
                <w:rFonts w:ascii="Times New Roman" w:cs="Times New Roman" w:eastAsia="Times New Roman" w:hAnsi="Times New Roman"/>
                <w:sz w:val="20"/>
                <w:szCs w:val="20"/>
              </w:rPr>
              <w:t xml:space="preserve">novembre 1932 – luglio 1943</w:t>
            </w:r>
          </w:p>
        </w:tc>
        <w:tc>
          <w:tcPr>
            <w:tcW w:type="dxa" w:w="3120"/>
          </w:tcPr>
          <w:p>
            <w:pPr>
              <w:spacing w:after="20" w:before="20"/>
              <w:jc w:val="left"/>
            </w:pPr>
            <w:r>
              <w:rPr>
                <w:rFonts w:ascii="Times New Roman" w:cs="Times New Roman" w:eastAsia="Times New Roman" w:hAnsi="Times New Roman"/>
                <w:sz w:val="20"/>
                <w:szCs w:val="20"/>
              </w:rPr>
              <w:t xml:space="preserve">Vicepresidente dal settembre 1928, poi presidente per undici anni: l'uomo della normalizzazione dell'eccezione e della stagione di guerra</w:t>
            </w:r>
          </w:p>
        </w:tc>
      </w:tr>
    </w:tbl>
    <w:p>
      <w:pPr>
        <w:spacing w:after="80"/>
      </w:pPr>
    </w:p>
    <w:p>
      <w:pPr>
        <w:spacing w:after="120" w:line="276"/>
        <w:jc w:val="both"/>
      </w:pPr>
      <w:r>
        <w:rPr>
          <w:rFonts w:ascii="Times New Roman" w:cs="Times New Roman" w:eastAsia="Times New Roman" w:hAnsi="Times New Roman"/>
          <w:sz w:val="24"/>
          <w:szCs w:val="24"/>
        </w:rPr>
        <w:t xml:space="preserve">Il dato istituzionale è la </w:t>
      </w:r>
      <w:r>
        <w:rPr>
          <w:rFonts w:ascii="Times New Roman" w:cs="Times New Roman" w:eastAsia="Times New Roman" w:hAnsi="Times New Roman"/>
          <w:b/>
          <w:bCs/>
          <w:sz w:val="24"/>
          <w:szCs w:val="24"/>
        </w:rPr>
        <w:t xml:space="preserve">progressiva fascistizzazione del vertice</w:t>
      </w:r>
      <w:r>
        <w:rPr>
          <w:rFonts w:ascii="Times New Roman" w:cs="Times New Roman" w:eastAsia="Times New Roman" w:hAnsi="Times New Roman"/>
          <w:sz w:val="24"/>
          <w:szCs w:val="24"/>
        </w:rPr>
        <w:t xml:space="preserve">: dal generale del regio esercito (Sanna) al gerarca di partito (Tringali Casanuova). L'organo «tecnico-militare» del 1927 divenne, negli anni Trenta, apertamente un organo politico.</w:t>
      </w:r>
    </w:p>
    <w:p>
      <w:pPr>
        <w:pStyle w:val="Heading2"/>
        <w:spacing w:after="100" w:before="200"/>
      </w:pPr>
      <w:r>
        <w:rPr>
          <w:rFonts w:ascii="Times New Roman" w:cs="Times New Roman" w:eastAsia="Times New Roman" w:hAnsi="Times New Roman"/>
          <w:sz w:val="24"/>
          <w:szCs w:val="24"/>
        </w:rPr>
        <w:t xml:space="preserve">S-2 · La macchina istruttoria: l'OVRA</w:t>
      </w:r>
    </w:p>
    <w:p>
      <w:pPr>
        <w:spacing w:after="120" w:line="276"/>
        <w:jc w:val="both"/>
      </w:pPr>
      <w:r>
        <w:rPr>
          <w:rFonts w:ascii="Times New Roman" w:cs="Times New Roman" w:eastAsia="Times New Roman" w:hAnsi="Times New Roman"/>
          <w:sz w:val="24"/>
          <w:szCs w:val="24"/>
        </w:rPr>
        <w:t xml:space="preserve">Il Tribunale giudicava ciò che la polizia politica gli portava. Il primo nucleo di quella che sarebbe stata nota come </w:t>
      </w:r>
      <w:r>
        <w:rPr>
          <w:rFonts w:ascii="Times New Roman" w:cs="Times New Roman" w:eastAsia="Times New Roman" w:hAnsi="Times New Roman"/>
          <w:b/>
          <w:bCs/>
          <w:sz w:val="24"/>
          <w:szCs w:val="24"/>
        </w:rPr>
        <w:t xml:space="preserve">OVRA</w:t>
      </w:r>
      <w:r>
        <w:rPr>
          <w:rFonts w:ascii="Times New Roman" w:cs="Times New Roman" w:eastAsia="Times New Roman" w:hAnsi="Times New Roman"/>
          <w:sz w:val="24"/>
          <w:szCs w:val="24"/>
        </w:rPr>
        <w:t xml:space="preserve"> nacque </w:t>
      </w:r>
      <w:r>
        <w:rPr>
          <w:rFonts w:ascii="Times New Roman" w:cs="Times New Roman" w:eastAsia="Times New Roman" w:hAnsi="Times New Roman"/>
          <w:b/>
          <w:bCs/>
          <w:sz w:val="24"/>
          <w:szCs w:val="24"/>
        </w:rPr>
        <w:t xml:space="preserve">a Milano nel 1927</w:t>
      </w:r>
      <w:r>
        <w:rPr>
          <w:rFonts w:ascii="Times New Roman" w:cs="Times New Roman" w:eastAsia="Times New Roman" w:hAnsi="Times New Roman"/>
          <w:sz w:val="24"/>
          <w:szCs w:val="24"/>
        </w:rPr>
        <w:t xml:space="preserve"> come «Ispettorato speciale di polizia» alle dipendenze della Direzione generale di Pubblica Sicurezza, sotto la regia del capo della polizia </w:t>
      </w:r>
      <w:r>
        <w:rPr>
          <w:rFonts w:ascii="Times New Roman" w:cs="Times New Roman" w:eastAsia="Times New Roman" w:hAnsi="Times New Roman"/>
          <w:b/>
          <w:bCs/>
          <w:sz w:val="24"/>
          <w:szCs w:val="24"/>
        </w:rPr>
        <w:t xml:space="preserve">Arturo Bocchini</w:t>
      </w:r>
      <w:r>
        <w:rPr>
          <w:rFonts w:ascii="Times New Roman" w:cs="Times New Roman" w:eastAsia="Times New Roman" w:hAnsi="Times New Roman"/>
          <w:sz w:val="24"/>
          <w:szCs w:val="24"/>
        </w:rPr>
        <w:t xml:space="preserve"> (Polizia di Stato, scheda Bocchini (https://www.poliziadistato.it/articolo/arturo-bocchini); Treccani (https://www.treccani.it/enciclopedia/arturo-bocchini_(Dizionario-Biografico)/); Wikipedia EN, OVRA (https://en.wikipedia.org/wiki/OVRA)). Il suo strumento caratteristico era la </w:t>
      </w:r>
      <w:r>
        <w:rPr>
          <w:rFonts w:ascii="Times New Roman" w:cs="Times New Roman" w:eastAsia="Times New Roman" w:hAnsi="Times New Roman"/>
          <w:b/>
          <w:bCs/>
          <w:sz w:val="24"/>
          <w:szCs w:val="24"/>
        </w:rPr>
        <w:t xml:space="preserve">rete dei confidenti</w:t>
      </w:r>
      <w:r>
        <w:rPr>
          <w:rFonts w:ascii="Times New Roman" w:cs="Times New Roman" w:eastAsia="Times New Roman" w:hAnsi="Times New Roman"/>
          <w:sz w:val="24"/>
          <w:szCs w:val="24"/>
        </w:rPr>
        <w:t xml:space="preserve">: l'infiltrazione e la delazione sistematica, che riempivano i fascicoli istruttori del Tribunale. Il binomio è essenziale per capire l'istituto: </w:t>
      </w:r>
      <w:r>
        <w:rPr>
          <w:rFonts w:ascii="Times New Roman" w:cs="Times New Roman" w:eastAsia="Times New Roman" w:hAnsi="Times New Roman"/>
          <w:b/>
          <w:bCs/>
          <w:sz w:val="24"/>
          <w:szCs w:val="24"/>
        </w:rPr>
        <w:t xml:space="preserve">l'OVRA costruiva il caso, il Tribunale lo certificava</w:t>
      </w:r>
      <w:r>
        <w:rPr>
          <w:rFonts w:ascii="Times New Roman" w:cs="Times New Roman" w:eastAsia="Times New Roman" w:hAnsi="Times New Roman"/>
          <w:sz w:val="24"/>
          <w:szCs w:val="24"/>
        </w:rPr>
        <w:t xml:space="preserve"> — con un rito militare che non prevedeva un reale contraddittorio sulla prova. Le schede bolognesi del primo documento del branch (arresti a grappolo: «con altri 55», «con altri 88», «con altri 116») mostrano esattamente questo metodo: la retata sulla rete, non l'indagine sul fatto.</w:t>
      </w:r>
    </w:p>
    <w:p>
      <w:pPr>
        <w:pStyle w:val="Heading2"/>
        <w:spacing w:after="100" w:before="200"/>
      </w:pPr>
      <w:r>
        <w:rPr>
          <w:rFonts w:ascii="Times New Roman" w:cs="Times New Roman" w:eastAsia="Times New Roman" w:hAnsi="Times New Roman"/>
          <w:sz w:val="24"/>
          <w:szCs w:val="24"/>
        </w:rPr>
        <w:t xml:space="preserve">S-3 · La repressione anti-slava in due tempi: i processi di Trieste</w:t>
      </w:r>
    </w:p>
    <w:p>
      <w:pPr>
        <w:spacing w:after="120" w:line="276"/>
        <w:jc w:val="both"/>
      </w:pPr>
      <w:r>
        <w:rPr>
          <w:rFonts w:ascii="Times New Roman" w:cs="Times New Roman" w:eastAsia="Times New Roman" w:hAnsi="Times New Roman"/>
          <w:sz w:val="24"/>
          <w:szCs w:val="24"/>
        </w:rPr>
        <w:t xml:space="preserve">Lo studio principale registrava Basovizza; il sottonodo ricompone l'intero arco.</w:t>
      </w:r>
    </w:p>
    <w:p>
      <w:pPr>
        <w:pStyle w:val="ListParagraph"/>
        <w:numPr>
          <w:ilvl w:val="0"/>
          <w:numId w:val="1"/>
        </w:numPr>
        <w:spacing w:after="40"/>
        <w:jc w:val="both"/>
      </w:pPr>
      <w:r>
        <w:rPr>
          <w:rFonts w:ascii="Times New Roman" w:cs="Times New Roman" w:eastAsia="Times New Roman" w:hAnsi="Times New Roman"/>
          <w:b/>
          <w:bCs/>
          <w:sz w:val="24"/>
          <w:szCs w:val="24"/>
        </w:rPr>
        <w:t xml:space="preserve">Primo processo di Trieste (1930).</w:t>
      </w:r>
      <w:r>
        <w:rPr>
          <w:rFonts w:ascii="Times New Roman" w:cs="Times New Roman" w:eastAsia="Times New Roman" w:hAnsi="Times New Roman"/>
          <w:sz w:val="24"/>
          <w:szCs w:val="24"/>
        </w:rPr>
        <w:t xml:space="preserve"> Quattro antifascisti sloveni — </w:t>
      </w:r>
      <w:r>
        <w:rPr>
          <w:rFonts w:ascii="Times New Roman" w:cs="Times New Roman" w:eastAsia="Times New Roman" w:hAnsi="Times New Roman"/>
          <w:b/>
          <w:bCs/>
          <w:sz w:val="24"/>
          <w:szCs w:val="24"/>
        </w:rPr>
        <w:t xml:space="preserve">Ferdo Bidovec, Fran Marušič, Zvonimir Miloš, Alojz Valenčič</w:t>
      </w:r>
      <w:r>
        <w:rPr>
          <w:rFonts w:ascii="Times New Roman" w:cs="Times New Roman" w:eastAsia="Times New Roman" w:hAnsi="Times New Roman"/>
          <w:sz w:val="24"/>
          <w:szCs w:val="24"/>
        </w:rPr>
        <w:t xml:space="preserve"> — fucilati a </w:t>
      </w:r>
      <w:r>
        <w:rPr>
          <w:rFonts w:ascii="Times New Roman" w:cs="Times New Roman" w:eastAsia="Times New Roman" w:hAnsi="Times New Roman"/>
          <w:b/>
          <w:bCs/>
          <w:sz w:val="24"/>
          <w:szCs w:val="24"/>
        </w:rPr>
        <w:t xml:space="preserve">Basovizza il 6 settembre 1930</w:t>
      </w:r>
      <w:r>
        <w:rPr>
          <w:rFonts w:ascii="Times New Roman" w:cs="Times New Roman" w:eastAsia="Times New Roman" w:hAnsi="Times New Roman"/>
          <w:sz w:val="24"/>
          <w:szCs w:val="24"/>
        </w:rPr>
        <w:t xml:space="preserve"> (Grosseto Contemporanea (http://www.grossetocontemporanea.it/fucilati-di-basovizza/)).</w:t>
      </w:r>
    </w:p>
    <w:p>
      <w:pPr>
        <w:pStyle w:val="ListParagraph"/>
        <w:numPr>
          <w:ilvl w:val="0"/>
          <w:numId w:val="1"/>
        </w:numPr>
        <w:spacing w:after="40"/>
        <w:jc w:val="both"/>
      </w:pPr>
      <w:r>
        <w:rPr>
          <w:rFonts w:ascii="Times New Roman" w:cs="Times New Roman" w:eastAsia="Times New Roman" w:hAnsi="Times New Roman"/>
          <w:b/>
          <w:bCs/>
          <w:sz w:val="24"/>
          <w:szCs w:val="24"/>
        </w:rPr>
        <w:t xml:space="preserve">Secondo processo di Trieste (2-14 dicembre 1941).</w:t>
      </w:r>
      <w:r>
        <w:rPr>
          <w:rFonts w:ascii="Times New Roman" w:cs="Times New Roman" w:eastAsia="Times New Roman" w:hAnsi="Times New Roman"/>
          <w:sz w:val="24"/>
          <w:szCs w:val="24"/>
        </w:rPr>
        <w:t xml:space="preserve"> Il Tribunale tornò a Trieste in trasferta e giudicò </w:t>
      </w:r>
      <w:r>
        <w:rPr>
          <w:rFonts w:ascii="Times New Roman" w:cs="Times New Roman" w:eastAsia="Times New Roman" w:hAnsi="Times New Roman"/>
          <w:b/>
          <w:bCs/>
          <w:sz w:val="24"/>
          <w:szCs w:val="24"/>
        </w:rPr>
        <w:t xml:space="preserve">sessanta imputati sloveni</w:t>
      </w:r>
      <w:r>
        <w:rPr>
          <w:rFonts w:ascii="Times New Roman" w:cs="Times New Roman" w:eastAsia="Times New Roman" w:hAnsi="Times New Roman"/>
          <w:sz w:val="24"/>
          <w:szCs w:val="24"/>
        </w:rPr>
        <w:t xml:space="preserve">, raggruppati dall'accusa in tre categorie — ventidue intellettuali di orientamento liberale e cristiano, ventisei comunisti, dodici membri del </w:t>
      </w:r>
      <w:r>
        <w:rPr>
          <w:rFonts w:ascii="Times New Roman" w:cs="Times New Roman" w:eastAsia="Times New Roman" w:hAnsi="Times New Roman"/>
          <w:b/>
          <w:bCs/>
          <w:sz w:val="24"/>
          <w:szCs w:val="24"/>
        </w:rPr>
        <w:t xml:space="preserve">TIGR</w:t>
      </w:r>
      <w:r>
        <w:rPr>
          <w:rFonts w:ascii="Times New Roman" w:cs="Times New Roman" w:eastAsia="Times New Roman" w:hAnsi="Times New Roman"/>
          <w:sz w:val="24"/>
          <w:szCs w:val="24"/>
        </w:rPr>
        <w:t xml:space="preserve"> — unificati dalla formula del «complotto contro l'integrità dello Stato». Cinque i fucilati, il </w:t>
      </w:r>
      <w:r>
        <w:rPr>
          <w:rFonts w:ascii="Times New Roman" w:cs="Times New Roman" w:eastAsia="Times New Roman" w:hAnsi="Times New Roman"/>
          <w:b/>
          <w:bCs/>
          <w:sz w:val="24"/>
          <w:szCs w:val="24"/>
        </w:rPr>
        <w:t xml:space="preserve">15 dicembre 1941 al poligono di Opicina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Pinko Tomažič, Viktor Bobek, Ivan Ivančič, Simon Kos, Ivan Vadnal</w:t>
      </w:r>
      <w:r>
        <w:rPr>
          <w:rFonts w:ascii="Times New Roman" w:cs="Times New Roman" w:eastAsia="Times New Roman" w:hAnsi="Times New Roman"/>
          <w:sz w:val="24"/>
          <w:szCs w:val="24"/>
        </w:rPr>
        <w:t xml:space="preserve"> (La Bottega del Barbieri (https://www.labottegadelbarbieri.org/trieste-1941-processi-fascisti-e-lotta-di-liberazione/); Wikipedia IT, Pinko Tomažič (https://it.wikipedia.org/wiki/Pinko_Toma%C5%BEi%C4%8D); ANPI Trieste (https://www.anpits.it/)). Tomažič è oggi eroe nazionale in Slovenia.</w:t>
      </w:r>
    </w:p>
    <w:p>
      <w:pPr>
        <w:spacing w:after="120" w:line="276"/>
        <w:jc w:val="both"/>
      </w:pPr>
      <w:r>
        <w:rPr>
          <w:rFonts w:ascii="Times New Roman" w:cs="Times New Roman" w:eastAsia="Times New Roman" w:hAnsi="Times New Roman"/>
          <w:sz w:val="24"/>
          <w:szCs w:val="24"/>
        </w:rPr>
        <w:t xml:space="preserve">Il sottonodo precisa la natura </w:t>
      </w:r>
      <w:r>
        <w:rPr>
          <w:rFonts w:ascii="Times New Roman" w:cs="Times New Roman" w:eastAsia="Times New Roman" w:hAnsi="Times New Roman"/>
          <w:b/>
          <w:bCs/>
          <w:sz w:val="24"/>
          <w:szCs w:val="24"/>
        </w:rPr>
        <w:t xml:space="preserve">anche nazionale</w:t>
      </w:r>
      <w:r>
        <w:rPr>
          <w:rFonts w:ascii="Times New Roman" w:cs="Times New Roman" w:eastAsia="Times New Roman" w:hAnsi="Times New Roman"/>
          <w:sz w:val="24"/>
          <w:szCs w:val="24"/>
        </w:rPr>
        <w:t xml:space="preserve"> della repressione: contro le minoranze slave della Venezia Giulia il Tribunale operò come strumento dell'italianizzazione forzata, e la costruzione unificante del «complotto» — che saldava in un solo disegno liberali, comunisti e irredentisti — è l'esempio più puro del suo metodo accusatorio.</w:t>
      </w:r>
    </w:p>
    <w:p>
      <w:pPr>
        <w:pStyle w:val="Heading2"/>
        <w:spacing w:after="100" w:before="200"/>
      </w:pPr>
      <w:r>
        <w:rPr>
          <w:rFonts w:ascii="Times New Roman" w:cs="Times New Roman" w:eastAsia="Times New Roman" w:hAnsi="Times New Roman"/>
          <w:sz w:val="24"/>
          <w:szCs w:val="24"/>
        </w:rPr>
        <w:t xml:space="preserve">S-4 · Prosopografia: i condannati che fecero la Repubblica</w:t>
      </w:r>
    </w:p>
    <w:p>
      <w:pPr>
        <w:spacing w:after="120" w:line="276"/>
        <w:jc w:val="both"/>
      </w:pPr>
      <w:r>
        <w:rPr>
          <w:rFonts w:ascii="Times New Roman" w:cs="Times New Roman" w:eastAsia="Times New Roman" w:hAnsi="Times New Roman"/>
          <w:sz w:val="24"/>
          <w:szCs w:val="24"/>
        </w:rPr>
        <w:t xml:space="preserve">Il rovesciamento prosopografico accennato nello studio principale, qui documentato caso per caso: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Condannato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Condanna del Tribunale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Ruolo nella Repubblica</w:t>
            </w:r>
          </w:p>
        </w:tc>
      </w:tr>
      <w:tr>
        <w:tc>
          <w:tcPr>
            <w:tcW w:type="dxa" w:w="3120"/>
          </w:tcPr>
          <w:p>
            <w:pPr>
              <w:spacing w:after="20" w:before="20"/>
              <w:jc w:val="left"/>
            </w:pPr>
            <w:r>
              <w:rPr>
                <w:rFonts w:ascii="Times New Roman" w:cs="Times New Roman" w:eastAsia="Times New Roman" w:hAnsi="Times New Roman"/>
                <w:b/>
                <w:bCs/>
                <w:sz w:val="20"/>
                <w:szCs w:val="20"/>
              </w:rPr>
              <w:t xml:space="preserve">Antonio Gramsci</w:t>
            </w:r>
          </w:p>
        </w:tc>
        <w:tc>
          <w:tcPr>
            <w:tcW w:type="dxa" w:w="3120"/>
          </w:tcPr>
          <w:p>
            <w:pPr>
              <w:spacing w:after="20" w:before="20"/>
              <w:jc w:val="left"/>
            </w:pPr>
            <w:r>
              <w:rPr>
                <w:rFonts w:ascii="Times New Roman" w:cs="Times New Roman" w:eastAsia="Times New Roman" w:hAnsi="Times New Roman"/>
                <w:sz w:val="20"/>
                <w:szCs w:val="20"/>
              </w:rPr>
              <w:t xml:space="preserve">4 giugno 1928 («processone»): 20 anni, 4 mesi e 5 giorni</w:t>
            </w:r>
          </w:p>
        </w:tc>
        <w:tc>
          <w:tcPr>
            <w:tcW w:type="dxa" w:w="3120"/>
          </w:tcPr>
          <w:p>
            <w:pPr>
              <w:spacing w:after="20" w:before="20"/>
              <w:jc w:val="left"/>
            </w:pPr>
            <w:r>
              <w:rPr>
                <w:rFonts w:ascii="Times New Roman" w:cs="Times New Roman" w:eastAsia="Times New Roman" w:hAnsi="Times New Roman"/>
                <w:sz w:val="20"/>
                <w:szCs w:val="20"/>
              </w:rPr>
              <w:t xml:space="preserve">Morì il 27 aprile 1937; i </w:t>
            </w:r>
            <w:r>
              <w:rPr>
                <w:rFonts w:ascii="Times New Roman" w:cs="Times New Roman" w:eastAsia="Times New Roman" w:hAnsi="Times New Roman"/>
                <w:i/>
                <w:iCs/>
                <w:sz w:val="20"/>
                <w:szCs w:val="20"/>
              </w:rPr>
              <w:t xml:space="preserve">Quaderni</w:t>
            </w:r>
            <w:r>
              <w:rPr>
                <w:rFonts w:ascii="Times New Roman" w:cs="Times New Roman" w:eastAsia="Times New Roman" w:hAnsi="Times New Roman"/>
                <w:sz w:val="20"/>
                <w:szCs w:val="20"/>
              </w:rPr>
              <w:t xml:space="preserve"> divennero un fondamento della cultura repubblicana</w:t>
            </w:r>
          </w:p>
        </w:tc>
      </w:tr>
      <w:tr>
        <w:tc>
          <w:tcPr>
            <w:tcW w:type="dxa" w:w="3120"/>
          </w:tcPr>
          <w:p>
            <w:pPr>
              <w:spacing w:after="20" w:before="20"/>
              <w:jc w:val="left"/>
            </w:pPr>
            <w:r>
              <w:rPr>
                <w:rFonts w:ascii="Times New Roman" w:cs="Times New Roman" w:eastAsia="Times New Roman" w:hAnsi="Times New Roman"/>
                <w:b/>
                <w:bCs/>
                <w:sz w:val="20"/>
                <w:szCs w:val="20"/>
              </w:rPr>
              <w:t xml:space="preserve">Umberto Terracini</w:t>
            </w:r>
          </w:p>
        </w:tc>
        <w:tc>
          <w:tcPr>
            <w:tcW w:type="dxa" w:w="3120"/>
          </w:tcPr>
          <w:p>
            <w:pPr>
              <w:spacing w:after="20" w:before="20"/>
              <w:jc w:val="left"/>
            </w:pPr>
            <w:r>
              <w:rPr>
                <w:rFonts w:ascii="Times New Roman" w:cs="Times New Roman" w:eastAsia="Times New Roman" w:hAnsi="Times New Roman"/>
                <w:sz w:val="20"/>
                <w:szCs w:val="20"/>
              </w:rPr>
              <w:t xml:space="preserve">«processone» 1928: la pena più alta, oltre ventidue anni</w:t>
            </w:r>
          </w:p>
        </w:tc>
        <w:tc>
          <w:tcPr>
            <w:tcW w:type="dxa" w:w="3120"/>
          </w:tcPr>
          <w:p>
            <w:pPr>
              <w:spacing w:after="20" w:before="20"/>
              <w:jc w:val="left"/>
            </w:pPr>
            <w:r>
              <w:rPr>
                <w:rFonts w:ascii="Times New Roman" w:cs="Times New Roman" w:eastAsia="Times New Roman" w:hAnsi="Times New Roman"/>
                <w:b/>
                <w:bCs/>
                <w:sz w:val="20"/>
                <w:szCs w:val="20"/>
              </w:rPr>
              <w:t xml:space="preserve">Presidente dell'Assemblea Costituente</w:t>
            </w:r>
            <w:r>
              <w:rPr>
                <w:rFonts w:ascii="Times New Roman" w:cs="Times New Roman" w:eastAsia="Times New Roman" w:hAnsi="Times New Roman"/>
                <w:sz w:val="20"/>
                <w:szCs w:val="20"/>
              </w:rPr>
              <w:t xml:space="preserve"> (1947-48): firmò la Costituzione</w:t>
            </w:r>
          </w:p>
        </w:tc>
      </w:tr>
      <w:tr>
        <w:tc>
          <w:tcPr>
            <w:tcW w:type="dxa" w:w="3120"/>
          </w:tcPr>
          <w:p>
            <w:pPr>
              <w:spacing w:after="20" w:before="20"/>
              <w:jc w:val="left"/>
            </w:pPr>
            <w:r>
              <w:rPr>
                <w:rFonts w:ascii="Times New Roman" w:cs="Times New Roman" w:eastAsia="Times New Roman" w:hAnsi="Times New Roman"/>
                <w:b/>
                <w:bCs/>
                <w:sz w:val="20"/>
                <w:szCs w:val="20"/>
              </w:rPr>
              <w:t xml:space="preserve">Sandro Pertini</w:t>
            </w:r>
          </w:p>
        </w:tc>
        <w:tc>
          <w:tcPr>
            <w:tcW w:type="dxa" w:w="3120"/>
          </w:tcPr>
          <w:p>
            <w:pPr>
              <w:spacing w:after="20" w:before="20"/>
              <w:jc w:val="left"/>
            </w:pPr>
            <w:r>
              <w:rPr>
                <w:rFonts w:ascii="Times New Roman" w:cs="Times New Roman" w:eastAsia="Times New Roman" w:hAnsi="Times New Roman"/>
                <w:sz w:val="20"/>
                <w:szCs w:val="20"/>
              </w:rPr>
              <w:t xml:space="preserve">30 novembre 1929: </w:t>
            </w:r>
            <w:r>
              <w:rPr>
                <w:rFonts w:ascii="Times New Roman" w:cs="Times New Roman" w:eastAsia="Times New Roman" w:hAnsi="Times New Roman"/>
                <w:b/>
                <w:bCs/>
                <w:sz w:val="20"/>
                <w:szCs w:val="20"/>
              </w:rPr>
              <w:t xml:space="preserve">10 anni e 9 mesi</w:t>
            </w:r>
            <w:r>
              <w:rPr>
                <w:rFonts w:ascii="Times New Roman" w:cs="Times New Roman" w:eastAsia="Times New Roman" w:hAnsi="Times New Roman"/>
                <w:sz w:val="20"/>
                <w:szCs w:val="20"/>
              </w:rPr>
              <w:t xml:space="preserve"> più 3 anni di vigilanza speciale (arrestato a Pisa il 14 aprile 1929)</w:t>
            </w:r>
          </w:p>
        </w:tc>
        <w:tc>
          <w:tcPr>
            <w:tcW w:type="dxa" w:w="3120"/>
          </w:tcPr>
          <w:p>
            <w:pPr>
              <w:spacing w:after="20" w:before="20"/>
              <w:jc w:val="left"/>
            </w:pPr>
            <w:r>
              <w:rPr>
                <w:rFonts w:ascii="Times New Roman" w:cs="Times New Roman" w:eastAsia="Times New Roman" w:hAnsi="Times New Roman"/>
                <w:b/>
                <w:bCs/>
                <w:sz w:val="20"/>
                <w:szCs w:val="20"/>
              </w:rPr>
              <w:t xml:space="preserve">Presidente della Repubblica</w:t>
            </w:r>
            <w:r>
              <w:rPr>
                <w:rFonts w:ascii="Times New Roman" w:cs="Times New Roman" w:eastAsia="Times New Roman" w:hAnsi="Times New Roman"/>
                <w:sz w:val="20"/>
                <w:szCs w:val="20"/>
              </w:rPr>
              <w:t xml:space="preserve"> (1978-1985) (Quirinale, biografia (https://presidenti.quirinale.it/page/7/per-biografia.html); Treccani (https://www.treccani.it/enciclopedia/alessandro-pertini_(Dizionario-Biografico)/))</w:t>
            </w:r>
          </w:p>
        </w:tc>
      </w:tr>
      <w:tr>
        <w:tc>
          <w:tcPr>
            <w:tcW w:type="dxa" w:w="3120"/>
          </w:tcPr>
          <w:p>
            <w:pPr>
              <w:spacing w:after="20" w:before="20"/>
              <w:jc w:val="left"/>
            </w:pPr>
            <w:r>
              <w:rPr>
                <w:rFonts w:ascii="Times New Roman" w:cs="Times New Roman" w:eastAsia="Times New Roman" w:hAnsi="Times New Roman"/>
                <w:b/>
                <w:bCs/>
                <w:sz w:val="20"/>
                <w:szCs w:val="20"/>
              </w:rPr>
              <w:t xml:space="preserve">Camilla Ravera</w:t>
            </w:r>
          </w:p>
        </w:tc>
        <w:tc>
          <w:tcPr>
            <w:tcW w:type="dxa" w:w="3120"/>
          </w:tcPr>
          <w:p>
            <w:pPr>
              <w:spacing w:after="20" w:before="20"/>
              <w:jc w:val="left"/>
            </w:pPr>
            <w:r>
              <w:rPr>
                <w:rFonts w:ascii="Times New Roman" w:cs="Times New Roman" w:eastAsia="Times New Roman" w:hAnsi="Times New Roman"/>
                <w:sz w:val="20"/>
                <w:szCs w:val="20"/>
              </w:rPr>
              <w:t xml:space="preserve">novembre 1930: </w:t>
            </w:r>
            <w:r>
              <w:rPr>
                <w:rFonts w:ascii="Times New Roman" w:cs="Times New Roman" w:eastAsia="Times New Roman" w:hAnsi="Times New Roman"/>
                <w:b/>
                <w:bCs/>
                <w:sz w:val="20"/>
                <w:szCs w:val="20"/>
              </w:rPr>
              <w:t xml:space="preserve">15 anni e 6 mesi</w:t>
            </w:r>
            <w:r>
              <w:rPr>
                <w:rFonts w:ascii="Times New Roman" w:cs="Times New Roman" w:eastAsia="Times New Roman" w:hAnsi="Times New Roman"/>
                <w:sz w:val="20"/>
                <w:szCs w:val="20"/>
              </w:rPr>
              <w:t xml:space="preserve"> per ricostituzione del PCI (arrestata il 10 luglio 1930)</w:t>
            </w:r>
          </w:p>
        </w:tc>
        <w:tc>
          <w:tcPr>
            <w:tcW w:type="dxa" w:w="3120"/>
          </w:tcPr>
          <w:p>
            <w:pPr>
              <w:spacing w:after="20" w:before="20"/>
              <w:jc w:val="left"/>
            </w:pPr>
            <w:r>
              <w:rPr>
                <w:rFonts w:ascii="Times New Roman" w:cs="Times New Roman" w:eastAsia="Times New Roman" w:hAnsi="Times New Roman"/>
                <w:sz w:val="20"/>
                <w:szCs w:val="20"/>
              </w:rPr>
              <w:t xml:space="preserve">Prima donna </w:t>
            </w:r>
            <w:r>
              <w:rPr>
                <w:rFonts w:ascii="Times New Roman" w:cs="Times New Roman" w:eastAsia="Times New Roman" w:hAnsi="Times New Roman"/>
                <w:b/>
                <w:bCs/>
                <w:sz w:val="20"/>
                <w:szCs w:val="20"/>
              </w:rPr>
              <w:t xml:space="preserve">senatrice a vita</w:t>
            </w:r>
            <w:r>
              <w:rPr>
                <w:rFonts w:ascii="Times New Roman" w:cs="Times New Roman" w:eastAsia="Times New Roman" w:hAnsi="Times New Roman"/>
                <w:sz w:val="20"/>
                <w:szCs w:val="20"/>
              </w:rPr>
              <w:t xml:space="preserve"> (1982) (Treccani (https://www.treccani.it/enciclopedia/camilla-ravera_(Dizionario-Biografico)/); ANPPIA (https://anppia.it/antifascisti/ravera-camilla/))</w:t>
            </w:r>
          </w:p>
        </w:tc>
      </w:tr>
      <w:tr>
        <w:tc>
          <w:tcPr>
            <w:tcW w:type="dxa" w:w="3120"/>
          </w:tcPr>
          <w:p>
            <w:pPr>
              <w:spacing w:after="20" w:before="20"/>
              <w:jc w:val="left"/>
            </w:pPr>
            <w:r>
              <w:rPr>
                <w:rFonts w:ascii="Times New Roman" w:cs="Times New Roman" w:eastAsia="Times New Roman" w:hAnsi="Times New Roman"/>
                <w:b/>
                <w:bCs/>
                <w:sz w:val="20"/>
                <w:szCs w:val="20"/>
              </w:rPr>
              <w:t xml:space="preserve">Mauro Scoccimarro</w:t>
            </w:r>
          </w:p>
        </w:tc>
        <w:tc>
          <w:tcPr>
            <w:tcW w:type="dxa" w:w="3120"/>
          </w:tcPr>
          <w:p>
            <w:pPr>
              <w:spacing w:after="20" w:before="20"/>
              <w:jc w:val="left"/>
            </w:pPr>
            <w:r>
              <w:rPr>
                <w:rFonts w:ascii="Times New Roman" w:cs="Times New Roman" w:eastAsia="Times New Roman" w:hAnsi="Times New Roman"/>
                <w:sz w:val="20"/>
                <w:szCs w:val="20"/>
              </w:rPr>
              <w:t xml:space="preserve">«processone» 1928</w:t>
            </w:r>
          </w:p>
        </w:tc>
        <w:tc>
          <w:tcPr>
            <w:tcW w:type="dxa" w:w="3120"/>
          </w:tcPr>
          <w:p>
            <w:pPr>
              <w:spacing w:after="20" w:before="20"/>
              <w:jc w:val="left"/>
            </w:pPr>
            <w:r>
              <w:rPr>
                <w:rFonts w:ascii="Times New Roman" w:cs="Times New Roman" w:eastAsia="Times New Roman" w:hAnsi="Times New Roman"/>
                <w:sz w:val="20"/>
                <w:szCs w:val="20"/>
              </w:rPr>
              <w:t xml:space="preserve">Ministro delle finanze della Repubblica, senatore</w:t>
            </w:r>
          </w:p>
        </w:tc>
      </w:tr>
    </w:tbl>
    <w:p>
      <w:pPr>
        <w:spacing w:after="80"/>
      </w:pPr>
    </w:p>
    <w:p>
      <w:pPr>
        <w:spacing w:after="120" w:line="276"/>
        <w:jc w:val="both"/>
      </w:pPr>
      <w:r>
        <w:rPr>
          <w:rFonts w:ascii="Times New Roman" w:cs="Times New Roman" w:eastAsia="Times New Roman" w:hAnsi="Times New Roman"/>
          <w:sz w:val="24"/>
          <w:szCs w:val="24"/>
        </w:rPr>
        <w:t xml:space="preserve">La coincidenza cronologica ha un vertice simbolico documentato: </w:t>
      </w:r>
      <w:r>
        <w:rPr>
          <w:rFonts w:ascii="Times New Roman" w:cs="Times New Roman" w:eastAsia="Times New Roman" w:hAnsi="Times New Roman"/>
          <w:b/>
          <w:bCs/>
          <w:sz w:val="24"/>
          <w:szCs w:val="24"/>
        </w:rPr>
        <w:t xml:space="preserve">nel 1978 il Presidente della Repubblica era un condannato del Tribunale Speciale</w:t>
      </w:r>
      <w:r>
        <w:rPr>
          <w:rFonts w:ascii="Times New Roman" w:cs="Times New Roman" w:eastAsia="Times New Roman" w:hAnsi="Times New Roman"/>
          <w:sz w:val="24"/>
          <w:szCs w:val="24"/>
        </w:rPr>
        <w:t xml:space="preserve"> — Pertini, eletto l'8 luglio 1978, due mesi dopo via Caetani. L'anno più buio della Repubblica ebbe al Quirinale un uomo che il giudice speciale del regime aveva spedito in carcere mezzo secolo prima. Si registra come fatto, senza caricarlo di più di quel che dice.</w:t>
      </w:r>
    </w:p>
    <w:p>
      <w:pPr>
        <w:pStyle w:val="Heading2"/>
        <w:spacing w:after="100" w:before="200"/>
      </w:pPr>
      <w:r>
        <w:rPr>
          <w:rFonts w:ascii="Times New Roman" w:cs="Times New Roman" w:eastAsia="Times New Roman" w:hAnsi="Times New Roman"/>
          <w:sz w:val="24"/>
          <w:szCs w:val="24"/>
        </w:rPr>
        <w:t xml:space="preserve">S-5 · La scala bolognese: il campione del branch dentro i numeri nazionali</w:t>
      </w:r>
    </w:p>
    <w:p>
      <w:pPr>
        <w:spacing w:after="120" w:line="276"/>
        <w:jc w:val="both"/>
      </w:pPr>
      <w:r>
        <w:rPr>
          <w:rFonts w:ascii="Times New Roman" w:cs="Times New Roman" w:eastAsia="Times New Roman" w:hAnsi="Times New Roman"/>
          <w:sz w:val="24"/>
          <w:szCs w:val="24"/>
        </w:rPr>
        <w:t xml:space="preserve">Il primo documento del branch nasce dall'archivio bolognese, che censisce </w:t>
      </w:r>
      <w:r>
        <w:rPr>
          <w:rFonts w:ascii="Times New Roman" w:cs="Times New Roman" w:eastAsia="Times New Roman" w:hAnsi="Times New Roman"/>
          <w:b/>
          <w:bCs/>
          <w:sz w:val="24"/>
          <w:szCs w:val="24"/>
        </w:rPr>
        <w:t xml:space="preserve">734 antifascisti deferiti</w:t>
      </w:r>
      <w:r>
        <w:rPr>
          <w:rFonts w:ascii="Times New Roman" w:cs="Times New Roman" w:eastAsia="Times New Roman" w:hAnsi="Times New Roman"/>
          <w:sz w:val="24"/>
          <w:szCs w:val="24"/>
        </w:rPr>
        <w:t xml:space="preserve"> al Tribunale e </w:t>
      </w:r>
      <w:r>
        <w:rPr>
          <w:rFonts w:ascii="Times New Roman" w:cs="Times New Roman" w:eastAsia="Times New Roman" w:hAnsi="Times New Roman"/>
          <w:b/>
          <w:bCs/>
          <w:sz w:val="24"/>
          <w:szCs w:val="24"/>
        </w:rPr>
        <w:t xml:space="preserve">384 condannati</w:t>
      </w:r>
      <w:r>
        <w:rPr>
          <w:rFonts w:ascii="Times New Roman" w:cs="Times New Roman" w:eastAsia="Times New Roman" w:hAnsi="Times New Roman"/>
          <w:sz w:val="24"/>
          <w:szCs w:val="24"/>
        </w:rPr>
        <w:t xml:space="preserve">. Rapportati alle cifre nazionali (15.806 deferiti, 4.596 condannati), i bolognesi risultano circa il </w:t>
      </w:r>
      <w:r>
        <w:rPr>
          <w:rFonts w:ascii="Times New Roman" w:cs="Times New Roman" w:eastAsia="Times New Roman" w:hAnsi="Times New Roman"/>
          <w:b/>
          <w:bCs/>
          <w:sz w:val="24"/>
          <w:szCs w:val="24"/>
        </w:rPr>
        <w:t xml:space="preserve">4,6% dei deferiti</w:t>
      </w:r>
      <w:r>
        <w:rPr>
          <w:rFonts w:ascii="Times New Roman" w:cs="Times New Roman" w:eastAsia="Times New Roman" w:hAnsi="Times New Roman"/>
          <w:sz w:val="24"/>
          <w:szCs w:val="24"/>
        </w:rPr>
        <w:t xml:space="preserve"> e circa l'</w:t>
      </w:r>
      <w:r>
        <w:rPr>
          <w:rFonts w:ascii="Times New Roman" w:cs="Times New Roman" w:eastAsia="Times New Roman" w:hAnsi="Times New Roman"/>
          <w:b/>
          <w:bCs/>
          <w:sz w:val="24"/>
          <w:szCs w:val="24"/>
        </w:rPr>
        <w:t xml:space="preserve">8,4% dei condannati</w:t>
      </w:r>
      <w:r>
        <w:rPr>
          <w:rFonts w:ascii="Times New Roman" w:cs="Times New Roman" w:eastAsia="Times New Roman" w:hAnsi="Times New Roman"/>
          <w:sz w:val="24"/>
          <w:szCs w:val="24"/>
        </w:rPr>
        <w:t xml:space="preserve">. La sproporzione fra le due quote è un dato interessante — suggerirebbe che i deferiti bolognesi venissero condannati più spesso della media — ma va maneggiata con una </w:t>
      </w:r>
      <w:r>
        <w:rPr>
          <w:rFonts w:ascii="Times New Roman" w:cs="Times New Roman" w:eastAsia="Times New Roman" w:hAnsi="Times New Roman"/>
          <w:b/>
          <w:bCs/>
          <w:sz w:val="24"/>
          <w:szCs w:val="24"/>
        </w:rPr>
        <w:t xml:space="preserve">cautela metodologica dichiarata</w:t>
      </w:r>
      <w:r>
        <w:rPr>
          <w:rFonts w:ascii="Times New Roman" w:cs="Times New Roman" w:eastAsia="Times New Roman" w:hAnsi="Times New Roman"/>
          <w:sz w:val="24"/>
          <w:szCs w:val="24"/>
        </w:rPr>
        <w:t xml:space="preserve">: il censimento bolognese è una ricerca locale con criteri propri di inclusione, non un estratto omogeneo della statistica nazionale, e il confronto fra le due serie è quindi </w:t>
      </w:r>
      <w:r>
        <w:rPr>
          <w:rFonts w:ascii="Times New Roman" w:cs="Times New Roman" w:eastAsia="Times New Roman" w:hAnsi="Times New Roman"/>
          <w:b/>
          <w:bCs/>
          <w:sz w:val="24"/>
          <w:szCs w:val="24"/>
        </w:rPr>
        <w:t xml:space="preserve">indicativo, non probante</w:t>
      </w:r>
      <w:r>
        <w:rPr>
          <w:rFonts w:ascii="Times New Roman" w:cs="Times New Roman" w:eastAsia="Times New Roman" w:hAnsi="Times New Roman"/>
          <w:sz w:val="24"/>
          <w:szCs w:val="24"/>
        </w:rPr>
        <w:t xml:space="preserve">. Si segnala la convergenza (Bologna rossa come bersaglio prioritario della repressione: coerente con le retate a grappolo delle schede) e non la si promuove a misura.</w:t>
      </w:r>
    </w:p>
    <w:p>
      <w:pPr>
        <w:pStyle w:val="Heading2"/>
        <w:spacing w:after="100" w:before="200"/>
      </w:pPr>
      <w:r>
        <w:rPr>
          <w:rFonts w:ascii="Times New Roman" w:cs="Times New Roman" w:eastAsia="Times New Roman" w:hAnsi="Times New Roman"/>
          <w:sz w:val="24"/>
          <w:szCs w:val="24"/>
        </w:rPr>
        <w:t xml:space="preserve">S-6 · Le donne davanti al Tribunale</w:t>
      </w:r>
    </w:p>
    <w:p>
      <w:pPr>
        <w:spacing w:after="120" w:line="276"/>
        <w:jc w:val="both"/>
      </w:pPr>
      <w:r>
        <w:rPr>
          <w:rFonts w:ascii="Times New Roman" w:cs="Times New Roman" w:eastAsia="Times New Roman" w:hAnsi="Times New Roman"/>
          <w:sz w:val="24"/>
          <w:szCs w:val="24"/>
        </w:rPr>
        <w:t xml:space="preserve">Filone documentato dalla storiografia (cfr. il volume ANPI </w:t>
      </w:r>
      <w:r>
        <w:rPr>
          <w:rFonts w:ascii="Times New Roman" w:cs="Times New Roman" w:eastAsia="Times New Roman" w:hAnsi="Times New Roman"/>
          <w:i/>
          <w:iCs/>
          <w:sz w:val="24"/>
          <w:szCs w:val="24"/>
        </w:rPr>
        <w:t xml:space="preserve">Donne davanti al Tribunale Speciale</w:t>
      </w:r>
      <w:r>
        <w:rPr>
          <w:rFonts w:ascii="Times New Roman" w:cs="Times New Roman" w:eastAsia="Times New Roman" w:hAnsi="Times New Roman"/>
          <w:sz w:val="24"/>
          <w:szCs w:val="24"/>
        </w:rPr>
        <w:t xml:space="preserve">, scheda (https://www.anpi.it/libri/donne-davanti-al-tribunale-speciale)): le militanti antifasciste giudicate dall'organo, di cui il caso Ravera (S-4) è il più alto per pena e per parabola successiva. Il sottonodo si limita a segnalare il filone e la fonte: le cifre disaggregate per genere non sono state riscontrate in sessione su fonte indipendente, e per la Regola di Ferro non se ne danno.</w:t>
      </w:r>
    </w:p>
    <w:p>
      <w:pPr>
        <w:pStyle w:val="Heading2"/>
        <w:spacing w:after="100" w:before="200"/>
      </w:pPr>
      <w:r>
        <w:rPr>
          <w:rFonts w:ascii="Times New Roman" w:cs="Times New Roman" w:eastAsia="Times New Roman" w:hAnsi="Times New Roman"/>
          <w:sz w:val="24"/>
          <w:szCs w:val="24"/>
        </w:rPr>
        <w:t xml:space="preserve">S-7 · La svolta di guerra (1940-1943)</w:t>
      </w:r>
    </w:p>
    <w:p>
      <w:pPr>
        <w:spacing w:after="120" w:line="276"/>
        <w:jc w:val="both"/>
      </w:pPr>
      <w:r>
        <w:rPr>
          <w:rFonts w:ascii="Times New Roman" w:cs="Times New Roman" w:eastAsia="Times New Roman" w:hAnsi="Times New Roman"/>
          <w:sz w:val="24"/>
          <w:szCs w:val="24"/>
        </w:rPr>
        <w:t xml:space="preserve">L'ingresso in guerra trasformò il regime sanzionatorio: secondo la voce enciclopedica di riferimento, </w:t>
      </w:r>
      <w:r>
        <w:rPr>
          <w:rFonts w:ascii="Times New Roman" w:cs="Times New Roman" w:eastAsia="Times New Roman" w:hAnsi="Times New Roman"/>
          <w:b/>
          <w:bCs/>
          <w:sz w:val="24"/>
          <w:szCs w:val="24"/>
        </w:rPr>
        <w:t xml:space="preserve">negli anni di guerra furono pronunciate 33 condanne a morte e 22 eseguite</w:t>
      </w:r>
      <w:r>
        <w:rPr>
          <w:rFonts w:ascii="Times New Roman" w:cs="Times New Roman" w:eastAsia="Times New Roman" w:hAnsi="Times New Roman"/>
          <w:sz w:val="24"/>
          <w:szCs w:val="24"/>
        </w:rPr>
        <w:t xml:space="preserve"> per fatti connessi al conflitto (spionaggio, sabotaggio, reati annonari aggravati) (Wikipedia EN (https://en.wikipedia.org/wiki/Tribunale_speciale_per_la_difesa_dello_Stato_(1926%E2%80%931943))) — cioè la </w:t>
      </w:r>
      <w:r>
        <w:rPr>
          <w:rFonts w:ascii="Times New Roman" w:cs="Times New Roman" w:eastAsia="Times New Roman" w:hAnsi="Times New Roman"/>
          <w:b/>
          <w:bCs/>
          <w:sz w:val="24"/>
          <w:szCs w:val="24"/>
        </w:rPr>
        <w:t xml:space="preserve">grande maggioranza delle 42 pronunciate e 31 eseguite dell'intero sedicennio</w:t>
      </w:r>
      <w:r>
        <w:rPr>
          <w:rFonts w:ascii="Times New Roman" w:cs="Times New Roman" w:eastAsia="Times New Roman" w:hAnsi="Times New Roman"/>
          <w:sz w:val="24"/>
          <w:szCs w:val="24"/>
        </w:rPr>
        <w:t xml:space="preserve">. Il Tribunale «di pace» aveva ucciso con parsimonia calcolata (l'eco internazionale del caso Della Maggiora insegnò al regime il costo delle esecuzioni); il Tribunale di guerra uccise come un tribunale di guerra. Le due fasi vanno tenute distinte in ogni bilancio: la ferocia dell'istituto non fu costante, fu </w:t>
      </w:r>
      <w:r>
        <w:rPr>
          <w:rFonts w:ascii="Times New Roman" w:cs="Times New Roman" w:eastAsia="Times New Roman" w:hAnsi="Times New Roman"/>
          <w:b/>
          <w:bCs/>
          <w:sz w:val="24"/>
          <w:szCs w:val="24"/>
        </w:rPr>
        <w:t xml:space="preserve">crescente</w:t>
      </w:r>
      <w:r>
        <w:rPr>
          <w:rFonts w:ascii="Times New Roman" w:cs="Times New Roman" w:eastAsia="Times New Roman" w:hAnsi="Times New Roman"/>
          <w:sz w:val="24"/>
          <w:szCs w:val="24"/>
        </w:rPr>
        <w:t xml:space="preserve">.</w:t>
      </w:r>
    </w:p>
    <w:p>
      <w:pPr>
        <w:pStyle w:val="Heading2"/>
        <w:spacing w:after="100" w:before="200"/>
      </w:pPr>
      <w:r>
        <w:rPr>
          <w:rFonts w:ascii="Times New Roman" w:cs="Times New Roman" w:eastAsia="Times New Roman" w:hAnsi="Times New Roman"/>
          <w:sz w:val="24"/>
          <w:szCs w:val="24"/>
        </w:rPr>
        <w:t xml:space="preserve">S-8 · Il dopoguerra dei giudici: la questione dell'impunità</w:t>
      </w:r>
    </w:p>
    <w:p>
      <w:pPr>
        <w:spacing w:after="120" w:line="276"/>
        <w:jc w:val="both"/>
      </w:pPr>
      <w:r>
        <w:rPr>
          <w:rFonts w:ascii="Times New Roman" w:cs="Times New Roman" w:eastAsia="Times New Roman" w:hAnsi="Times New Roman"/>
          <w:sz w:val="24"/>
          <w:szCs w:val="24"/>
        </w:rPr>
        <w:t xml:space="preserve">Ultimo sottonodo, dichiarato nel suo grado. La storiografia ha posto il tema della </w:t>
      </w:r>
      <w:r>
        <w:rPr>
          <w:rFonts w:ascii="Times New Roman" w:cs="Times New Roman" w:eastAsia="Times New Roman" w:hAnsi="Times New Roman"/>
          <w:b/>
          <w:bCs/>
          <w:sz w:val="24"/>
          <w:szCs w:val="24"/>
        </w:rPr>
        <w:t xml:space="preserve">sostanziale impunità postbellica</w:t>
      </w:r>
      <w:r>
        <w:rPr>
          <w:rFonts w:ascii="Times New Roman" w:cs="Times New Roman" w:eastAsia="Times New Roman" w:hAnsi="Times New Roman"/>
          <w:sz w:val="24"/>
          <w:szCs w:val="24"/>
        </w:rPr>
        <w:t xml:space="preserve"> dei componenti del Tribunale (emblematico il titolo del saggio ripreso da Micciacorta: «Alla fiera dell'impunità. Il Tribunale speciale di Mussolini» (https://www.micciacorta.it/2017/01/22926/)): a differenza delle vittime, censite nome per nome dall'ANPPIA, i giudici non conobbero — nel loro complesso — processi né epurazioni proporzionate al ruolo svolto. Il sottonodo registra il </w:t>
      </w:r>
      <w:r>
        <w:rPr>
          <w:rFonts w:ascii="Times New Roman" w:cs="Times New Roman" w:eastAsia="Times New Roman" w:hAnsi="Times New Roman"/>
          <w:b/>
          <w:bCs/>
          <w:sz w:val="24"/>
          <w:szCs w:val="24"/>
        </w:rPr>
        <w:t xml:space="preserve">tema storiografico e la sua fonte</w:t>
      </w:r>
      <w:r>
        <w:rPr>
          <w:rFonts w:ascii="Times New Roman" w:cs="Times New Roman" w:eastAsia="Times New Roman" w:hAnsi="Times New Roman"/>
          <w:sz w:val="24"/>
          <w:szCs w:val="24"/>
        </w:rPr>
        <w:t xml:space="preserve">; i percorsi individuali dei singoli giudici nel dopoguerra non sono stati verificati in sessione e non se ne afferma alcuno. Resta il dato strutturale, documentato altrove nel corpus per altre vicende: le transizioni italiane puniscono raramente gli apparati.</w:t>
      </w:r>
    </w:p>
    <w:p>
      <w:pPr>
        <w:pBdr>
          <w:bottom w:val="single" w:color="999999" w:sz="6" w:space="1"/>
        </w:pBdr>
        <w:spacing w:after="80"/>
      </w:pPr>
    </w:p>
    <w:p>
      <w:pPr>
        <w:pStyle w:val="Heading2"/>
        <w:spacing w:after="100" w:before="200"/>
      </w:pPr>
      <w:r>
        <w:rPr>
          <w:rFonts w:ascii="Times New Roman" w:cs="Times New Roman" w:eastAsia="Times New Roman" w:hAnsi="Times New Roman"/>
          <w:sz w:val="24"/>
          <w:szCs w:val="24"/>
        </w:rPr>
        <w:t xml:space="preserve">Registro dei sottonodi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Sottonodo</w:t>
            </w:r>
          </w:p>
        </w:tc>
        <w:tc>
          <w:tcPr>
            <w:tcW w:type="dxa" w:w="3120"/>
            <w:shd w:fill="1F3864" w:val="clear"/>
          </w:tcPr>
          <w:p>
            <w:pPr>
              <w:spacing w:after="20" w:before="20"/>
              <w:jc w:val="left"/>
            </w:pPr>
            <w:r>
              <w:rPr>
                <w:rFonts w:ascii="Times New Roman" w:cs="Times New Roman" w:eastAsia="Times New Roman" w:hAnsi="Times New Roman"/>
                <w:b/>
                <w:bCs/>
                <w:color w:val="FFFFFF"/>
                <w:sz w:val="20"/>
                <w:szCs w:val="20"/>
              </w:rPr>
              <w:t xml:space="preserve">Grado</w:t>
            </w:r>
          </w:p>
        </w:tc>
      </w:tr>
      <w:tr>
        <w:tc>
          <w:tcPr>
            <w:tcW w:type="dxa" w:w="3120"/>
          </w:tcPr>
          <w:p>
            <w:pPr>
              <w:spacing w:after="20" w:before="20"/>
              <w:jc w:val="left"/>
            </w:pPr>
            <w:r>
              <w:rPr>
                <w:rFonts w:ascii="Times New Roman" w:cs="Times New Roman" w:eastAsia="Times New Roman" w:hAnsi="Times New Roman"/>
                <w:sz w:val="20"/>
                <w:szCs w:val="20"/>
              </w:rPr>
              <w:t xml:space="preserve">S-1</w:t>
            </w:r>
          </w:p>
        </w:tc>
        <w:tc>
          <w:tcPr>
            <w:tcW w:type="dxa" w:w="3120"/>
          </w:tcPr>
          <w:p>
            <w:pPr>
              <w:spacing w:after="20" w:before="20"/>
              <w:jc w:val="left"/>
            </w:pPr>
            <w:r>
              <w:rPr>
                <w:rFonts w:ascii="Times New Roman" w:cs="Times New Roman" w:eastAsia="Times New Roman" w:hAnsi="Times New Roman"/>
                <w:sz w:val="20"/>
                <w:szCs w:val="20"/>
              </w:rPr>
              <w:t xml:space="preserve">I tre presidenti e la fascistizzazione del vertice</w:t>
            </w:r>
          </w:p>
        </w:tc>
        <w:tc>
          <w:tcPr>
            <w:tcW w:type="dxa" w:w="3120"/>
          </w:tcPr>
          <w:p>
            <w:pPr>
              <w:spacing w:after="20" w:before="20"/>
              <w:jc w:val="left"/>
            </w:pPr>
            <w:r>
              <w:rPr>
                <w:rFonts w:ascii="Times New Roman" w:cs="Times New Roman" w:eastAsia="Times New Roman" w:hAnsi="Times New Roman"/>
                <w:sz w:val="20"/>
                <w:szCs w:val="20"/>
              </w:rPr>
              <w:t xml:space="preserve">Documentato</w:t>
            </w:r>
          </w:p>
        </w:tc>
      </w:tr>
      <w:tr>
        <w:tc>
          <w:tcPr>
            <w:tcW w:type="dxa" w:w="3120"/>
          </w:tcPr>
          <w:p>
            <w:pPr>
              <w:spacing w:after="20" w:before="20"/>
              <w:jc w:val="left"/>
            </w:pPr>
            <w:r>
              <w:rPr>
                <w:rFonts w:ascii="Times New Roman" w:cs="Times New Roman" w:eastAsia="Times New Roman" w:hAnsi="Times New Roman"/>
                <w:sz w:val="20"/>
                <w:szCs w:val="20"/>
              </w:rPr>
              <w:t xml:space="preserve">S-2</w:t>
            </w:r>
          </w:p>
        </w:tc>
        <w:tc>
          <w:tcPr>
            <w:tcW w:type="dxa" w:w="3120"/>
          </w:tcPr>
          <w:p>
            <w:pPr>
              <w:spacing w:after="20" w:before="20"/>
              <w:jc w:val="left"/>
            </w:pPr>
            <w:r>
              <w:rPr>
                <w:rFonts w:ascii="Times New Roman" w:cs="Times New Roman" w:eastAsia="Times New Roman" w:hAnsi="Times New Roman"/>
                <w:sz w:val="20"/>
                <w:szCs w:val="20"/>
              </w:rPr>
              <w:t xml:space="preserve">OVRA e istruttoria: la retata come metodo</w:t>
            </w:r>
          </w:p>
        </w:tc>
        <w:tc>
          <w:tcPr>
            <w:tcW w:type="dxa" w:w="3120"/>
          </w:tcPr>
          <w:p>
            <w:pPr>
              <w:spacing w:after="20" w:before="20"/>
              <w:jc w:val="left"/>
            </w:pPr>
            <w:r>
              <w:rPr>
                <w:rFonts w:ascii="Times New Roman" w:cs="Times New Roman" w:eastAsia="Times New Roman" w:hAnsi="Times New Roman"/>
                <w:sz w:val="20"/>
                <w:szCs w:val="20"/>
              </w:rPr>
              <w:t xml:space="preserve">Documentato (riscontro interno con le schede bolognesi)</w:t>
            </w:r>
          </w:p>
        </w:tc>
      </w:tr>
      <w:tr>
        <w:tc>
          <w:tcPr>
            <w:tcW w:type="dxa" w:w="3120"/>
          </w:tcPr>
          <w:p>
            <w:pPr>
              <w:spacing w:after="20" w:before="20"/>
              <w:jc w:val="left"/>
            </w:pPr>
            <w:r>
              <w:rPr>
                <w:rFonts w:ascii="Times New Roman" w:cs="Times New Roman" w:eastAsia="Times New Roman" w:hAnsi="Times New Roman"/>
                <w:sz w:val="20"/>
                <w:szCs w:val="20"/>
              </w:rPr>
              <w:t xml:space="preserve">S-3</w:t>
            </w:r>
          </w:p>
        </w:tc>
        <w:tc>
          <w:tcPr>
            <w:tcW w:type="dxa" w:w="3120"/>
          </w:tcPr>
          <w:p>
            <w:pPr>
              <w:spacing w:after="20" w:before="20"/>
              <w:jc w:val="left"/>
            </w:pPr>
            <w:r>
              <w:rPr>
                <w:rFonts w:ascii="Times New Roman" w:cs="Times New Roman" w:eastAsia="Times New Roman" w:hAnsi="Times New Roman"/>
                <w:sz w:val="20"/>
                <w:szCs w:val="20"/>
              </w:rPr>
              <w:t xml:space="preserve">I due processi di Trieste e la repressione anti-slava</w:t>
            </w:r>
          </w:p>
        </w:tc>
        <w:tc>
          <w:tcPr>
            <w:tcW w:type="dxa" w:w="3120"/>
          </w:tcPr>
          <w:p>
            <w:pPr>
              <w:spacing w:after="20" w:before="20"/>
              <w:jc w:val="left"/>
            </w:pPr>
            <w:r>
              <w:rPr>
                <w:rFonts w:ascii="Times New Roman" w:cs="Times New Roman" w:eastAsia="Times New Roman" w:hAnsi="Times New Roman"/>
                <w:sz w:val="20"/>
                <w:szCs w:val="20"/>
              </w:rPr>
              <w:t xml:space="preserve">Documentato</w:t>
            </w:r>
          </w:p>
        </w:tc>
      </w:tr>
      <w:tr>
        <w:tc>
          <w:tcPr>
            <w:tcW w:type="dxa" w:w="3120"/>
          </w:tcPr>
          <w:p>
            <w:pPr>
              <w:spacing w:after="20" w:before="20"/>
              <w:jc w:val="left"/>
            </w:pPr>
            <w:r>
              <w:rPr>
                <w:rFonts w:ascii="Times New Roman" w:cs="Times New Roman" w:eastAsia="Times New Roman" w:hAnsi="Times New Roman"/>
                <w:sz w:val="20"/>
                <w:szCs w:val="20"/>
              </w:rPr>
              <w:t xml:space="preserve">S-4</w:t>
            </w:r>
          </w:p>
        </w:tc>
        <w:tc>
          <w:tcPr>
            <w:tcW w:type="dxa" w:w="3120"/>
          </w:tcPr>
          <w:p>
            <w:pPr>
              <w:spacing w:after="20" w:before="20"/>
              <w:jc w:val="left"/>
            </w:pPr>
            <w:r>
              <w:rPr>
                <w:rFonts w:ascii="Times New Roman" w:cs="Times New Roman" w:eastAsia="Times New Roman" w:hAnsi="Times New Roman"/>
                <w:sz w:val="20"/>
                <w:szCs w:val="20"/>
              </w:rPr>
              <w:t xml:space="preserve">Prosopografia dei condannati che fecero la Repubblica</w:t>
            </w:r>
          </w:p>
        </w:tc>
        <w:tc>
          <w:tcPr>
            <w:tcW w:type="dxa" w:w="3120"/>
          </w:tcPr>
          <w:p>
            <w:pPr>
              <w:spacing w:after="20" w:before="20"/>
              <w:jc w:val="left"/>
            </w:pPr>
            <w:r>
              <w:rPr>
                <w:rFonts w:ascii="Times New Roman" w:cs="Times New Roman" w:eastAsia="Times New Roman" w:hAnsi="Times New Roman"/>
                <w:sz w:val="20"/>
                <w:szCs w:val="20"/>
              </w:rPr>
              <w:t xml:space="preserve">Documentato</w:t>
            </w:r>
          </w:p>
        </w:tc>
      </w:tr>
      <w:tr>
        <w:tc>
          <w:tcPr>
            <w:tcW w:type="dxa" w:w="3120"/>
          </w:tcPr>
          <w:p>
            <w:pPr>
              <w:spacing w:after="20" w:before="20"/>
              <w:jc w:val="left"/>
            </w:pPr>
            <w:r>
              <w:rPr>
                <w:rFonts w:ascii="Times New Roman" w:cs="Times New Roman" w:eastAsia="Times New Roman" w:hAnsi="Times New Roman"/>
                <w:sz w:val="20"/>
                <w:szCs w:val="20"/>
              </w:rPr>
              <w:t xml:space="preserve">S-5</w:t>
            </w:r>
          </w:p>
        </w:tc>
        <w:tc>
          <w:tcPr>
            <w:tcW w:type="dxa" w:w="3120"/>
          </w:tcPr>
          <w:p>
            <w:pPr>
              <w:spacing w:after="20" w:before="20"/>
              <w:jc w:val="left"/>
            </w:pPr>
            <w:r>
              <w:rPr>
                <w:rFonts w:ascii="Times New Roman" w:cs="Times New Roman" w:eastAsia="Times New Roman" w:hAnsi="Times New Roman"/>
                <w:sz w:val="20"/>
                <w:szCs w:val="20"/>
              </w:rPr>
              <w:t xml:space="preserve">La scala bolognese (4,6% dei deferiti, 8,4% dei condannati)</w:t>
            </w:r>
          </w:p>
        </w:tc>
        <w:tc>
          <w:tcPr>
            <w:tcW w:type="dxa" w:w="3120"/>
          </w:tcPr>
          <w:p>
            <w:pPr>
              <w:spacing w:after="20" w:before="20"/>
              <w:jc w:val="left"/>
            </w:pPr>
            <w:r>
              <w:rPr>
                <w:rFonts w:ascii="Times New Roman" w:cs="Times New Roman" w:eastAsia="Times New Roman" w:hAnsi="Times New Roman"/>
                <w:sz w:val="20"/>
                <w:szCs w:val="20"/>
              </w:rPr>
              <w:t xml:space="preserve">Convergenza con cautela metodologica dichiarata</w:t>
            </w:r>
          </w:p>
        </w:tc>
      </w:tr>
      <w:tr>
        <w:tc>
          <w:tcPr>
            <w:tcW w:type="dxa" w:w="3120"/>
          </w:tcPr>
          <w:p>
            <w:pPr>
              <w:spacing w:after="20" w:before="20"/>
              <w:jc w:val="left"/>
            </w:pPr>
            <w:r>
              <w:rPr>
                <w:rFonts w:ascii="Times New Roman" w:cs="Times New Roman" w:eastAsia="Times New Roman" w:hAnsi="Times New Roman"/>
                <w:sz w:val="20"/>
                <w:szCs w:val="20"/>
              </w:rPr>
              <w:t xml:space="preserve">S-6</w:t>
            </w:r>
          </w:p>
        </w:tc>
        <w:tc>
          <w:tcPr>
            <w:tcW w:type="dxa" w:w="3120"/>
          </w:tcPr>
          <w:p>
            <w:pPr>
              <w:spacing w:after="20" w:before="20"/>
              <w:jc w:val="left"/>
            </w:pPr>
            <w:r>
              <w:rPr>
                <w:rFonts w:ascii="Times New Roman" w:cs="Times New Roman" w:eastAsia="Times New Roman" w:hAnsi="Times New Roman"/>
                <w:sz w:val="20"/>
                <w:szCs w:val="20"/>
              </w:rPr>
              <w:t xml:space="preserve">Le donne davanti al Tribunale</w:t>
            </w:r>
          </w:p>
        </w:tc>
        <w:tc>
          <w:tcPr>
            <w:tcW w:type="dxa" w:w="3120"/>
          </w:tcPr>
          <w:p>
            <w:pPr>
              <w:spacing w:after="20" w:before="20"/>
              <w:jc w:val="left"/>
            </w:pPr>
            <w:r>
              <w:rPr>
                <w:rFonts w:ascii="Times New Roman" w:cs="Times New Roman" w:eastAsia="Times New Roman" w:hAnsi="Times New Roman"/>
                <w:sz w:val="20"/>
                <w:szCs w:val="20"/>
              </w:rPr>
              <w:t xml:space="preserve">Filone segnalato; cifre non riscontrate, non date</w:t>
            </w:r>
          </w:p>
        </w:tc>
      </w:tr>
      <w:tr>
        <w:tc>
          <w:tcPr>
            <w:tcW w:type="dxa" w:w="3120"/>
          </w:tcPr>
          <w:p>
            <w:pPr>
              <w:spacing w:after="20" w:before="20"/>
              <w:jc w:val="left"/>
            </w:pPr>
            <w:r>
              <w:rPr>
                <w:rFonts w:ascii="Times New Roman" w:cs="Times New Roman" w:eastAsia="Times New Roman" w:hAnsi="Times New Roman"/>
                <w:sz w:val="20"/>
                <w:szCs w:val="20"/>
              </w:rPr>
              <w:t xml:space="preserve">S-7</w:t>
            </w:r>
          </w:p>
        </w:tc>
        <w:tc>
          <w:tcPr>
            <w:tcW w:type="dxa" w:w="3120"/>
          </w:tcPr>
          <w:p>
            <w:pPr>
              <w:spacing w:after="20" w:before="20"/>
              <w:jc w:val="left"/>
            </w:pPr>
            <w:r>
              <w:rPr>
                <w:rFonts w:ascii="Times New Roman" w:cs="Times New Roman" w:eastAsia="Times New Roman" w:hAnsi="Times New Roman"/>
                <w:sz w:val="20"/>
                <w:szCs w:val="20"/>
              </w:rPr>
              <w:t xml:space="preserve">La svolta di guerra (33 condanne a morte pronunciate, 22 eseguite)</w:t>
            </w:r>
          </w:p>
        </w:tc>
        <w:tc>
          <w:tcPr>
            <w:tcW w:type="dxa" w:w="3120"/>
          </w:tcPr>
          <w:p>
            <w:pPr>
              <w:spacing w:after="20" w:before="20"/>
              <w:jc w:val="left"/>
            </w:pPr>
            <w:r>
              <w:rPr>
                <w:rFonts w:ascii="Times New Roman" w:cs="Times New Roman" w:eastAsia="Times New Roman" w:hAnsi="Times New Roman"/>
                <w:sz w:val="20"/>
                <w:szCs w:val="20"/>
              </w:rPr>
              <w:t xml:space="preserve">Documentato su fonte enciclopedica, dichiarata</w:t>
            </w:r>
          </w:p>
        </w:tc>
      </w:tr>
      <w:tr>
        <w:tc>
          <w:tcPr>
            <w:tcW w:type="dxa" w:w="3120"/>
          </w:tcPr>
          <w:p>
            <w:pPr>
              <w:spacing w:after="20" w:before="20"/>
              <w:jc w:val="left"/>
            </w:pPr>
            <w:r>
              <w:rPr>
                <w:rFonts w:ascii="Times New Roman" w:cs="Times New Roman" w:eastAsia="Times New Roman" w:hAnsi="Times New Roman"/>
                <w:sz w:val="20"/>
                <w:szCs w:val="20"/>
              </w:rPr>
              <w:t xml:space="preserve">S-8</w:t>
            </w:r>
          </w:p>
        </w:tc>
        <w:tc>
          <w:tcPr>
            <w:tcW w:type="dxa" w:w="3120"/>
          </w:tcPr>
          <w:p>
            <w:pPr>
              <w:spacing w:after="20" w:before="20"/>
              <w:jc w:val="left"/>
            </w:pPr>
            <w:r>
              <w:rPr>
                <w:rFonts w:ascii="Times New Roman" w:cs="Times New Roman" w:eastAsia="Times New Roman" w:hAnsi="Times New Roman"/>
                <w:sz w:val="20"/>
                <w:szCs w:val="20"/>
              </w:rPr>
              <w:t xml:space="preserve">L'impunità postbellica dei giudici</w:t>
            </w:r>
          </w:p>
        </w:tc>
        <w:tc>
          <w:tcPr>
            <w:tcW w:type="dxa" w:w="3120"/>
          </w:tcPr>
          <w:p>
            <w:pPr>
              <w:spacing w:after="20" w:before="20"/>
              <w:jc w:val="left"/>
            </w:pPr>
            <w:r>
              <w:rPr>
                <w:rFonts w:ascii="Times New Roman" w:cs="Times New Roman" w:eastAsia="Times New Roman" w:hAnsi="Times New Roman"/>
                <w:sz w:val="20"/>
                <w:szCs w:val="20"/>
              </w:rPr>
              <w:t xml:space="preserve">Tema storiografico; nessun percorso individuale affermato</w:t>
            </w:r>
          </w:p>
        </w:tc>
      </w:tr>
    </w:tbl>
    <w:p>
      <w:pPr>
        <w:spacing w:after="80"/>
      </w:pPr>
    </w:p>
    <w:p>
      <w:pPr>
        <w:pBdr>
          <w:bottom w:val="single" w:color="999999" w:sz="6" w:space="1"/>
        </w:pBdr>
        <w:spacing w:after="80"/>
      </w:pPr>
    </w:p>
    <w:p>
      <w:pPr>
        <w:spacing w:after="120" w:line="276"/>
        <w:jc w:val="both"/>
      </w:pPr>
      <w:r>
        <w:rPr>
          <w:rFonts w:ascii="Times New Roman" w:cs="Times New Roman" w:eastAsia="Times New Roman" w:hAnsi="Times New Roman"/>
          <w:i/>
          <w:iCs/>
          <w:sz w:val="24"/>
          <w:szCs w:val="24"/>
        </w:rPr>
        <w:t xml:space="preserve">Approfondimento in otto sottonodi dello studio sul Tribunale Speciale. Ogni sottonodo con fonti e grado dichiarati; i due sottonodi non pienamente riscontrabili (S-6, S-8) sono lasciati al livello che le fonti consentono. Nessuna imputazione oltre il giudicato; nessun uso polemico retroattivo.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80" w:before="160"/>
    </w:pPr>
    <w:rPr>
      <w:rFonts w:ascii="Times New Roman" w:cs="Times New Roman" w:eastAsia="Times New Roman" w:hAnsi="Times New Roman"/>
      <w:b/>
      <w:bCs/>
      <w:i/>
      <w:i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2026-08-24T21:10:20.201Z</dcterms:created>
  <dcterms:modified xsi:type="dcterms:W3CDTF">2026-08-24T21:10:20.201Z</dcterms:modified>
</cp:coreProperties>
</file>

<file path=docProps/custom.xml><?xml version="1.0" encoding="utf-8"?>
<Properties xmlns="http://schemas.openxmlformats.org/officeDocument/2006/custom-properties" xmlns:vt="http://schemas.openxmlformats.org/officeDocument/2006/docPropsVTypes"/>
</file>