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0"/>
        <w:ind w:firstLine="425"/>
        <w:jc w:val="both"/>
      </w:pPr>
      <w:r>
        <w:rPr>
          <w:rFonts w:ascii="Times New Roman" w:hAnsi="Times New Roman" w:cs="Times New Roman" w:eastAsia="Times New Roman"/>
          <w:b w:val="0"/>
          <w:sz w:val="24"/>
        </w:rPr>
        <w:t>Fra le fonti di recente acquisite dal corpus ITALIA NERA una si e' subito rivelata un innesto fecondo: il saggio accademico che la rivista Cross ha dedicato, nel duemilasedici, alla camorra e al caso Cirillo, e che riproduce la sezione sedicesima del Rapporto sulla Camorra redatto dalla Commissione parlamentare Antimafia sotto la presidenza di Luciano Violante e approvato il ventuno dicembre del millenovecentonovantatre. Quella sezione ricostruisce il sequestro e la liberazione dell'assessore democristiano Ciro Cirillo, e nel farlo mette a nudo un episodio che il corpus aveva finora incontrato solo per frammenti: un caso in cui lo Stato, attraverso i propri servizi e uomini politici, tratto' con un boss della camorra e, per il suo tramite, con le Brigate rosse. E' un nodo che lega in un solo punto quattro domini della rete finora trattati separatamente: la criminalita' organizzata, il terrorismo, la politica e l'intelligence. Questa triangolazione lo sviluppa attingendo alla fonte acquisita e al corpus gia' posseduto, senza alcuna interrogazione in rete.</w:t>
      </w:r>
    </w:p>
    <w:p>
      <w:pPr>
        <w:spacing w:line="276" w:lineRule="auto" w:before="0" w:after="0"/>
        <w:ind w:firstLine="425"/>
        <w:jc w:val="both"/>
      </w:pPr>
      <w:r>
        <w:rPr>
          <w:rFonts w:ascii="Times New Roman" w:hAnsi="Times New Roman" w:cs="Times New Roman" w:eastAsia="Times New Roman"/>
          <w:b w:val="0"/>
          <w:sz w:val="24"/>
        </w:rPr>
        <w:t xml:space="preserve">Il fatto, nella sua nuda cronologia, e' questo. Il ventisette aprile del millenovecentottantuno le Brigate rosse sequestrarono a Torre del Greco Ciro Cirillo, assessore regionale all'urbanistica, presidente del comitato per la ricostruzione dopo il terremoto ed espressione, nella Democrazia cristiana campana, della corrente dell'onorevole Antonio Gava. Nell'agguato caddero l'appuntato Luigi Carbone, addetto alla tutela dell'assessore, e l'autista Mario Cancello; fu ferito il segretario Ciro Fiorillo. Ottantotto giorni dopo, il ventiquattro luglio, Cirillo fu liberato. A quell'esito, annota la Commissione, non si giunse ne' per un'efficace opera di intelligence ne' per una brillante azione di polizia, bensi' </w:t>
      </w:r>
      <w:r>
        <w:rPr>
          <w:rFonts w:ascii="Times New Roman" w:hAnsi="Times New Roman" w:cs="Times New Roman" w:eastAsia="Times New Roman"/>
          <w:b/>
          <w:sz w:val="24"/>
        </w:rPr>
        <w:t>dopo trattative condotte da funzionari dello Stato e uomini politici con camorristi e brigatisti</w:t>
      </w:r>
      <w:r>
        <w:rPr>
          <w:rFonts w:ascii="Times New Roman" w:hAnsi="Times New Roman" w:cs="Times New Roman" w:eastAsia="Times New Roman"/>
          <w:b w:val="0"/>
          <w:sz w:val="24"/>
        </w:rPr>
        <w:t>. E' precisamente qui che risuona il contrasto con il caso Moro, gia' presente nel corpus: tre anni prima, nel millenovecentosettantotto, il mondo politico e lo stesso partito dello statista avevano respinto ogni ipotesi di trattativa con i terroristi. Per Moro la fermezza fu assoluta; per l'assessore di corrente, no.</w:t>
      </w:r>
    </w:p>
    <w:p>
      <w:pPr>
        <w:spacing w:line="276" w:lineRule="auto" w:before="0" w:after="0"/>
        <w:ind w:firstLine="425"/>
        <w:jc w:val="both"/>
      </w:pPr>
      <w:r>
        <w:rPr>
          <w:rFonts w:ascii="Times New Roman" w:hAnsi="Times New Roman" w:cs="Times New Roman" w:eastAsia="Times New Roman"/>
          <w:b w:val="0"/>
          <w:sz w:val="24"/>
        </w:rPr>
        <w:t>Il terreno su cui la vicenda germoglia e' quello della Campania sconvolta dal terremoto del ventitre e ventiquattro novembre del millenovecentottanta. La ricostruzione, con i suoi fondi ingenti, che superarono i cinquantamila miliardi di lire, si trasformo' in una straordinaria occasione di investimento per la camorra imprenditrice e per i proventi del narcotraffico. In quel contesto dominava la Nuova Camorra Organizzata di Raffaele Cutolo, detto il professore, struttura verticistica e settaria che teneva sotto controllo proprio l'area di Torre del Greco dove Cirillo fu rapito. Cutolo, gia' nodo del connettoma nel dominio della criminalita' organizzata, dirigeva la sua organizzazione dal carcere di Ascoli Piceno: ed e' da quella cella che lo Stato ando' a cercarlo.</w:t>
      </w:r>
    </w:p>
    <w:p>
      <w:pPr>
        <w:spacing w:line="276" w:lineRule="auto" w:before="0" w:after="0"/>
        <w:ind w:firstLine="425"/>
        <w:jc w:val="both"/>
      </w:pPr>
      <w:r>
        <w:rPr>
          <w:rFonts w:ascii="Times New Roman" w:hAnsi="Times New Roman" w:cs="Times New Roman" w:eastAsia="Times New Roman"/>
          <w:b w:val="0"/>
          <w:sz w:val="24"/>
        </w:rPr>
        <w:t xml:space="preserve">Il cuore della vicenda e' la mediazione affidata al boss. La relazione che il senatore Libero Gualtieri presento' il dieci ottobre del millenovecentottantaquattro, a nome del Comitato parlamentare per i servizi, lo dice senza perifrasi: i clan di Cutolo furono </w:t>
      </w:r>
      <w:r>
        <w:rPr>
          <w:rFonts w:ascii="Times New Roman" w:hAnsi="Times New Roman" w:cs="Times New Roman" w:eastAsia="Times New Roman"/>
          <w:b/>
          <w:sz w:val="24"/>
        </w:rPr>
        <w:t>elevati a rango di intermediari tra lo Stato e le formazioni terroristiche</w:t>
      </w:r>
      <w:r>
        <w:rPr>
          <w:rFonts w:ascii="Times New Roman" w:hAnsi="Times New Roman" w:cs="Times New Roman" w:eastAsia="Times New Roman"/>
          <w:b w:val="0"/>
          <w:sz w:val="24"/>
        </w:rPr>
        <w:t>. I cardini della trattativa furono due: l'impegno del camorrista a intervenire sui brigatisti per ottenere la liberazione, e la promessa di benefici non patrimoniali a suo favore. Cutolo, significativamente, respinse ogni offerta di denaro, dichiarando di non averne bisogno; chiedeva invece benefici giudiziari, riduzioni di pena, perizie psichiatriche, l'alleggerimento della propria posizione processuale. La Commissione ne trae la conseguenza piu' grave: concedere simili contropartite oltrepassava la sfera d'azione dei servizi e presupponeva necessariamente un intervento di natura politica. E rileva un dettaglio rivelatore: lo Stato individuo' in poche ore i negoziatori giusti, dimostrando una conoscenza dell'ambiente camorristico che, si osserva, avrebbe ben potuto essere impiegata per combattere quella stessa camorra.</w:t>
      </w:r>
    </w:p>
    <w:p>
      <w:pPr>
        <w:spacing w:line="276" w:lineRule="auto" w:before="0" w:after="0"/>
        <w:ind w:firstLine="425"/>
        <w:jc w:val="both"/>
      </w:pPr>
      <w:r>
        <w:rPr>
          <w:rFonts w:ascii="Times New Roman" w:hAnsi="Times New Roman" w:cs="Times New Roman" w:eastAsia="Times New Roman"/>
          <w:b w:val="0"/>
          <w:sz w:val="24"/>
        </w:rPr>
        <w:t xml:space="preserve">Sul fronte dei servizi la trattativa ha due tempi. Il primo e' del Servizio civile, il SISDE, diretto in via vicaria dal prefetto Vincenzo Parisi: il funzionario Giorgio Criscuolo si presento' nel carcere di Ascoli sotto il nome di copertura di Acanfora, in tre visite fra la fine di aprile e i primi di maggio, accreditato presso Cutolo dalla presenza dei camorristi Vincenzo Casillo, Corrado Iacolare e Adolfo Greco. Ma il SISDE, che offriva denaro, falli': fu, secondo la formula che il generale Pietro Musumeci riferi' a Parisi, </w:t>
      </w:r>
      <w:r>
        <w:rPr>
          <w:rFonts w:ascii="Times New Roman" w:hAnsi="Times New Roman" w:cs="Times New Roman" w:eastAsia="Times New Roman"/>
          <w:b/>
          <w:sz w:val="24"/>
        </w:rPr>
        <w:t>schifato</w:t>
      </w:r>
      <w:r>
        <w:rPr>
          <w:rFonts w:ascii="Times New Roman" w:hAnsi="Times New Roman" w:cs="Times New Roman" w:eastAsia="Times New Roman"/>
          <w:b w:val="0"/>
          <w:sz w:val="24"/>
        </w:rPr>
        <w:t xml:space="preserve"> da Cutolo. Subentro' allora il Servizio militare, il SISMI, guidato dal generale Giuseppe Santovito, che entro' ufficialmente in scena l'undici maggio: e fu il SISMI, con le contropartite giudiziarie che al camorrista interessavano, a condurre in porto la partita. Di quel passaggio la relazione Gualtieri offre il giudizio piu' netto: la trattativa fu condotta da elementi del SISMI con </w:t>
      </w:r>
      <w:r>
        <w:rPr>
          <w:rFonts w:ascii="Times New Roman" w:hAnsi="Times New Roman" w:cs="Times New Roman" w:eastAsia="Times New Roman"/>
          <w:b/>
          <w:sz w:val="24"/>
        </w:rPr>
        <w:t>gravi deviazioni dai compiti istituzionali</w:t>
      </w:r>
      <w:r>
        <w:rPr>
          <w:rFonts w:ascii="Times New Roman" w:hAnsi="Times New Roman" w:cs="Times New Roman" w:eastAsia="Times New Roman"/>
          <w:b w:val="0"/>
          <w:sz w:val="24"/>
        </w:rPr>
        <w:t>.</w:t>
      </w:r>
    </w:p>
    <w:p>
      <w:pPr>
        <w:spacing w:line="276" w:lineRule="auto" w:before="0" w:after="0"/>
        <w:ind w:firstLine="425"/>
        <w:jc w:val="both"/>
      </w:pPr>
      <w:r>
        <w:rPr>
          <w:rFonts w:ascii="Times New Roman" w:hAnsi="Times New Roman" w:cs="Times New Roman" w:eastAsia="Times New Roman"/>
          <w:b w:val="0"/>
          <w:sz w:val="24"/>
        </w:rPr>
        <w:t>Accanto ai servizi si muove la politica, e qui la Democrazia cristiana campana e' presente in ogni piega. Il sindaco di Giugliano Giuliano Granata, segretario di Cirillo e uomo della corrente Gava ma vicino alla Nuova Camorra, comparve agli incontri: e la sua presenza, annota la Commissione, acquistava agli occhi di Cutolo il significato oggettivo della disponibilita' dell'onorevole Gava a trattare. Il senatore Francesco Patriarca cerco' di persuadere il camorrista Adolfo Greco a recarsi da Cutolo insieme al funzionario del SISDE, e a lui Greco riferi' al ritorno da Ascoli. Sempre secondo Patriarca, subito dopo il sequestro si tenne a Roma una riunione di partito da lui definita non statutaria, cui parteciparono Antonio Gava, Raffaele Russo e il segretario nazionale Flaminio Piccoli, e in quella sede si sarebbe deciso di costituire a Napoli un'unita' di crisi guidata dallo stesso Russo. Qui lo statuto del corpus impone la sua disciplina: che questi contatti vi furono e' documentato; ma l'ammissione di aver incontrato i funzionari non equivale al mandato di trattare, e Gava, che pure riconobbe gli incontri, nego' di aver dato incarichi.</w:t>
      </w:r>
    </w:p>
    <w:p>
      <w:pPr>
        <w:spacing w:line="276" w:lineRule="auto" w:before="0" w:after="0"/>
        <w:ind w:firstLine="425"/>
        <w:jc w:val="both"/>
      </w:pPr>
      <w:r>
        <w:rPr>
          <w:rFonts w:ascii="Times New Roman" w:hAnsi="Times New Roman" w:cs="Times New Roman" w:eastAsia="Times New Roman"/>
          <w:b w:val="0"/>
          <w:sz w:val="24"/>
        </w:rPr>
        <w:t>Il ponte piu' significativo verso il resto del corpus e' quello che conduce alla loggia Propaganda Due, gia' al centro della triangolazione della voce sessantaquattro. I due ufficiali che condussero per il SISMI la trattativa, il generale Santovito e il generale Musumeci, figurano entrambi nell'elenco verificato degli affiliati alla loggia gia' presente nel corpus, accanto a Giulio Grassini, direttore del SISDE: i vertici dell'apparato di sicurezza che tratto' con Cutolo erano dunque uomini della loggia. E' un aggancio di grado massimo, perche' documentale, e salda il caso Cirillo al quadrilatero finanziario della loggia, del Vaticano e della finanza: una sola loggia ai vertici, due fronti distinti. A cio' si aggiunge che Musumeci fu poi condannato per il depistaggio della strage di Bologna del millenovecentottanta, che il corpus, alla voce quarantotto, riconduce alla stessa loggia. Ma qui va tracciato con nettezza il limite: che quei due generali fossero iscritti alla loggia e' certo; che la trattativa Cirillo sia stata una operazione della loggia come tale non e' provato. Il faccendiere Francesco Pazienza, legato al SISMI e indicato da piu' ricostruzioni fra gli attori della vicenda, non figura nell'elenco verificato del corpus e non e' percio' da esso certificabile come piduista.</w:t>
      </w:r>
    </w:p>
    <w:p>
      <w:pPr>
        <w:spacing w:line="276" w:lineRule="auto" w:before="0" w:after="0"/>
        <w:ind w:firstLine="425"/>
        <w:jc w:val="both"/>
      </w:pPr>
      <w:r>
        <w:rPr>
          <w:rFonts w:ascii="Times New Roman" w:hAnsi="Times New Roman" w:cs="Times New Roman" w:eastAsia="Times New Roman"/>
          <w:b w:val="0"/>
          <w:sz w:val="24"/>
        </w:rPr>
        <w:t>Ne discende la lettura d'insieme, che e' quella del doppio Stato. Il caso Cirillo ne offre la prova empirica: uno Stato legale che, sul caso Moro, aveva proclamato la fermezza contro ogni trattativa, e uno Stato profondo che, tre anni dopo, la trattativa la condusse per vie coperte, delegando alla camorra il ruolo di ponte verso le Brigate rosse. E' lo stesso schema che il corpus aveva riconosciuto nel cluster della voce sessantaquattro, dove la finanza deviata si serviva di Cosa Nostra: qui e' lo Stato a servirsi della camorra. Ma la disciplina dello statuto resta ferma. E' certificata la convergenza di milieu, ossia il fatto che servizi piduisti, camorra, politica democristiana e brigatisti si trovarono, attorno alla liberazione, a operare nella stessa direzione; non e' invece provata una catena di comando unica che li dirigesse tutti. La convergenza e' un dato, la regia unica una congettura.</w:t>
      </w:r>
    </w:p>
    <w:p>
      <w:pPr>
        <w:spacing w:line="276" w:lineRule="auto" w:before="0" w:after="0"/>
        <w:ind w:firstLine="425"/>
        <w:jc w:val="both"/>
      </w:pPr>
      <w:r>
        <w:rPr>
          <w:rFonts w:ascii="Times New Roman" w:hAnsi="Times New Roman" w:cs="Times New Roman" w:eastAsia="Times New Roman"/>
          <w:b w:val="0"/>
          <w:sz w:val="24"/>
        </w:rPr>
        <w:t>Il bilancio secondo lo statuto distingue con cura i gradi. E' certo, al grado piu' alto, tutto cio' che le relazioni parlamentari e le sentenze hanno accertato: il sequestro e i due morti, la liberazione dopo trattativa, i contatti dei due servizi con Cutolo, il rifiuto del denaro, le contropartite giudiziarie richieste, le gravi deviazioni del SISMI, l'iscrizione dei due generali alla loggia. Restano a grado inferiore il mandato politico ultimo, la natura di operazione piduista della trattativa, il ruolo di Pazienza, il movente dell'assassinio del luogotenente Vincenzo Casillo, ucciso a Roma nel millenovecentottantatre, e la stessa categoria interpretativa del doppio Stato. La cifra ultima e' questa: dove il quadrilatero della loggia, del Vaticano e della finanza era il volto finanziario dello Stato profondo, il caso Cirillo ne e' il volto poliziesco e criminale. Stessa loggia ai vertici, stesso metodo di delega alla criminalita' organizzata, stessa scia di sangue. Il vincolo sulle fonti e' stato rispettato in ogni riga, senza alcuna interrogazione in rete e senza alcun uso di Grokipedia ne' del quotidiano il manifesto.</w:t>
      </w:r>
    </w:p>
    <w:p>
      <w:pPr>
        <w:spacing w:line="276" w:lineRule="auto" w:before="0" w:after="0"/>
        <w:ind w:firstLine="425"/>
        <w:jc w:val="both"/>
      </w:pPr>
      <w:r>
        <w:rPr>
          <w:rFonts w:ascii="Times New Roman" w:hAnsi="Times New Roman" w:cs="Times New Roman" w:eastAsia="Times New Roman"/>
          <w:b/>
          <w:sz w:val="24"/>
        </w:rPr>
        <w:t>Fonti e URL</w:t>
      </w:r>
    </w:p>
    <w:p>
      <w:pPr>
        <w:spacing w:line="276" w:lineRule="auto" w:before="0" w:after="0"/>
        <w:ind w:firstLine="425"/>
        <w:jc w:val="both"/>
      </w:pPr>
      <w:r>
        <w:rPr>
          <w:rFonts w:ascii="Times New Roman" w:hAnsi="Times New Roman" w:cs="Times New Roman" w:eastAsia="Times New Roman"/>
          <w:b w:val="0"/>
          <w:sz w:val="24"/>
        </w:rPr>
        <w:t>fonti/Storiaememoria.pdf - rivista Cross Vol.2 N.3 (2016), DOI 10.13130/cross-7795, 'La Camorra e il caso Cirillo' (Sarah Mazzenzana), Sezione 16 del Rapporto sulla Camorra della Commissione parlamentare Antimafia (XI legislatura, Violante, 21.12.1993)</w:t>
      </w:r>
    </w:p>
    <w:p>
      <w:pPr>
        <w:spacing w:line="276" w:lineRule="auto" w:before="0" w:after="0"/>
        <w:ind w:firstLine="425"/>
        <w:jc w:val="both"/>
      </w:pPr>
      <w:r>
        <w:rPr>
          <w:rFonts w:ascii="Times New Roman" w:hAnsi="Times New Roman" w:cs="Times New Roman" w:eastAsia="Times New Roman"/>
          <w:b w:val="0"/>
          <w:sz w:val="24"/>
        </w:rPr>
        <w:t>Relazione del Comitato parlamentare per i servizi (sen. Libero Gualtieri), 10.10.1984 - operato dei servizi nella vicenda Cirillo (citata nel Rapporto)</w:t>
      </w:r>
    </w:p>
    <w:p>
      <w:pPr>
        <w:spacing w:line="276" w:lineRule="auto" w:before="0" w:after="0"/>
        <w:ind w:firstLine="425"/>
        <w:jc w:val="both"/>
      </w:pPr>
      <w:r>
        <w:rPr>
          <w:rFonts w:ascii="Times New Roman" w:hAnsi="Times New Roman" w:cs="Times New Roman" w:eastAsia="Times New Roman"/>
          <w:b w:val="0"/>
          <w:sz w:val="24"/>
        </w:rPr>
        <w:t>Tribunale di Napoli, V sezione penale, sentenza 25.10.1989 (Cutolo Raffaele ed altri); ordinanza-sentenza del giudice istruttore Carlo Alemi, 28.7.1988 (citate nel Rapporto)</w:t>
      </w:r>
    </w:p>
    <w:p>
      <w:pPr>
        <w:spacing w:line="276" w:lineRule="auto" w:before="0" w:after="0"/>
        <w:ind w:firstLine="425"/>
        <w:jc w:val="both"/>
      </w:pPr>
      <w:r>
        <w:rPr>
          <w:rFonts w:ascii="Times New Roman" w:hAnsi="Times New Roman" w:cs="Times New Roman" w:eastAsia="Times New Roman"/>
          <w:b w:val="0"/>
          <w:sz w:val="24"/>
        </w:rPr>
        <w:t>corpus/opera/ITALIA_NERA_ELENCO_P2_FASCICOLI_VERIFICATO_V61.docx (Santovito, Musumeci, Grassini negli affiliati verificati)</w:t>
      </w:r>
    </w:p>
    <w:p>
      <w:pPr>
        <w:spacing w:line="276" w:lineRule="auto" w:before="0" w:after="0"/>
        <w:ind w:firstLine="425"/>
        <w:jc w:val="both"/>
      </w:pPr>
      <w:r>
        <w:rPr>
          <w:rFonts w:ascii="Times New Roman" w:hAnsi="Times New Roman" w:cs="Times New Roman" w:eastAsia="Times New Roman"/>
          <w:b w:val="0"/>
          <w:sz w:val="24"/>
        </w:rPr>
        <w:t>corpus/opera/nodi/D03/ITALIA_NERA_NODO_D03_SISDE...docx e ...SISMI...docx</w:t>
      </w:r>
    </w:p>
    <w:p>
      <w:pPr>
        <w:spacing w:line="276" w:lineRule="auto" w:before="0" w:after="0"/>
        <w:ind w:firstLine="425"/>
        <w:jc w:val="both"/>
      </w:pPr>
      <w:r>
        <w:rPr>
          <w:rFonts w:ascii="Times New Roman" w:hAnsi="Times New Roman" w:cs="Times New Roman" w:eastAsia="Times New Roman"/>
          <w:b w:val="0"/>
          <w:sz w:val="24"/>
        </w:rPr>
        <w:t>corpus/opera/ITALIA_NERA_REGISTRO_DOMINIALE_D07_TERRORISMO_2AGO2026.docx</w:t>
      </w:r>
    </w:p>
    <w:p>
      <w:pPr>
        <w:spacing w:line="276" w:lineRule="auto" w:before="0" w:after="0"/>
        <w:ind w:firstLine="425"/>
        <w:jc w:val="both"/>
      </w:pPr>
      <w:r>
        <w:rPr>
          <w:rFonts w:ascii="Times New Roman" w:hAnsi="Times New Roman" w:cs="Times New Roman" w:eastAsia="Times New Roman"/>
          <w:b w:val="0"/>
          <w:sz w:val="24"/>
        </w:rPr>
        <w:t>corpus/opera/ITALIA_NERA_REGISTRO_SINAPTICO_GENERALE_2AGO2026.docx (nodo Cutolo)</w:t>
      </w:r>
    </w:p>
    <w:p>
      <w:pPr>
        <w:spacing w:line="276" w:lineRule="auto" w:before="0" w:after="0"/>
        <w:ind w:firstLine="425"/>
        <w:jc w:val="both"/>
      </w:pPr>
      <w:r>
        <w:rPr>
          <w:rFonts w:ascii="Times New Roman" w:hAnsi="Times New Roman" w:cs="Times New Roman" w:eastAsia="Times New Roman"/>
          <w:b w:val="0"/>
          <w:sz w:val="24"/>
        </w:rPr>
        <w:t>corpus/diagnostica/ITALIA_NERA_TRIANGOLAZIONE_P2_VATICANO_FINANZA.docx (voce 64, aggancio P2)</w:t>
      </w:r>
    </w:p>
    <w:p>
      <w:pPr>
        <w:spacing w:line="276" w:lineRule="auto" w:before="0" w:after="0"/>
        <w:ind w:firstLine="425"/>
        <w:jc w:val="both"/>
      </w:pPr>
      <w:r>
        <w:rPr>
          <w:rFonts w:ascii="Times New Roman" w:hAnsi="Times New Roman" w:cs="Times New Roman" w:eastAsia="Times New Roman"/>
          <w:b w:val="0"/>
          <w:sz w:val="24"/>
        </w:rPr>
        <w:t>repertorio/ITALIA_NERA_TRIANGOLAZIONE_CASO_CIRILLO.xlsx (i 100 blocchi certificati di questa triangolazione)</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