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Settima nota della campagna, e secondo dei sotto-teatri che il cappello sulla diaspora introduceva: dopo il versante statunitense di Paperclip, il suo speculare sovietico. Il documento ricostruisce la deportazione forzata degli specialisti tedeschi in Unione Sovietica e il loro impiego negli istituti di ricerca militare. La verifica ne riscontra gli snodi portanti e ne controlla la coerenza con il cappello della nota quinta. Il controllo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L'ossatura è confermata al grado pieno.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Trova riscontro puntuale l'operazione stessa, condotta nella notte fra il ventuno e il ventidue ottobre del millenovecentoquarantasei con il rastrellamento simultaneo dei tecnici tedeschi e il loro trasferimento coatto a Oriente insieme alle famiglie — oltre duemiladuecento specialisti e, contando i congiunti, più di seimila persone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la regia degli organi di sicurezza, con Lavrentij Berija a sovrintendere e i suoi luogotenenti a eseguire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e la missione tecnico-scientifica di preda bellica che precedette la deportazione, gemella sovietica della corsa agli scienziati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Gli istituti e le figure reggono una per una.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Trovano conferma i due poli di ricerca sul Mar Nero: l'istituto contrassegnato dalla prima lettera dell'alfabeto, presso Sinop alle porte di Suchumi, diretto dal barone Manfred von Ardenne, e quello contrassegnato dalla settima, ad Agudzery, guidato da Gustav Hertz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Reggono le figure apicali: von Ardenne, insignito per due volte del massimo premio di Stato — nel millenovecentoquarantasette e di nuovo nel millenovecentocinquantatré — per il lavoro sull'arricchimento isotopico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Gustav Hertz, già premio Nobel per la fisica nel millenovecentoventicinque, unico laureato di quel rango a lavorare in Unione Sovietica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Nikolaus Riehl, l'artefice della produzione di uranio metallico per il primo reattore sovietico, premiato con il titolo di eroe del lavoro socialista e con il massimo riconoscimento di Stato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e Peter Adolf Thiessen e Max Volmer, chimici di primo piano anch'essi trasferiti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capitolo missilistico è distinto e va tenuto fermo.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documento ricostruisce correttamente la vicenda del gruppo razzi di Helmut Gröttrup, insediato dapprima a Nordhausen nella zona d'occupazione e poi deportato con Osoaviakhim sull'isola di Gorodomlja, sul lago Seliger, dove i tedeschi lavorarono alla ricostruzione e allo sviluppo dei vettori. È esatto lo schema di fondo per cui i tedeschi fornirono consulenza e progetti di massima mentre la progettazione operativa restava saldamente in mano sovietica, sotto la direzione di Sergej Koroljov e del suo ufficio di progettazione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Va solo evitata la lettura, che il documento non abbraccia ma che la vulgata suggerisce, d'una paternità tedesca dei successi spaziali sovietici: il contributo fu di avvio e di trasferimento di competenze, non di guida del programma </w:t>
      </w:r>
      <w:r>
        <w:rPr>
          <w:rFonts w:ascii="Times New Roman" w:hAnsi="Times New Roman" w:cs="Times New Roman" w:eastAsia="Times New Roman"/>
          <w:b/>
          <w:sz w:val="24"/>
        </w:rPr>
        <w:t>(precisazione di grado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Coerenza col cappello, e simmetria con la nota sesta.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documento è pienamente allineato al cappello sulla diaspora verificato nella nota quinta, che dava per accertata «l'operazione sovietica speculare di deportazione di massa dei tecnici»: qui quella formula trova il suo riscontro di dettaglio, con date, istituti e nomi che collimano </w:t>
      </w:r>
      <w:r>
        <w:rPr>
          <w:rFonts w:ascii="Times New Roman" w:hAnsi="Times New Roman" w:cs="Times New Roman" w:eastAsia="Times New Roman"/>
          <w:b/>
          <w:sz w:val="24"/>
        </w:rPr>
        <w:t>(Livello A, coerente)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E costituisce il contraltare esatto della nota sesta su Paperclip: là un reclutamento per lo più negoziato e mascherato, qui una deportazione coatta manu militari; la differenza di metodo fra i due vincitori è essa stessa un dato che il documento coglie con esattezza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Le poche cautele.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Vanno tenute al grado del probabile le ripartizioni numeriche fini — la distribuzione degli specialisti fra i vari dicasteri e programmi —, che il documento riporta con cifre puntuali di provenienza secondaria e che non è possibile riscontrare una per una alle fonti primarie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Analogamente, la contrapposizione netta fra «contratto volontario» all'Ovest e «coercizione» all'Est, pur sostanzialmente fondata, va maneggiata come chiave interpretativa e non come dato secco, giacché anche all'Ovest operarono pressione e ricatto e all'Est vi furono margini di adesione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 Nulla di tutto ciò intacca l'ossatura, che resta salda.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 complessivo.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Documento accurato, ben ancorato e coerente tanto col cappello quanto con la nota gemella su Paperclip: l'operazione, la sua data, la regia della sicurezza di Stato, i due istituti sul Mar Nero e le figure di von Ardenne, Hertz, Riehl e Gröttrup sono confermati al grado pieno, e il capitolo missilistico regge nella sua corretta gerarchia di contributi. Se ne certifica la verifica con questo esito: pienamente utilizzabile per l'opera, tenendo al grado del probabile le ripartizioni numeriche fini e la dicotomia volontà-coercizione. È la settima voce del registro; sullo stesso cappello resta da verificare il teatro sudamericano.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Operation Osoaviakhim (22 ottobre 1946; &gt;2.200 specialisti) — https://en.wikipedia.org/wiki/Operation_Osoaviakhim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Manfred von Ardenne (Istituto A, Sinop/Suchumi; Premi Stalin 1947 e 1953) — https://en.wikipedia.org/wiki/Manfred_von_Ardenne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Gustav Hertz (Nobel per la fisica 1925; Istituto G, Agudzery) — https://en.wikipedia.org/wiki/Gustav_Hertz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Nikolaus Riehl (uranio metallico; Eroe del lavoro socialista) — https://en.wikipedia.org/wiki/Nikolaus_Riehl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Helmut Gröttrup (Gorodomlja, lago Seliger; gruppo razzi) — https://en.wikipedia.org/wiki/Helmut_Gr%C3%B6ttrup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Sergej Koroljov / OKB-1 (direzione del programma missilistico sovietico) — https://en.wikipedia.org/wiki/Sergei_Korolev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Riscontro interno al corpus: note di verifica n.5 (cappello diaspora) e n.6 (Paperclip) — corpus/diagnostica/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