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cs="Times New Roman" w:eastAsia="Times New Roman"/>
          <w:b/>
          <w:sz w:val="24"/>
        </w:rPr>
        <w:t>ITALIA NERA</w:t>
      </w:r>
    </w:p>
    <w:p>
      <w:pPr>
        <w:spacing w:line="276" w:lineRule="auto" w:before="0" w:after="80"/>
        <w:ind w:firstLine="0"/>
        <w:jc w:val="center"/>
      </w:pPr>
      <w:r>
        <w:rPr>
          <w:rFonts w:ascii="Times New Roman" w:hAnsi="Times New Roman" w:cs="Times New Roman" w:eastAsia="Times New Roman"/>
          <w:b/>
          <w:sz w:val="24"/>
        </w:rPr>
        <w:t>TRIANGOLAZIONE INTEGRALE DELLE SCHEDE CON IL DOSSIER V63</w:t>
      </w:r>
    </w:p>
    <w:p>
      <w:pPr>
        <w:spacing w:line="276" w:lineRule="auto" w:before="0" w:after="80"/>
        <w:ind w:firstLine="0"/>
        <w:jc w:val="center"/>
      </w:pPr>
      <w:r>
        <w:rPr>
          <w:rFonts w:ascii="Times New Roman" w:hAnsi="Times New Roman" w:cs="Times New Roman" w:eastAsia="Times New Roman"/>
          <w:b/>
          <w:sz w:val="24"/>
        </w:rPr>
        <w:t>La sesta tavola della Camera Istruttoria alla prova dei registri, delle ricognizioni e delle monografie</w:t>
      </w:r>
    </w:p>
    <w:p>
      <w:pPr>
        <w:spacing w:line="276" w:lineRule="auto" w:before="0" w:after="80"/>
        <w:ind w:firstLine="0"/>
        <w:jc w:val="center"/>
      </w:pPr>
      <w:r>
        <w:rPr>
          <w:rFonts w:ascii="Times New Roman" w:hAnsi="Times New Roman" w:cs="Times New Roman" w:eastAsia="Times New Roman"/>
          <w:b/>
          <w:sz w:val="24"/>
        </w:rPr>
        <w:t>Luigi De Michele</w:t>
      </w:r>
    </w:p>
    <w:p>
      <w:pPr>
        <w:spacing w:line="276" w:lineRule="auto" w:before="0" w:after="80"/>
        <w:ind w:firstLine="0"/>
        <w:jc w:val="center"/>
      </w:pPr>
      <w:r>
        <w:rPr>
          <w:rFonts w:ascii="Times New Roman" w:hAnsi="Times New Roman" w:cs="Times New Roman" w:eastAsia="Times New Roman"/>
          <w:b/>
          <w:sz w:val="24"/>
        </w:rPr>
        <w:t>Venti agosto duemilaventisei</w:t>
      </w:r>
    </w:p>
    <w:p>
      <w:pPr>
        <w:spacing w:line="276" w:lineRule="auto" w:before="360" w:after="200"/>
        <w:ind w:firstLine="0"/>
        <w:jc w:val="center"/>
      </w:pPr>
      <w:r>
        <w:rPr>
          <w:rFonts w:ascii="Times New Roman" w:hAnsi="Times New Roman" w:cs="Times New Roman" w:eastAsia="Times New Roman"/>
          <w:b/>
          <w:sz w:val="24"/>
        </w:rPr>
        <w:t>NOTA DI APERTURA</w:t>
      </w:r>
    </w:p>
    <w:p>
      <w:pPr>
        <w:spacing w:line="276" w:lineRule="auto" w:before="0" w:after="0"/>
        <w:ind w:firstLine="425"/>
        <w:jc w:val="both"/>
      </w:pPr>
      <w:r>
        <w:rPr>
          <w:rFonts w:ascii="Times New Roman" w:hAnsi="Times New Roman" w:cs="Times New Roman" w:eastAsia="Times New Roman"/>
          <w:b w:val="0"/>
          <w:sz w:val="24"/>
        </w:rPr>
        <w:t>Il presente documento esegue il comando di triangolazione integrale fra le schede conferite e il dossier V63 del diciannove agosto duemilaventisei, recante ai capitoli centotrentasei e centotrentasette la sesta tavola della Camera Istruttoria sul nesso internazionale del caso Moro. La campagna è stata condotta esclusivamente per lettura sistematica e integrale dei testi conferiti, con computi eseguiti a confine di parola sugli esemplari estratti; nessuna interrogazione viva di fonti esterne è stata effettuata durante il lavoro, e le fonti la cui consultazione è vietata dal protocollo dell'opera non sono state consultate. La Regola di Ferro resta sovrana: nessuna asserzione senza fonte, e ogni silenzio è indagato, non asserito. I gradi del Sistema Savona sono resi in grassetto; i numeri sono resi in lettere italiane, con la sola eccezione delle sigle documentali e degli identificativi di blocco, che si riportano nella forma in cui i testi stessi li istituirono. Il principio cumulativo dell'opera resta intatto: questo documento non sostituisce alcun testo anteriore e si federa per rinvio, senza istituire nuovi identificativi di blocco.</w:t>
      </w:r>
    </w:p>
    <w:p>
      <w:pPr>
        <w:spacing w:line="276" w:lineRule="auto" w:before="0" w:after="0"/>
        <w:ind w:firstLine="425"/>
        <w:jc w:val="both"/>
      </w:pPr>
      <w:r>
        <w:rPr>
          <w:rFonts w:ascii="Times New Roman" w:hAnsi="Times New Roman" w:cs="Times New Roman" w:eastAsia="Times New Roman"/>
          <w:b w:val="0"/>
          <w:sz w:val="24"/>
        </w:rPr>
        <w:t>Il conferimento comprendeva, oltre al dossier, diciotto file di scheda, ricondotti per deduplicazione a tredici documenti unici: i sei registri del teatro australe, dal terzo all'ottavo; le due ricognizioni diciassettesima e diciottesima, dedicate rispettivamente al triangolo fra Santa Sede, Democrazia Cristiana e Sudafrica e al contegno italiano alle Nazioni Unite in materia di embargo; il volume della triangolazione atlantica australe in dodici capitoli; e quattro monografie del teatro boliviano, ossia il dossier sulla vendetta del Che e su Monika Ertl, lo studio sul nodo Barbie condotto sulle tre opere di Ryan, di Hammerschmidt e di Steinacher, e la monografia su Guevara e Delle Chiaie in Bolivia nelle sue due stesure, italiana e inglese. Le copie multiple — lo studio Barbie in due esemplari, la monografia in lingua inglese in tre, quella in lingua italiana in due, il dossier Ertl in due — sono state ricondotte all'esemplare unico prima di ogni computo. La deduplicazione è essa stessa un dato dell'Indice di Contaminazione delle Fonti: la molteplicità degli esemplari non moltiplica l'indipendenza delle fonti, e ogni derivato che discende da una medesima stesura conta come una catena sola.</w:t>
      </w:r>
    </w:p>
    <w:p>
      <w:pPr>
        <w:spacing w:line="276" w:lineRule="auto" w:before="360" w:after="200"/>
        <w:ind w:firstLine="0"/>
        <w:jc w:val="center"/>
      </w:pPr>
      <w:r>
        <w:rPr>
          <w:rFonts w:ascii="Times New Roman" w:hAnsi="Times New Roman" w:cs="Times New Roman" w:eastAsia="Times New Roman"/>
          <w:b/>
          <w:sz w:val="24"/>
        </w:rPr>
        <w:t>CAPITOLO PRIMO — Il perimetro documentale e la disciplina della deduplicazione</w:t>
      </w:r>
    </w:p>
    <w:p>
      <w:pPr>
        <w:spacing w:line="276" w:lineRule="auto" w:before="0" w:after="0"/>
        <w:ind w:firstLine="425"/>
        <w:jc w:val="both"/>
      </w:pPr>
      <w:r>
        <w:rPr>
          <w:rFonts w:ascii="Times New Roman" w:hAnsi="Times New Roman" w:cs="Times New Roman" w:eastAsia="Times New Roman"/>
          <w:b w:val="0"/>
          <w:sz w:val="24"/>
        </w:rPr>
        <w:t>Il dossier V63 si presenta come corpo cumulativo di centotrentasette capitoli, entro il quale la sesta tavola occupa i capitoli centotrentasei e centotrentasette e i capitoli federativi delle campagne australi occupano da un lato i capitoli cinquantatré e cinquantaquattro, dall'altro i capitoli da centoquindici a centoventi. I sei registri conferiti coprono, con i loro identificativi originari, gli archi seguenti: il terzo registro i blocchi da 1601 a 2201, il quarto i blocchi da 2301 a 2801, il quinto i blocchi da 2901 a 3301, il sesto i blocchi da 3401 a 3901, il settimo i blocchi da 4001 a 4401, l'ottavo i blocchi da 4501 a 4901. Il volume della triangolazione atlantica australe occupa i blocchi da 5001 a 6122. Da questa ricognizione discende una conseguenza ordinamentale che conviene fissare subito: la serie degli identificativi risulta occupata fino al blocco 6122, sicché ogni futura estensione numerata dovrà muovere da lì, e il presente documento, per non generare collisioni, si articola per capitoli e rinvia ai blocchi altrui con il loro identificativo originario, rimettendo alla sede federativa l'assegnazione della prossima serie libera.</w:t>
      </w:r>
    </w:p>
    <w:p>
      <w:pPr>
        <w:spacing w:line="276" w:lineRule="auto" w:before="0" w:after="0"/>
        <w:ind w:firstLine="425"/>
        <w:jc w:val="both"/>
      </w:pPr>
      <w:r>
        <w:rPr>
          <w:rFonts w:ascii="Times New Roman" w:hAnsi="Times New Roman" w:cs="Times New Roman" w:eastAsia="Times New Roman"/>
          <w:b w:val="0"/>
          <w:sz w:val="24"/>
        </w:rPr>
        <w:t>Quanto al metodo dei computi, ogni conteggio riferito nel presente documento è stato eseguito a confine di parola sull'esemplare unico di ciascun testo, dopo la deduplicazione dichiarata nella nota di apertura. La scelta non è un dettaglio tecnico ma una garanzia epistemica: il computo condotto su esemplari moltiplicati gonfierebbe artificialmente le occorrenze, e il computo condotto senza confine di parola catturerebbe frammenti interni ad altre parole, generando falsi positivi della specie che il corpus ha già imparato a riconoscere e a temere.</w:t>
      </w:r>
    </w:p>
    <w:p>
      <w:pPr>
        <w:spacing w:line="276" w:lineRule="auto" w:before="0" w:after="0"/>
        <w:ind w:firstLine="425"/>
        <w:jc w:val="both"/>
      </w:pPr>
      <w:r>
        <w:rPr>
          <w:rFonts w:ascii="Times New Roman" w:hAnsi="Times New Roman" w:cs="Times New Roman" w:eastAsia="Times New Roman"/>
          <w:b w:val="0"/>
          <w:sz w:val="24"/>
        </w:rPr>
        <w:t>Sintesi del dato nuovo acquisito. Il perimetro della campagna è chiuso e dichiarato: quattordici documenti unici a fronte di diciannove file conferiti, con quattro monografie boliviane presenti in copie multiple ricondotte a unità; la serie degli identificativi di blocco risulta occupata fino al blocco 6122; la triangolazione che segue è condotta su questo perimetro e soltanto su questo.</w:t>
      </w:r>
    </w:p>
    <w:p>
      <w:pPr>
        <w:spacing w:line="276" w:lineRule="auto" w:before="360" w:after="200"/>
        <w:ind w:firstLine="0"/>
        <w:jc w:val="center"/>
      </w:pPr>
      <w:r>
        <w:rPr>
          <w:rFonts w:ascii="Times New Roman" w:hAnsi="Times New Roman" w:cs="Times New Roman" w:eastAsia="Times New Roman"/>
          <w:b/>
          <w:sz w:val="24"/>
        </w:rPr>
        <w:t>CAPITOLO SECONDO — La fedeltà del recepimento: i registri australi e i capitoli federativi</w:t>
      </w:r>
    </w:p>
    <w:p>
      <w:pPr>
        <w:spacing w:line="276" w:lineRule="auto" w:before="0" w:after="0"/>
        <w:ind w:firstLine="425"/>
        <w:jc w:val="both"/>
      </w:pPr>
      <w:r>
        <w:rPr>
          <w:rFonts w:ascii="Times New Roman" w:hAnsi="Times New Roman" w:cs="Times New Roman" w:eastAsia="Times New Roman"/>
          <w:b w:val="0"/>
          <w:sz w:val="24"/>
        </w:rPr>
        <w:t>Il primo esercizio della triangolazione è la verifica di fedeltà: il confronto testuale fra i sei registri conferiti e i capitoli del dossier che dichiarano di recepirli, ossia i capitoli cinquantatré e cinquantaquattro della trentaduesima campagna, che operano il recepimento in ventisei blocchi, e i capitoli da centoquindici a centoventi della quarantanovesima e della cinquantesima campagna. L'esito generale è la fedeltà: in ogni punto sottoposto a riscontro le formulazioni del dossier concordano con quelle dei registri di origine, con una sola divergenza, circoscritta, che si documenta più avanti.</w:t>
      </w:r>
    </w:p>
    <w:p>
      <w:pPr>
        <w:spacing w:line="276" w:lineRule="auto" w:before="0" w:after="0"/>
        <w:ind w:firstLine="425"/>
        <w:jc w:val="both"/>
      </w:pPr>
      <w:r>
        <w:rPr>
          <w:rFonts w:ascii="Times New Roman" w:hAnsi="Times New Roman" w:cs="Times New Roman" w:eastAsia="Times New Roman"/>
          <w:b w:val="0"/>
          <w:sz w:val="24"/>
        </w:rPr>
        <w:t>Le concordanze maggiori meritano di essere enumerate in prosa, perché ciascuna è un pezzo dell'apparato che la sesta tavola presuppone. Dal terzo registro il dossier recepisce la quarta confutazione, per la quale il Sudafrica dell'apartheid non è un nodo a polarità rotante ma uno Stato che contiene simultaneamente i due fronti, con il canale fra il Congresso Nazionale Africano e l'Unione Sovietica attivo dal millenovecentosessantatré da un lato e la rete occidentale dall'altro; recepisce l'annullamento giudiziario dell'accordo nucleare con la Federazione Russa del ventisei aprile duemiladiciassette; recepisce la chiusura del caso della nave Lady R senza prova del carico, secondo le conclusioni del panel Mojapelo; recepisce la polarità invertita dell'attore industriale, per la quale il richiamo Impala del duemiladodici e la commessa di Wonderboom del duemilaventi non riattivano il ponte del millenovecentosessantaquattro, estinto. Si annota, quale reperto ordinamentale, che il terzo registro non figura nel conferimento che il capitolo centodiciotto dichiara «dal quarto all'ottavo», ma risulta federato nei blocchi dall'ottavo all'undicesimo del capitolo cinquantatré: la copertura federativa è dunque completa, ancorché ripartita su due sedi, e la circostanza va tenuta presente da chi in futuro cercasse il terzo registro nella sede sbagliata.</w:t>
      </w:r>
    </w:p>
    <w:p>
      <w:pPr>
        <w:spacing w:line="276" w:lineRule="auto" w:before="0" w:after="0"/>
        <w:ind w:firstLine="425"/>
        <w:jc w:val="both"/>
      </w:pPr>
      <w:r>
        <w:rPr>
          <w:rFonts w:ascii="Times New Roman" w:hAnsi="Times New Roman" w:cs="Times New Roman" w:eastAsia="Times New Roman"/>
          <w:b w:val="0"/>
          <w:sz w:val="24"/>
        </w:rPr>
        <w:t>Dal quarto registro il dossier recepisce la prova di tenuta della scala degli Stati Zero e, soprattutto, il ritiro del cosiddetto fatto trasferito dalla scala medesima: il blocco 2607 stabilì che il dato autentico riprodotto con attribuzione geografica, politica o cronologica modificata non descrive un'assenza e non può perciò abitare una scala di assenze, e lo ricollocò nell'Indice di Contaminazione delle Fonti quale contaminazione per trasferimento di cornice; il registro consegnava inoltre la scala a dieci gradi con le cinque proprietà trasversali, fra le quali la rimediabilità articolata in tre classi. Dal quinto registro il dossier recepisce la Tavola Unica delle Acquisizioni Non Conseguite, ventotto voci ordinate per rimediabilità — diciannove alla classe prima, sette alla seconda, due alla terza — con la constatazione, che è insieme un giudizio storico, che ventisette voci su ventotto sono conseguibili e che l'ostacolo è che nessuno sia andato. Dal sesto recepisce il censimento delle novantotto invocazioni non qualificate dello Stato Zero sulle duecentoquarantunomilacinquantadue parole del volume, l'errore di categoria del caso Ortolani e la prescrizione della doppia qualificazione per grado e per livello, con l'ordinamento delle tavole per classe. Dal settimo recepisce l'emendazione dei computi — centoventidue occorrenze complessive, delle quali novantotto invocazioni al singolare e ventiquattro forme plurali —, la sottodistinzione del quarto grado fra verifica esogena e verifica endogena, la distinzione fra istanze e menzioni, e l'estrazione dell'undicesimo grado, il limite di giurisdizione, dal capitolo del volume dedicato al nodo parigino. Dall'ottavo recepisce il canale giudiziario verso Pretoria, la restrizione dell'undicesimo grado alle informazioni conservate in forma documentale, la misura di copertura e il falso positivo della cascata sinaptica. Il capitolo centodiciotto consolida infine la scala a undici gradi con la doppia qualificazione e distingue le tre specie del silenzio — comportamentale, archivistica e topologica —, mentre il nono grado dell'atto atipico vi risulta generato dalla voce vuota della licenza dell'addestratore armato Aermacchi MB trecentoventisei del millenovecentosessantaquattro, letta alla luce dell'articolo tredici della legge centottantacinque del millenovecentonovanta, e il decimo grado, la barriera macchinica, dalla ricognizione onusiana.</w:t>
      </w:r>
    </w:p>
    <w:p>
      <w:pPr>
        <w:spacing w:line="276" w:lineRule="auto" w:before="0" w:after="0"/>
        <w:ind w:firstLine="425"/>
        <w:jc w:val="both"/>
      </w:pPr>
      <w:r>
        <w:rPr>
          <w:rFonts w:ascii="Times New Roman" w:hAnsi="Times New Roman" w:cs="Times New Roman" w:eastAsia="Times New Roman"/>
          <w:b w:val="0"/>
          <w:sz w:val="24"/>
        </w:rPr>
        <w:t xml:space="preserve">La sola divergenza di recepimento accertata riguarda la scheda del generale Maletti. L'ottavo registro, sul luogo di nascita, prescrive testualmente che la divergenza «si riporta senza comporla»; il capitolo cinquantaquattro del dossier, nel blocco di recepimento, la compone invece, dichiarando il luogo di nascita «ricondotto a Milano», e in altra sede il dossier scrive senz'altro che il generale era nato a Milano il trenta settembre. Il reperto è documentato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poiché entrambi i testi sono agli atti e il confronto è testuale; ma l'oggetto resta ciò che l'ottavo registro ha stabilito, ossia una divergenza da riportare e non da comporre, e l'emendazione che qui si propone è il ripristino, nella sede federativa, della formula prescritta. Concordi risultano invece l'emendazione della data di morte al nove giugno duemilaventuno in luogo del duemilaventiquattro, la cronologia della carriera — la direzione del Reparto D dal millenovecentosettantuno al millenovecentosettantacinque, l'arresto del ventotto febbraio millenovecentosettantasei, l'espatrio del millenovecentottanta, la naturalizzazione sudafricana — e l'intero impianto del canale giudiziario.</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Il recepimento federativo dei sei registri australi è fedele in ogni punto sottoposto a riscontro, con una sola divergenza, circoscritta e documentata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composizione del luogo di nascita del generale Maletti, che l'ottavo registro aveva prescritto di riportare senza comporre; se ne propone l'emendazione, mentre si registra quale reperto ordinamentale la federazione del terzo registro in sede diversa dal conferimento dichiarato dal capitolo centodiciotto.</w:t>
      </w:r>
    </w:p>
    <w:p>
      <w:pPr>
        <w:spacing w:line="276" w:lineRule="auto" w:before="360" w:after="200"/>
        <w:ind w:firstLine="0"/>
        <w:jc w:val="center"/>
      </w:pPr>
      <w:r>
        <w:rPr>
          <w:rFonts w:ascii="Times New Roman" w:hAnsi="Times New Roman" w:cs="Times New Roman" w:eastAsia="Times New Roman"/>
          <w:b/>
          <w:sz w:val="24"/>
        </w:rPr>
        <w:t>CAPITOLO TERZO — La sesta tavola alla prova dell'apparato: il nodo parigino, l'undicesimo grado e la specie topologica</w:t>
      </w:r>
    </w:p>
    <w:p>
      <w:pPr>
        <w:spacing w:line="276" w:lineRule="auto" w:before="0" w:after="0"/>
        <w:ind w:firstLine="425"/>
        <w:jc w:val="both"/>
      </w:pPr>
      <w:r>
        <w:rPr>
          <w:rFonts w:ascii="Times New Roman" w:hAnsi="Times New Roman" w:cs="Times New Roman" w:eastAsia="Times New Roman"/>
          <w:b w:val="0"/>
          <w:sz w:val="24"/>
        </w:rPr>
        <w:t>La sesta tavola statuisce sul nesso internazionale del caso Moro articolandolo in quattro nodi. Il lodo palestinese, attestato in novantadue blocchi del corpus, vede documentato il fatto dell'intesa per il tramite dei dispacci dell'ufficiale del servizio militare, mentre l'incidenza dell'intesa sul sequestro resta al piano dell'attribuito. Il canale di Beirut, nove blocchi, è l'arco di transito istituzionale che rese possibile quella documentazione. Il consulente statunitense vede documentato l'incarico presso l'unità di crisi, mentre le sue dichiarazioni successive restano dichiarazioni di parte. Il nodo parigino, infine, riceve l'emendazione toponomastica: la sede dell'organismo al Quai de la Tournelle al numero ventisette, a Parigi, e non presso alcun indirizzo romano che una parte della memoria del corpus aveva propagato; la funzione di copertura resta attribuita, e dei tre animatori uno solo risulta attestato nel corpus, mentre i due restanti sono a zero occorrenze. Il capo dell'unità di crisi conta centosessantadue blocchi e il Fronte Popolare trentanove, e la tavola ribadisce la distinzione capitale fra la sinapsi documentata e la cascata di co-occorrenza: il computo delle occorrenze misura la visibilità di un nome nel corpus, non la verità di un nesso.</w:t>
      </w:r>
    </w:p>
    <w:p>
      <w:pPr>
        <w:spacing w:line="276" w:lineRule="auto" w:before="0" w:after="0"/>
        <w:ind w:firstLine="425"/>
        <w:jc w:val="both"/>
      </w:pPr>
      <w:r>
        <w:rPr>
          <w:rFonts w:ascii="Times New Roman" w:hAnsi="Times New Roman" w:cs="Times New Roman" w:eastAsia="Times New Roman"/>
          <w:b w:val="0"/>
          <w:sz w:val="24"/>
        </w:rPr>
        <w:t>La triangolazione permette di ricostruire per intero la genealogia dell'undicesimo grado, che è la spina dorsale metodologica del nodo parigino. Il settimo registro lo estrasse dal capitolo del volume dedicato a quel nodo, sul rilievo che un'istruttoria italiana non poteva forzare gli archivi stranieri; l'ottavo lo restrinse, stabilendo che il limite di giurisdizione si applica alle informazioni conservate in forma documentale e non a quelle conservate in forma testimoniale presso persone raggiungibili per rogatoria; il capitolo centodiciotto lo consolidò nella scala a undici gradi; la sesta tavola emenda ora la geografia del medesimo nodo. La pendenza toponomastica iscritta nella memoria di lavoro dell'opera — la sostituzione dell'indirizzo romano con il Quai de la Tournelle al numero ventisette — risulta con ciò chiusa nella sede più alta disponibile, e la catena che va dal settimo registro alla sesta tavola mostra l'apparato nell'atto di correggersi con i propri strumenti.</w:t>
      </w:r>
    </w:p>
    <w:p>
      <w:pPr>
        <w:spacing w:line="276" w:lineRule="auto" w:before="0" w:after="0"/>
        <w:ind w:firstLine="425"/>
        <w:jc w:val="both"/>
      </w:pPr>
      <w:r>
        <w:rPr>
          <w:rFonts w:ascii="Times New Roman" w:hAnsi="Times New Roman" w:cs="Times New Roman" w:eastAsia="Times New Roman"/>
          <w:b w:val="0"/>
          <w:sz w:val="24"/>
        </w:rPr>
        <w:t>Proprio qui, però, la triangolazione consegna la sua tensione più delicata. La sesta tavola battezza specie topologica la specie di silenzio generata dall'errata collocazione spaziale del nodo: per tutto il tempo in cui il nodo fu cercato all'indirizzo sbagliato, gli archi reali rimasero invisibili al grafo. Ma il quarto registro, al blocco 2607, aveva ritirato dalla scala degli Stati Zero il fatto trasferito — il dato autentico riprodotto con attribuzione geografica, politica o cronologica modificata — proprio perché non descrive un'assenza, e lo aveva ricollocato nell'Indice di Contaminazione delle Fonti quale contaminazione per trasferimento di cornice. L'errata collocazione spaziale del nodo parigino coincide strutturalmente con quel meccanismo, trattandosi di un dato autentico, l'esistenza dell'organismo, propagato con una cornice geografica alterata. La riconciliazione è possibile e va enunciata con precisione: la specie topologica descrive l'effetto dell'errore sul grafo, ossia l'assenza delle relazioni reali per tutto il tempo della collocazione errata, mentre la contaminazione per trasferimento di cornice descrive il meccanismo genealogico che ha propagato l'errore lungo le catene di fonti; effetto e meccanismo possono coesistere senza contraddizione, come coesistono la ferita e il coltello. Resta però che la sesta tavola non ha sottoposto la specie topologica ai due test che il quarto registro impose ad ogni candidato alla scala — se descriva un'assenza e in quale classe di rimediabilità ricada — né le ha assegnato un grado. Il presente documento registra la tensione senza scioglierla: la pronuncia spetta alla Camera Istruttoria, e la questione è qui formalmente candidata quale materia di una settima tavola.</w:t>
      </w:r>
    </w:p>
    <w:p>
      <w:pPr>
        <w:spacing w:line="276" w:lineRule="auto" w:before="0" w:after="0"/>
        <w:ind w:firstLine="425"/>
        <w:jc w:val="both"/>
      </w:pPr>
      <w:r>
        <w:rPr>
          <w:rFonts w:ascii="Times New Roman" w:hAnsi="Times New Roman" w:cs="Times New Roman" w:eastAsia="Times New Roman"/>
          <w:b w:val="0"/>
          <w:sz w:val="24"/>
        </w:rPr>
        <w:t>Un ultimo reperto riguarda i due animatori a zero occorrenze. La loro assenza dal corpus non è uno Stato Zero del mondo ma una misura di copertura del corpus, nella dizione dell'ottavo registro: rientra nella classe prima di rimediabilità, essendo l'acquisizione conseguibile dal solo ricercatore mediante estensione documentale, e come tale va iscritta nella Tavola Unica delle Acquisizioni Non Conseguite, non nella scala dei gradi.</w:t>
      </w:r>
    </w:p>
    <w:p>
      <w:pPr>
        <w:spacing w:line="276" w:lineRule="auto" w:before="0" w:after="0"/>
        <w:ind w:firstLine="425"/>
        <w:jc w:val="both"/>
      </w:pPr>
      <w:r>
        <w:rPr>
          <w:rFonts w:ascii="Times New Roman" w:hAnsi="Times New Roman" w:cs="Times New Roman" w:eastAsia="Times New Roman"/>
          <w:b w:val="0"/>
          <w:sz w:val="24"/>
        </w:rPr>
        <w:t>Sintesi del dato nuovo acquisito. La pendenza toponomastica sul nodo parigino è chiusa nella sede più alta e la genealogia dell'undicesimo grado è ricostruita per intero; è individuata, documentata e candidata alla Camera Istruttoria la tensione fra la specie topologica della sesta tavola e la contaminazione per trasferimento di cornice del quarto registro, con la distinzione fra effetto sul grafo e meccanismo genealogico quale via di riconciliazione; l'assenza dei due animatori è riqualificata come misura di copertura di classe prima, da iscrivere nella Tavola Unica.</w:t>
      </w:r>
    </w:p>
    <w:p>
      <w:pPr>
        <w:spacing w:line="276" w:lineRule="auto" w:before="360" w:after="200"/>
        <w:ind w:firstLine="0"/>
        <w:jc w:val="center"/>
      </w:pPr>
      <w:r>
        <w:rPr>
          <w:rFonts w:ascii="Times New Roman" w:hAnsi="Times New Roman" w:cs="Times New Roman" w:eastAsia="Times New Roman"/>
          <w:b/>
          <w:sz w:val="24"/>
        </w:rPr>
        <w:t>CAPITOLO QUARTO — Gli isomorfismi di transito istituzionale e la disciplina delle dichiarazioni di parte</w:t>
      </w:r>
    </w:p>
    <w:p>
      <w:pPr>
        <w:spacing w:line="276" w:lineRule="auto" w:before="0" w:after="0"/>
        <w:ind w:firstLine="425"/>
        <w:jc w:val="both"/>
      </w:pPr>
      <w:r>
        <w:rPr>
          <w:rFonts w:ascii="Times New Roman" w:hAnsi="Times New Roman" w:cs="Times New Roman" w:eastAsia="Times New Roman"/>
          <w:b w:val="0"/>
          <w:sz w:val="24"/>
        </w:rPr>
        <w:t>La comparazione fra la sesta tavola e l'ottavo registro fa emergere un isomorfismo che nessuno dei due testi, preso da solo, poteva vedere. Il canale di Beirut e il canale giudiziario verso Pretoria sono la medesima figura su due teatri: archi di transito istituzionale che attraversano contesti politicamente ostili conservando la forma dell'atto pubblico. Da un lato sta l'ufficiale del servizio militare i cui dispacci documentano il fatto dell'intesa palestinese; dall'altro stanno i quattro accessi in ventotto anni che l'ottavo registro censisce, ossia l'accesso del giudice istruttore Casson nell'agosto millenovecentottantasei, per il tramite del Commissioner Steenkamp e della Corte suprema del Witwatersrand, con esame testimoniale ripetuto nell'aprile millenovecentonovantuno, la delegazione della Commissione Stragi del novembre millenovecentonovantacinque presieduta da Pellegrino, e l'atto della Procura di Palermo del duemilaquattordici a Randburg. In entrambi i casi vale la massima che l'ottavo registro ha scolpito: la cooperazione di canale non equivale all'allineamento politico. Il regime che apre la porta di un tribunale non per questo entra in un'alleanza, e l'ufficiale che riferisce non per questo prova l'incidenza dell'intesa sul sequestro.</w:t>
      </w:r>
    </w:p>
    <w:p>
      <w:pPr>
        <w:spacing w:line="276" w:lineRule="auto" w:before="0" w:after="0"/>
        <w:ind w:firstLine="425"/>
        <w:jc w:val="both"/>
      </w:pPr>
      <w:r>
        <w:rPr>
          <w:rFonts w:ascii="Times New Roman" w:hAnsi="Times New Roman" w:cs="Times New Roman" w:eastAsia="Times New Roman"/>
          <w:b w:val="0"/>
          <w:sz w:val="24"/>
        </w:rPr>
        <w:t>Alla medesima disciplina appartiene il trattamento delle coincidenze temporali. Il primo accesso del giudice istruttore precede di meno di un mese il fallimento comunitario sull'inasprimento delle sanzioni, consumatosi nel settembre millenovecentottantasei sul blocco tedesco del divieto di importazione del carbone sudafricano; la finestra fu registrata per il pattern delle coincidenze temporali e senza nesso, e senza nesso resta, perché nessun documento agli atti collega l'atto giudiziario italiano alla partita sanzionatoria comunitaria. La coincidenza registrata e non promossa a nesso è, in questo apparato, un genere letterario a sé, e la triangolazione conferma che i due teatri lo praticano con identica sobrietà.</w:t>
      </w:r>
    </w:p>
    <w:p>
      <w:pPr>
        <w:spacing w:line="276" w:lineRule="auto" w:before="0" w:after="0"/>
        <w:ind w:firstLine="425"/>
        <w:jc w:val="both"/>
      </w:pPr>
      <w:r>
        <w:rPr>
          <w:rFonts w:ascii="Times New Roman" w:hAnsi="Times New Roman" w:cs="Times New Roman" w:eastAsia="Times New Roman"/>
          <w:b w:val="0"/>
          <w:sz w:val="24"/>
        </w:rPr>
        <w:t xml:space="preserve">Il terzo elemento dell'isomorfismo è la disciplina delle dichiarazioni di parte. Le dichiarazioni successive del consulente statunitense stanno al suo incarico documentato come le dichiarazioni dell'ambasciatore statunitense stanno al caso della nave Lady R: fonte al grado di parte, mai autosufficiente. Il panel Mojapelo non provò il carico, e nessuna dichiarazione retrospettiva del consulente eleva l'attribuito a documentato. L'acquisizione vera è l'isomorfismo del trattamento: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l'atto — l'incarico, l'attracco, il dispaccio —, grado di parte per l'interpretazione che il protagonista ne dà. Nella stessa famiglia concettuale abita il falso positivo della cascata sinaptica: nell'ottavo registro le cinque sinapsi in uscita della scheda, delle quali tre rinviano a entità che il corpus dei nodi non contiene e una a un dominio privo di archivio, dimostrano che la co-occorrenza in cascata non genera sinapsi documentate, e la sesta tavola applica il medesimo principio quando distingue la sinapsi documentata dalla cascata di co-occorrenza. La controprova sul versante moroteo è il caso Aginter: Moro e Aginter co-occorrono in quindici documenti del corpus unificato, massimo nodo-ponte fra i due insiemi, e Moro e la PIDE in dodici, non perché esista un nesso, ma perché i grandi contenitori documentali contengono entrambi i nomi.</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Il canale di Beirut e il canale giudiziario verso Pretoria sono formalizzati quale coppia isomorfa di archi di transito istituzionale; la disciplina unitaria delle dichiarazioni di parte è estesa dal teatro australe al nesso moroteo con la formula del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l'atto e del grado di parte per l'interpretazione; il falso positivo della cascata sinaptica e la distinzione della sesta tavola fra sinapsi e co-occorrenza risultano confermarsi a vicenda.</w:t>
      </w:r>
    </w:p>
    <w:p>
      <w:pPr>
        <w:spacing w:line="276" w:lineRule="auto" w:before="360" w:after="200"/>
        <w:ind w:firstLine="0"/>
        <w:jc w:val="center"/>
      </w:pPr>
      <w:r>
        <w:rPr>
          <w:rFonts w:ascii="Times New Roman" w:hAnsi="Times New Roman" w:cs="Times New Roman" w:eastAsia="Times New Roman"/>
          <w:b/>
          <w:sz w:val="24"/>
        </w:rPr>
        <w:t>CAPITOLO QUINTO — Il teatro boliviano e l'assenza reciproca</w:t>
      </w:r>
    </w:p>
    <w:p>
      <w:pPr>
        <w:spacing w:line="276" w:lineRule="auto" w:before="0" w:after="0"/>
        <w:ind w:firstLine="425"/>
        <w:jc w:val="both"/>
      </w:pPr>
      <w:r>
        <w:rPr>
          <w:rFonts w:ascii="Times New Roman" w:hAnsi="Times New Roman" w:cs="Times New Roman" w:eastAsia="Times New Roman"/>
          <w:b w:val="0"/>
          <w:sz w:val="24"/>
        </w:rPr>
        <w:t>Le quattro monografie boliviane risultano a zero occorrenze, a confine di parola, su tutti i lemmi del nesso internazionale del caso Moro: il nome di Moro, il nodo parigino, il canale di Beirut, il capo del Fronte Popolare, il consulente statunitense, l'ufficiale del servizio. Specularmente, il dossier V63 non contiene alcun arco documentato verso il teatro boliviano nel periodo del sequestro. L'assenza è dunque reciproca ed è accertata per verifica endogena, nella dizione del settimo registro: l'estensione del corpus interrogato è dichiarata — le quattro monografie per intero, il dossier per intero — e il silenzio vale entro quel perimetro e non oltre.</w:t>
      </w:r>
    </w:p>
    <w:p>
      <w:pPr>
        <w:spacing w:line="276" w:lineRule="auto" w:before="0" w:after="0"/>
        <w:ind w:firstLine="425"/>
        <w:jc w:val="both"/>
      </w:pPr>
      <w:r>
        <w:rPr>
          <w:rFonts w:ascii="Times New Roman" w:hAnsi="Times New Roman" w:cs="Times New Roman" w:eastAsia="Times New Roman"/>
          <w:b w:val="0"/>
          <w:sz w:val="24"/>
        </w:rPr>
        <w:t xml:space="preserve">L'unico nodo condiviso fra i due teatri è Feltrinelli, e la catena che lo attraversa è documentata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il console boliviano Quintanilla, ucciso ad Amburgo il primo aprile millenovecentosettantuno da Monika Ertl con una Colt Cobra calibro trentotto la cui matricola fu accertata dall'Interpol come riconducibile a Feltrinelli e verbalizzata negli atti della Commissione Stragi, con il conforto convergente dei rapporti dell'Interpol, del biografo Aldo Grandi e dell'audizione di Silvano Girotto; la stessa Monika Ertl uccisa in Bolivia il dodici maggio millenovecentosettantatré. Ma Feltrinelli morì nel millenovecentosettantadue, sei anni prima del sequestro: la cronologia impedisce ogni saldatura fra la catena boliviana e il nesso internazionale del millenovecentosettantotto, e chi volesse leggere nella pistola di Amburgo un ponte verso via Fani commetterebbe insieme i due errori che l'apparato ha già nominato, il trasferimento di cornice del quarto registro e la cascata sinaptica dell'ottavo.</w:t>
      </w:r>
    </w:p>
    <w:p>
      <w:pPr>
        <w:spacing w:line="276" w:lineRule="auto" w:before="0" w:after="0"/>
        <w:ind w:firstLine="425"/>
        <w:jc w:val="both"/>
      </w:pPr>
      <w:r>
        <w:rPr>
          <w:rFonts w:ascii="Times New Roman" w:hAnsi="Times New Roman" w:cs="Times New Roman" w:eastAsia="Times New Roman"/>
          <w:b w:val="0"/>
          <w:sz w:val="24"/>
        </w:rPr>
        <w:t>Quanto al resto del teatro, la triangolazione conferma le sobrietà delle monografie: il ponte fra Barbie e l'eliminazione della Ertl nel millenovecentosettantatré resta fragile, perché la testimonianza di Debray non prova e l'analisi delle ipotesi concorrenti condotta nelle monografie privilegia l'iniziativa autonoma dell'intelligence boliviana; il golpe della cocaina del diciassette luglio millenovecentottanta, con la partecipazione di Delle Chiaie accertata su altro piano, appartiene ad altra catena causale e ad altro teatro. Vale anche qui il principio che la prova su un teatro non si trasferisce ad altro teatro, e l'assenza reciproca accertata in questo capitolo è un reperto di prima grandezza, non un difetto della campagna: entrambi i corpora sono stati perlustrati integralmente, e la mancanza dell'arco è essa stessa il dato.</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L'assenza reciproca fra il teatro boliviano e il nesso internazionale del caso Moro è accertata per verifica endogena su corpora integralmente perlustrati; Feltrinelli è l'unico nodo condiviso, con catena amburghese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saldatura verso il millenovecentosettantotto impedita dalla cronologia; il reperto consegnato alla sede federativa è l'assenza, documentata al perimetro dichiarato.</w:t>
      </w:r>
    </w:p>
    <w:p>
      <w:pPr>
        <w:spacing w:line="276" w:lineRule="auto" w:before="360" w:after="200"/>
        <w:ind w:firstLine="0"/>
        <w:jc w:val="center"/>
      </w:pPr>
      <w:r>
        <w:rPr>
          <w:rFonts w:ascii="Times New Roman" w:hAnsi="Times New Roman" w:cs="Times New Roman" w:eastAsia="Times New Roman"/>
          <w:b/>
          <w:sz w:val="24"/>
        </w:rPr>
        <w:t>CAPITOLO SESTO — Santa Sede, embargo e volume atlantico: l'asimmetria del nodo Moro</w:t>
      </w:r>
    </w:p>
    <w:p>
      <w:pPr>
        <w:spacing w:line="276" w:lineRule="auto" w:before="0" w:after="0"/>
        <w:ind w:firstLine="425"/>
        <w:jc w:val="both"/>
      </w:pPr>
      <w:r>
        <w:rPr>
          <w:rFonts w:ascii="Times New Roman" w:hAnsi="Times New Roman" w:cs="Times New Roman" w:eastAsia="Times New Roman"/>
          <w:b w:val="0"/>
          <w:sz w:val="24"/>
        </w:rPr>
        <w:t>La diciassettesima ricognizione consegna al triangolo fra Santa Sede, Democrazia Cristiana e Sudafrica la sua misura più eloquente: settantadue anni di rapporti retti da delegati apostolici e da nessun nunzio fino al millenovecentonovantaquattro, con le relazioni diplomatiche piene istituite il quindici giugno millenovecentonovantaquattro e la nunziatura il venticinque giugno del medesimo anno. La ricognizione formula la differenza fra strumenti e non fra virtù e registra il rovesciamento del rapporto fra centro e periferia; lo Stato Zero sul segmento fra Moro e il Sudafrica vi era qualificato al terzo grado tendente al sesto. La diciottesima ricognizione consegna invece la grammatica del contegno italiano alle Nazioni Unite: il documento S/9640 del sei febbraio millenovecentosettanta, con la difesa dell'ambasciatore Vinci contro l'accusa dello Zambia, il documento gemello tedesco S/9648, l'inversione del millenovecentosettantasei-settantasette fra la posizione italiana e quella tedesca, lo schema del millenovecentosettantaquattro come grammatica; da questa ricognizione discende, come già annotato, la genesi del decimo grado, la barriera macchinica.</w:t>
      </w:r>
    </w:p>
    <w:p>
      <w:pPr>
        <w:spacing w:line="276" w:lineRule="auto" w:before="0" w:after="0"/>
        <w:ind w:firstLine="425"/>
        <w:jc w:val="both"/>
      </w:pPr>
      <w:r>
        <w:rPr>
          <w:rFonts w:ascii="Times New Roman" w:hAnsi="Times New Roman" w:cs="Times New Roman" w:eastAsia="Times New Roman"/>
          <w:b w:val="0"/>
          <w:sz w:val="24"/>
        </w:rPr>
        <w:t xml:space="preserve">Il volume della triangolazione atlantica australe, dodici capitoli sui blocchi da 5001 a 6122, porta al punto la questione morotea. Il suo capitolo decimo accerta che la monografia morotea di trecentosessantanovemilaseicentosettantasette parole non contiene alcuna occorrenza del Sudafrica, di Aermacchi, di Aginter; il telegramma del ventisei settembre millenovecentosessantanove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divieto di impiego per rischio di contaminazione di cornice; cinque coincidenze istituzionali sono registrate senza nesso; lo Stato Zero fra Moro e il Sudafrica è riqualificato al terzo grado,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val="0"/>
          <w:sz w:val="24"/>
        </w:rPr>
        <w:t xml:space="preserve">Da questi tre corpi discende l'asimmetria che la triangolazione può ora formalizzare. Moro è simultaneamente il nodo più attestato dell'intero corpus — milleduecentocinquantuno blocchi al computo del capitolo centotré, nodo cardinale di convergenza dei cinque domini nella sesta tavola — e uno Stato Zero sul perimetro australe. Le due cose stanno insieme senza contraddizione, e la loro coesistenza è la dimostrazione empirica più netta del principio per cui la prova su un teatro non si trasferisce ad altro teatro: la sesta tavola documenta il nesso mediterraneo e parigino, i registri e il volume documentano l'assenza del nesso sudafricano, e il nesso sull'Oder-Neisse resta l'unico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emerso dalle nove ricognizioni del filone della Farnesina. La macro-ipotesi H1, ricevuta come ordo expositionis e non come ordo probandi,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non riceve dalla presente triangolazione né conferma né smentita: nessuno dei reperti qui censiti la tocca.</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L'asimmetria del nodo Moro è formalizzata quale coesistenza non contraddittoria di massima attestazione e di Stato Zero su teatri distinti; il principio di non trasferibilità della prova ne esce confermato per via empirica; la macro-ipotesi H1 resta intatta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il nesso sull'Oder-Neisse quale unico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del filone.</w:t>
      </w:r>
    </w:p>
    <w:p>
      <w:pPr>
        <w:spacing w:line="276" w:lineRule="auto" w:before="360" w:after="200"/>
        <w:ind w:firstLine="0"/>
        <w:jc w:val="center"/>
      </w:pPr>
      <w:r>
        <w:rPr>
          <w:rFonts w:ascii="Times New Roman" w:hAnsi="Times New Roman" w:cs="Times New Roman" w:eastAsia="Times New Roman"/>
          <w:b/>
          <w:sz w:val="24"/>
        </w:rPr>
        <w:t>CAPITOLO SETTIMO — Le pendenze, la proposta di settima tavola e l'emendazione delle raccomandazioni</w:t>
      </w:r>
    </w:p>
    <w:p>
      <w:pPr>
        <w:spacing w:line="276" w:lineRule="auto" w:before="0" w:after="0"/>
        <w:ind w:firstLine="425"/>
        <w:jc w:val="both"/>
      </w:pPr>
      <w:r>
        <w:rPr>
          <w:rFonts w:ascii="Times New Roman" w:hAnsi="Times New Roman" w:cs="Times New Roman" w:eastAsia="Times New Roman"/>
          <w:b w:val="0"/>
          <w:sz w:val="24"/>
        </w:rPr>
        <w:t>La triangolazione consegna alla Camera Istruttoria tre candidature formali. La prima è la specie topologica: essa va sottoposta ai due test che il quarto registro impose ad ogni candidato alla scala — se descriva un'assenza e in quale classe di rimediabilità ricada — e va riconciliata con la contaminazione per trasferimento di cornice secondo la distinzione, qui enunciata, fra effetto sul grafo e meccanismo genealogico; è la materia naturale di una settima tavola. La seconda è l'iscrizione dei due animatori del nodo parigino nella Tavola Unica delle Acquisizioni Non Conseguite quali voci di classe prima, essendo la loro assenza una misura di copertura del corpus e non uno Stato Zero del mondo. La terza è il ripristino, nella scheda federata del generale Maletti, della formula per cui la divergenza sul luogo di nascita si riporta senza comporla.</w:t>
      </w:r>
    </w:p>
    <w:p>
      <w:pPr>
        <w:spacing w:line="276" w:lineRule="auto" w:before="0" w:after="0"/>
        <w:ind w:firstLine="425"/>
        <w:jc w:val="both"/>
      </w:pPr>
      <w:r>
        <w:rPr>
          <w:rFonts w:ascii="Times New Roman" w:hAnsi="Times New Roman" w:cs="Times New Roman" w:eastAsia="Times New Roman"/>
          <w:b w:val="0"/>
          <w:sz w:val="24"/>
        </w:rPr>
        <w:t>Si propone inoltre un'emendazione di metodo sulle raccomandazioni conclusive del dossier. Le voci che vi figurano — le perizie sulla Skorpion, l'episodio di via Dogali del giugno millenovecentottantotto, Aurisina, i dodici naschi, il rapporto UCIGOS del millenovecentosettantanove, la Walther PPK di via Fani — non risultano ordinate per classe di rimediabilità, come invece il quinto registro prescrisse per le tavole delle assenze e il sesto per gli strumenti del volume. Se ne propone il riordino secondo la grammatica della Tavola Unica, che sul teatro australe ha già dimostrato che ventisette voci su ventotto erano conseguibili e che l'ostacolo era che nessuno fosse andato: l'ordinamento per rimediabilità trasforma un elenco di desideri in un piano di lavoro, e non vi è ragione perché la disciplina valga per le assenze australi e non per le pendenze morotee.</w:t>
      </w:r>
    </w:p>
    <w:p>
      <w:pPr>
        <w:spacing w:line="276" w:lineRule="auto" w:before="0" w:after="0"/>
        <w:ind w:firstLine="425"/>
        <w:jc w:val="both"/>
      </w:pPr>
      <w:r>
        <w:rPr>
          <w:rFonts w:ascii="Times New Roman" w:hAnsi="Times New Roman" w:cs="Times New Roman" w:eastAsia="Times New Roman"/>
          <w:b w:val="0"/>
          <w:sz w:val="24"/>
        </w:rPr>
        <w:t>Restano ferme, non toccate dalla presente campagna, le pendenze già iscritte nella memoria di lavoro dell'opera, fra le quali il censimento per voce dei fascicoli da FO-0215 a FO-0219, lo schema a tre campi della tessera P2, la connessione fra Falcone e la Procura di Mosca, il documento statunitense speculare sulle operazioni coperte in Italia, la linea genealogica ascendente di Wanda Vannacci e l'albero paterno di Roberto Vannacci. La triangolazione qui consegnata non pronuncia: ordina la materia e la rimette alla Camera Istruttoria, secondo la regola per cui ogni nuova statuizione esige quella sede.</w:t>
      </w:r>
    </w:p>
    <w:p>
      <w:pPr>
        <w:spacing w:line="276" w:lineRule="auto" w:before="0" w:after="0"/>
        <w:ind w:firstLine="425"/>
        <w:jc w:val="both"/>
      </w:pPr>
      <w:r>
        <w:rPr>
          <w:rFonts w:ascii="Times New Roman" w:hAnsi="Times New Roman" w:cs="Times New Roman" w:eastAsia="Times New Roman"/>
          <w:b w:val="0"/>
          <w:sz w:val="24"/>
        </w:rPr>
        <w:t>Sintesi del dato nuovo acquisito. Sono formalizzate tre candidature — la settima tavola sulla specie topologica, l'iscrizione dei due animatori nella Tavola Unica quali voci di classe prima, l'emendazione della scheda Maletti — e una proposta di riordino delle raccomandazioni per classi di rimediabilità; l'apparato dell'opera, dalla scala degli Stati Zero all'Indice di Contaminazione, dalla disciplina delle dichiarazioni di parte alla non trasferibilità della prova fra teatri, ha retto alla prova incrociata dei quattordici documenti senza richiedere revisioni, ma soltanto una composizione da sciogliere e una specie da esaminare.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