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cs="Times New Roman" w:eastAsia="Times New Roman"/>
          <w:b/>
          <w:sz w:val="24"/>
        </w:rPr>
        <w:t>ITALIA NERA</w:t>
      </w:r>
    </w:p>
    <w:p>
      <w:pPr>
        <w:spacing w:line="276" w:lineRule="auto" w:before="0" w:after="80"/>
        <w:ind w:firstLine="0"/>
        <w:jc w:val="center"/>
      </w:pPr>
      <w:r>
        <w:rPr>
          <w:rFonts w:ascii="Times New Roman" w:hAnsi="Times New Roman" w:cs="Times New Roman" w:eastAsia="Times New Roman"/>
          <w:b/>
          <w:sz w:val="24"/>
        </w:rPr>
        <w:t>TRIANGOLAZIONE INTEGRALE — SECONDA SERIE</w:t>
      </w:r>
    </w:p>
    <w:p>
      <w:pPr>
        <w:spacing w:line="276" w:lineRule="auto" w:before="0" w:after="80"/>
        <w:ind w:firstLine="0"/>
        <w:jc w:val="center"/>
      </w:pPr>
      <w:r>
        <w:rPr>
          <w:rFonts w:ascii="Times New Roman" w:hAnsi="Times New Roman" w:cs="Times New Roman" w:eastAsia="Times New Roman"/>
          <w:b/>
          <w:sz w:val="24"/>
        </w:rPr>
        <w:t>Le diciotto ricognizioni, i primi due registri australi e l'appendice morotea alla prova del Dossier V63</w:t>
      </w:r>
    </w:p>
    <w:p>
      <w:pPr>
        <w:spacing w:line="276" w:lineRule="auto" w:before="0" w:after="80"/>
        <w:ind w:firstLine="0"/>
        <w:jc w:val="center"/>
      </w:pPr>
      <w:r>
        <w:rPr>
          <w:rFonts w:ascii="Times New Roman" w:hAnsi="Times New Roman" w:cs="Times New Roman" w:eastAsia="Times New Roman"/>
          <w:b/>
          <w:sz w:val="24"/>
        </w:rPr>
        <w:t>Luigi De Michele</w:t>
      </w:r>
    </w:p>
    <w:p>
      <w:pPr>
        <w:spacing w:line="276" w:lineRule="auto" w:before="0" w:after="80"/>
        <w:ind w:firstLine="0"/>
        <w:jc w:val="center"/>
      </w:pPr>
      <w:r>
        <w:rPr>
          <w:rFonts w:ascii="Times New Roman" w:hAnsi="Times New Roman" w:cs="Times New Roman" w:eastAsia="Times New Roman"/>
          <w:b/>
          <w:sz w:val="24"/>
        </w:rPr>
        <w:t>Venti agosto duemilaventisei</w:t>
      </w:r>
    </w:p>
    <w:p>
      <w:pPr>
        <w:spacing w:line="276" w:lineRule="auto" w:before="360" w:after="200"/>
        <w:ind w:firstLine="0"/>
        <w:jc w:val="center"/>
      </w:pPr>
      <w:r>
        <w:rPr>
          <w:rFonts w:ascii="Times New Roman" w:hAnsi="Times New Roman" w:cs="Times New Roman" w:eastAsia="Times New Roman"/>
          <w:b/>
          <w:sz w:val="24"/>
        </w:rPr>
        <w:t>NOTA DI APERTURA</w:t>
      </w:r>
    </w:p>
    <w:p>
      <w:pPr>
        <w:spacing w:line="276" w:lineRule="auto" w:before="0" w:after="0"/>
        <w:ind w:firstLine="425"/>
        <w:jc w:val="both"/>
      </w:pPr>
      <w:r>
        <w:rPr>
          <w:rFonts w:ascii="Times New Roman" w:hAnsi="Times New Roman" w:cs="Times New Roman" w:eastAsia="Times New Roman"/>
          <w:b w:val="0"/>
          <w:sz w:val="24"/>
        </w:rPr>
        <w:t>Il presente documento prosegue la triangolazione integrale aperta con la prima serie del venti agosto duemilaventisei e ne conserva ogni disciplina: lettura sistematica e integrale dei testi conferiti, computi a confine di parola sugli esemplari estratti, nessuna interrogazione viva di fonti esterne, esclusione delle fonti vietate, Regola di Ferro sovrana, gradi del Sistema Savona in grassetto, numeri in lettere italiane con la sola eccezione delle sigle documentali e degli identificativi di blocco. Il conferimento della seconda serie comprende venti file, dei quali due — la diciottesima ricognizione sul contegno italiano alle Nazioni Unite e la diciassettesima sul triangolo fra Santa Sede, Democrazia Cristiana e Sudafrica — risultano identici per impronta agli esemplari già acquisiti e triangolati nella prima serie, e non sono stati ricomputati. I diciotto documenti nuovi sono: i nove studi della serie della Farnesina censiti dal registro delle undici ricognizioni; il registro medesimo; la dodicesima ricognizione sui sette casi extraeuropei; la tredicesima su Aginter Press e lo Stato italiano; le ricognizioni quattordicesima, quindicesima e sedicesima del teatro australe; il primo e il secondo registro analitico dei nodi e dei ponti; l'appendice quindicesima alla Fase Settima del registro moroteo. Il presente documento si federa alla prima serie senza sostituirla e non istituisce identificativi di blocco.</w:t>
      </w:r>
    </w:p>
    <w:p>
      <w:pPr>
        <w:spacing w:line="276" w:lineRule="auto" w:before="360" w:after="200"/>
        <w:ind w:firstLine="0"/>
        <w:jc w:val="center"/>
      </w:pPr>
      <w:r>
        <w:rPr>
          <w:rFonts w:ascii="Times New Roman" w:hAnsi="Times New Roman" w:cs="Times New Roman" w:eastAsia="Times New Roman"/>
          <w:b/>
          <w:sz w:val="24"/>
        </w:rPr>
        <w:t>CAPITOLO PRIMO — Il perimetro, le impronte e la catena di identità</w:t>
      </w:r>
    </w:p>
    <w:p>
      <w:pPr>
        <w:spacing w:line="276" w:lineRule="auto" w:before="0" w:after="0"/>
        <w:ind w:firstLine="425"/>
        <w:jc w:val="both"/>
      </w:pPr>
      <w:r>
        <w:rPr>
          <w:rFonts w:ascii="Times New Roman" w:hAnsi="Times New Roman" w:cs="Times New Roman" w:eastAsia="Times New Roman"/>
          <w:b w:val="0"/>
          <w:sz w:val="24"/>
        </w:rPr>
        <w:t xml:space="preserve">La verifica di identità è, per questo lotto, la più forte che l'opera abbia mai potuto eseguire, perché il registro delle undici ricognizioni censisce i documenti della serie con la loro impronta crittografica. Le nove impronte relative ai nove studi morotei conferiti sono state ricalcolate sui file medesimi e coincidono carattere per carattere con quelle iscritte nel registro: l'identità fra i documenti censiti e i documenti conferiti è dunque accertata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ogni asserzione del registro sulla serie si trasferisce senza residuo agli esemplari in atti. Un solo documento censito manca al conferimento: l'undicesima ricognizione, dedicata a Strauß e ad Aginter Press, della quale il registro riporta il nome del file e l'impronta, che principia per e16391f2. La sua assenza non è uno Stato Zero del mondo ma una misura di copertura del conferimento, di classe prima di rimediabilità, e come tale si iscrive fra le pendenze.</w:t>
      </w:r>
    </w:p>
    <w:p>
      <w:pPr>
        <w:spacing w:line="276" w:lineRule="auto" w:before="0" w:after="0"/>
        <w:ind w:firstLine="425"/>
        <w:jc w:val="both"/>
      </w:pPr>
      <w:r>
        <w:rPr>
          <w:rFonts w:ascii="Times New Roman" w:hAnsi="Times New Roman" w:cs="Times New Roman" w:eastAsia="Times New Roman"/>
          <w:b w:val="0"/>
          <w:sz w:val="24"/>
        </w:rPr>
        <w:t>La ricostruzione della serie, resa possibile dall'incrocio fra i frontespizi e i registri, è essa stessa un'acquisizione ordinamentale. La serie della Farnesina corre dalla prima all'undicesima ricognizione, censite dal registro in dieci documenti, essendo la quarta esistita come ricerca e non come documento; prosegue con la dodicesima, i sette casi extraeuropei, e con la tredicesima, i due silenzi di Aginter; continua con le cinque ricognizioni del teatro australe — la quattordicesima sulla calibrazione libica, la quindicesima sul canale Aermacchi, la sedicesima sul confronto italo-tedesco namibiano, la diciassettesima sulla Santa Sede e la diciottesima sulle fonti onusiane —; ed è infine triangolata dal primo registro analitico dei nodi e dei ponti, articolato in blocchi mirati sino al numero 801, e dal secondo, dai blocchi 901 a 1501. Con ciò la numerazione dei blocchi risulta saldata senza soluzione di continuità dall'origine al blocco 6122 del volume atlantico: primo registro sino a 801, secondo da 901 a 1501, terzo da 1601 a 2201, e di seguito sino all'ottavo e al volume, come la prima serie ha già censito. Quanto alla deduplicazione, i due file identici per impronta al lotto precedente confermano per via crittografica ciò che la disciplina dell'Indice di Contaminazione prescrive: la molteplicità degli esemplari non moltiplica le fonti.</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Le nove impronte del registro delle undici ricognizioni coincidono carattere per carattere con i file conferiti, e l'identità della serie è accertata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l'undicesima ricognizione, censita per impronta, manca al conferimento e si iscrive quale misura di copertura di classe prima; la numerazione dei blocchi mirati risulta continua dall'origine al blocco 6122, e la mappa integrale della serie — diciotto ricognizioni, due registri di triangolazione a monte dei sei già acquisiti, un'appendice morotea — è ricostruita e fissata.</w:t>
      </w:r>
    </w:p>
    <w:p>
      <w:pPr>
        <w:spacing w:line="276" w:lineRule="auto" w:before="360" w:after="200"/>
        <w:ind w:firstLine="0"/>
        <w:jc w:val="center"/>
      </w:pPr>
      <w:r>
        <w:rPr>
          <w:rFonts w:ascii="Times New Roman" w:hAnsi="Times New Roman" w:cs="Times New Roman" w:eastAsia="Times New Roman"/>
          <w:b/>
          <w:sz w:val="24"/>
        </w:rPr>
        <w:t>CAPITOLO SECONDO — La genealogia integrale della scala degli Stati Zero</w:t>
      </w:r>
    </w:p>
    <w:p>
      <w:pPr>
        <w:spacing w:line="276" w:lineRule="auto" w:before="0" w:after="0"/>
        <w:ind w:firstLine="425"/>
        <w:jc w:val="both"/>
      </w:pPr>
      <w:r>
        <w:rPr>
          <w:rFonts w:ascii="Times New Roman" w:hAnsi="Times New Roman" w:cs="Times New Roman" w:eastAsia="Times New Roman"/>
          <w:b w:val="0"/>
          <w:sz w:val="24"/>
        </w:rPr>
        <w:t>Il lotto consente di ricostruire per la prima volta, su documenti tutti in atti, la genealogia completa della scala che il capitolo centodiciotto del dossier consolida a undici gradi. La scala nasce a sette gradi nel capitolo terzo del registro delle undici ricognizioni, che gradua gli Stati Zero secondo la natura dell'impedimento: l'impossibilità istituzionale, il cui caso è la documentazione vaticana posteriore all'ottobre millenovecentocinquantotto; il limite di strumento, il cui caso è la banca dati del sindacato ispettivo che copre soltanto dal cinque luglio millenovecentosettantasei; il deposito inesplorato, il cui caso è il fondo della polizia politica portoghese, di cui metà non è mai stata consultata; l'insieme vuoto verificato, il cui caso è l'assenza dell'ente di apostolato da Grecia, Cipro e Turchia accertata contro il registro ufficiale del soggetto medesimo; l'esito negativo presso i beneficiari, il cui caso è l'espulsione dei nove religiosi del tredici aprile millenovecentosettantaquattro; l'assenza coerente con la collocazione, il cui caso è lo Stato Zero fra Moro e l'ente, confermato tre volte; e l'allegazione senza base documentale, che è il rovescio dello Stato Zero e il cui caso estremo è un nome che non esiste in alcuna fonte.</w:t>
      </w:r>
    </w:p>
    <w:p>
      <w:pPr>
        <w:spacing w:line="276" w:lineRule="auto" w:before="0" w:after="0"/>
        <w:ind w:firstLine="425"/>
        <w:jc w:val="both"/>
      </w:pPr>
      <w:r>
        <w:rPr>
          <w:rFonts w:ascii="Times New Roman" w:hAnsi="Times New Roman" w:cs="Times New Roman" w:eastAsia="Times New Roman"/>
          <w:b w:val="0"/>
          <w:sz w:val="24"/>
        </w:rPr>
        <w:t>L'ottavo grado nasce nella tredicesima ricognizione e ha una natura che muta la scala: il falso positivo, che non è assenza di informazione ma presenza di informazione falsa dove quella vera era detenuta. Il caso è l'appunto del servizio informazioni, dipendente dal Ministero della Difesa e non dagli Esteri e diretto agli organi di polizia, che sbaglia la nazionalità del proprio soggetto, ne inverte l'ideologia e giunge alla magistratura con tre anni di ritardo; e la ricognizione ne trae una correzione alla quinta proposizione della serie, perché la traccia lasciata da un soggetto disinteressato può essere falsa, e il criterio dei soggetti disinteressati va da allora applicato con questa avvertenza. Il nono grado, l'atto atipico, nasce nella quindicesima ricognizione dal regime del millenovecentoquarantuno e dall'assenza, sino all'articolo tredici della legge centottantacinque del millenovecentonovanta, di una fattispecie autorizzativa per la cessione di licenze di produzione; il decimo, la barriera macchinica, nasce nella diciottesima e nel primo registro, al blocco 702, dal rifiuto opposto dal server documentale onusiano al recupero dei corpi delle due lettere italiane. Il quarto registro consegna poi la scala a dieci gradi dopo avere ritirato il fatto trasferito, il settimo vi aggiunge l'undicesimo grado del limite di giurisdizione, l'ottavo lo restringe, e il capitolo centodiciotto consolida. La scala, come il secondo registro osserva al blocco 1408 e come l'ottavo grado ora estende, non descrive più soltanto ciò che gli archivi non conservano: descrive ciò che il diritto non produsse, ciò che il metodo non raggiunge e ciò che l'informazione falsa occupa.</w:t>
      </w:r>
    </w:p>
    <w:p>
      <w:pPr>
        <w:spacing w:line="276" w:lineRule="auto" w:before="0" w:after="0"/>
        <w:ind w:firstLine="425"/>
        <w:jc w:val="both"/>
      </w:pPr>
      <w:r>
        <w:rPr>
          <w:rFonts w:ascii="Times New Roman" w:hAnsi="Times New Roman" w:cs="Times New Roman" w:eastAsia="Times New Roman"/>
          <w:b w:val="0"/>
          <w:sz w:val="24"/>
        </w:rPr>
        <w:t>Sintesi del dato nuovo acquisito. La genealogia della scala è ricostruita per intero su documenti in atti: sette gradi dal registro delle undici ricognizioni, l'ottavo — il falso positivo — dalla tredicesima, il nono dalla quindicesima, il decimo dalla diciottesima e dal primo registro, il decimo consolidato e l'undicesimo dai registri quarto e settimo, sino al consolidamento del capitolo centodiciotto; e con l'ottavo grado la correzione della quinta proposizione entra formalmente nella disciplina delle fonti.</w:t>
      </w:r>
    </w:p>
    <w:p>
      <w:pPr>
        <w:spacing w:line="276" w:lineRule="auto" w:before="360" w:after="200"/>
        <w:ind w:firstLine="0"/>
        <w:jc w:val="center"/>
      </w:pPr>
      <w:r>
        <w:rPr>
          <w:rFonts w:ascii="Times New Roman" w:hAnsi="Times New Roman" w:cs="Times New Roman" w:eastAsia="Times New Roman"/>
          <w:b/>
          <w:sz w:val="24"/>
        </w:rPr>
        <w:t>CAPITOLO TERZO — Il registro delle undici ricognizioni e le due tensioni sul nesso Oder-Neisse</w:t>
      </w:r>
    </w:p>
    <w:p>
      <w:pPr>
        <w:spacing w:line="276" w:lineRule="auto" w:before="0" w:after="0"/>
        <w:ind w:firstLine="425"/>
        <w:jc w:val="both"/>
      </w:pPr>
      <w:r>
        <w:rPr>
          <w:rFonts w:ascii="Times New Roman" w:hAnsi="Times New Roman" w:cs="Times New Roman" w:eastAsia="Times New Roman"/>
          <w:b w:val="0"/>
          <w:sz w:val="24"/>
        </w:rPr>
        <w:t>Il registro delle undici ricognizioni si dichiara estraneo al Registro Analitico e al computo dei gradi, ed è strumento e non fonte; ma proprio per questo la sua triangolazione con il dossier è dovuta. La prima operazione è la riconciliazione dei computi. Il dossier, al capitolo ventuno, parla di nove ricognizioni; il registro ne censisce undici in dieci documenti, dei quali nove morotei e uno dedicato a Strauß, essendo la quarta priva di documento autonomo; e il frontespizio della nona dichiara essa stessa il primo nesso documentato in nove studi. Il computo di nove del dossier corrisponde dunque allo stato moroteo della serie e non diverge dal censimento: la riconciliazione si registra e chiude il punto. Una divergenza vera, invece, corre fra i frontespizi e il censimento sul tratto iberico: il documento che il registro censisce quale seconda ricognizione si intitola da sé terza, e quello censito quale terza si intitola quarta, mentre dalla quinta in poi ordinali interni e censimento coincidono; il registro dichiara una sola discontinuità della numerazione, la quarta priva di documento, e la divergenza dei frontespizi non vi è annotata. Secondo la disciplina che l'opera stessa ha fissato, la divergenza si riporta senza comporla, e così qui si fa.</w:t>
      </w:r>
    </w:p>
    <w:p>
      <w:pPr>
        <w:spacing w:line="276" w:lineRule="auto" w:before="0" w:after="0"/>
        <w:ind w:firstLine="425"/>
        <w:jc w:val="both"/>
      </w:pPr>
      <w:r>
        <w:rPr>
          <w:rFonts w:ascii="Times New Roman" w:hAnsi="Times New Roman" w:cs="Times New Roman" w:eastAsia="Times New Roman"/>
          <w:b w:val="0"/>
          <w:sz w:val="24"/>
        </w:rPr>
        <w:t xml:space="preserve">La seconda tensione è la maggiore del lotto e investe il solo risultato positivo dell'intera serie. Il capitolo sesto del registro accerta che il nesso fra la ratifica del Trattato di Varsavia e le due costituzioni apostoliche del ventotto giugno millenovecentosettantadue — venticinque giorni fra entrata in vigore e atto, quarantadue fra ratifica e atto, con la consuetudine dichiarata per il tramite del cardinale Döpfner, la comunicazione di accompagnamento riferita espressamente al trattato e il silenzio deliberato del testo canonico — poggia, quanto alla frase decisiva, sulla citazione di Hummel del duemilacinque, che una ricerca mirata ha accertato essere priva di nota, di segnatura archivistica e di rinvio bibliografico, e internamente contraddetta dalla frase successiva del medesimo paragrafo; sicché la verifica definitiva richiede le pagine de L'Osservatore Romano del ventinove e trenta giugno millenovecentosettantadue, digitalizzate ma ad accesso riservato, ed è la sola voce della tavola che possa mutare un accertamento anziché aggiungerne uno. Il dossier, dal canto suo, iscrive la sequenza sull'Oder-Neisse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quale accoppiamento documentato; e il riscontro a confine di parola accerta che né il nome di Hummel né L'Osservatore Romano vi ricorrono. La fragilità genealogica censita dal registro non risulta dunque recepita accanto alla qualificazione, e la tensione va consegnata alla Camera Istruttoria in questi termini: o la voce di verifica si acquisisce e chiude, o la qualificazione dell'unico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del filone va accompagnata dalla dichiarazione della propria condizione pendente. Il presente documento non pronuncia.</w:t>
      </w:r>
    </w:p>
    <w:p>
      <w:pPr>
        <w:spacing w:line="276" w:lineRule="auto" w:before="0" w:after="0"/>
        <w:ind w:firstLine="425"/>
        <w:jc w:val="both"/>
      </w:pPr>
      <w:r>
        <w:rPr>
          <w:rFonts w:ascii="Times New Roman" w:hAnsi="Times New Roman" w:cs="Times New Roman" w:eastAsia="Times New Roman"/>
          <w:b w:val="0"/>
          <w:sz w:val="24"/>
        </w:rPr>
        <w:t>Restano da versare, del registro, le acquisizioni ordinamentali che il dossier non nomina: le cinque proposizioni di metodo del capitolo decimo, proposte quale appendice alla Nota Metodologica e costruite come sistema a tensioni — la prima e la seconda in opposizione, la terza e la quinta in opposizione, la quarta a governo delle altre —, delle quali il riscontro accerta l'assenza dal dossier; la tavola fusa del capitolo quinto, che riduce quaranta voci per studio a quattordici sedi archivistiche e stabilisce che una sola condizione istituzionale, l'apertura del pontificato di Paolo VI, sblocca quattro studi insieme; e il corollario della terza regolarità, per cui l'apertura di un archivio non equivale alla sua lettura. Anche queste si iscrivono fra le candidature al recepimento.</w:t>
      </w:r>
    </w:p>
    <w:p>
      <w:pPr>
        <w:spacing w:line="276" w:lineRule="auto" w:before="0" w:after="0"/>
        <w:ind w:firstLine="425"/>
        <w:jc w:val="both"/>
      </w:pPr>
      <w:r>
        <w:rPr>
          <w:rFonts w:ascii="Times New Roman" w:hAnsi="Times New Roman" w:cs="Times New Roman" w:eastAsia="Times New Roman"/>
          <w:b w:val="0"/>
          <w:sz w:val="24"/>
        </w:rPr>
        <w:t xml:space="preserve">Sintesi del dato nuovo acquisito. Il computo delle nove ricognizioni del dossier è riconciliato con il censimento delle undici senza divergenza; la divergenza vera — gli ordinali di frontespizio del tratto iberico — è riportata senza composizione; è individuata e consegnata alla Camera Istruttoria la tensione fra la qualificazione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del nesso sull'Oder-Neisse e la fragilità genealogica della sua fonte decisiva, con la voce de L'Osservatore Romano quale unica acquisizione capace di mutare un accertamento; le cinque proposizioni, la tavola delle quattordici sedi e il corollario sulla lettura degli archivi sono candidate al recepimento.</w:t>
      </w:r>
    </w:p>
    <w:p>
      <w:pPr>
        <w:spacing w:line="276" w:lineRule="auto" w:before="360" w:after="200"/>
        <w:ind w:firstLine="0"/>
        <w:jc w:val="center"/>
      </w:pPr>
      <w:r>
        <w:rPr>
          <w:rFonts w:ascii="Times New Roman" w:hAnsi="Times New Roman" w:cs="Times New Roman" w:eastAsia="Times New Roman"/>
          <w:b/>
          <w:sz w:val="24"/>
        </w:rPr>
        <w:t>CAPITOLO QUARTO — Le due revisioni del modello e il metodo dei casi avversi</w:t>
      </w:r>
    </w:p>
    <w:p>
      <w:pPr>
        <w:spacing w:line="276" w:lineRule="auto" w:before="0" w:after="0"/>
        <w:ind w:firstLine="425"/>
        <w:jc w:val="both"/>
      </w:pPr>
      <w:r>
        <w:rPr>
          <w:rFonts w:ascii="Times New Roman" w:hAnsi="Times New Roman" w:cs="Times New Roman" w:eastAsia="Times New Roman"/>
          <w:b w:val="0"/>
          <w:sz w:val="24"/>
        </w:rPr>
        <w:t>La serie contiene il solo caso, nell'intero corpus, di una proposizione formulata, confutata e riformulata due volte per opera della medesima disciplina. L'ottava ricognizione formulò il modello a due condizioni per l'insediamento dell'ente di apostolato — maggioranza cattolica e ceto universitario e professionale cattolico autoctono — dichiarando la condizione di falsificazione ed elencando per nome i casi avversi non esaminati. La decima falsificò la prima condizione con tre casi che stavano nell'elenco europeo — la Gran Bretagna del millenovecentoquarantasei, la Germania del millenovecentocinquantadue, la Svezia del millenovecentottantaquattro — e riformulò il modello su una condizione sola, con la distinzione fra radicamento e trapianto. La dodicesima ricognizione, conferita in questo lotto, eseguì l'esame dei sette casi extraeuropei che l'ottava aveva nominato, e il Kenya falsificò il modello a due modalità: ne discese la terza modalità, la costruzione endogena del ceto, e il modello vige ora in tre modalità anziché due, con due errori dell'autore dichiarati in frontespizio perché la Regola di Ferro vale anche per chi la applica. Il lascito, che la dodicesima enuncia, è la conferma rafforzata della quarta proposizione: entrambe le confutazioni vennero dall'elenco dei casi avversi che il modello stesso aveva scritto, e un modello che avesse taciuto quei nomi starebbe ancora in piedi in entrambe le forme superate, ed entrambe false.</w:t>
      </w:r>
    </w:p>
    <w:p>
      <w:pPr>
        <w:spacing w:line="276" w:lineRule="auto" w:before="0" w:after="0"/>
        <w:ind w:firstLine="425"/>
        <w:jc w:val="both"/>
      </w:pPr>
      <w:r>
        <w:rPr>
          <w:rFonts w:ascii="Times New Roman" w:hAnsi="Times New Roman" w:cs="Times New Roman" w:eastAsia="Times New Roman"/>
          <w:b w:val="0"/>
          <w:sz w:val="24"/>
        </w:rPr>
        <w:t>La triangolazione con il dossier consegna qui un reperto di copertura preciso. Il riscontro a confine di parola accerta che il dossier possiede il modello nella forma della decima ricognizione — radicamento e trapianto vi ricorrono quattro volte ciascuno — ma non nella forma della dodicesima: la locuzione dodicesima ricognizione non vi ricorre, e non vi ricorrono il Kenya, i sette casi extraeuropei, la costruzione endogena. Il modello giace dunque nel dossier nella forma superata, e l'emendazione che qui si propone è il recepimento della terza modalità con la sua genealogia. Si registra infine, della dodicesima, la voce sul nome non riscontrato presso l'archivio della fondazione educativa, che appartiene alla famiglia dell'allegazione senza base e conferma che il settimo grado opera anche fuori d'Europa.</w:t>
      </w:r>
    </w:p>
    <w:p>
      <w:pPr>
        <w:spacing w:line="276" w:lineRule="auto" w:before="0" w:after="0"/>
        <w:ind w:firstLine="425"/>
        <w:jc w:val="both"/>
      </w:pPr>
      <w:r>
        <w:rPr>
          <w:rFonts w:ascii="Times New Roman" w:hAnsi="Times New Roman" w:cs="Times New Roman" w:eastAsia="Times New Roman"/>
          <w:b w:val="0"/>
          <w:sz w:val="24"/>
        </w:rPr>
        <w:t>Sintesi del dato nuovo acquisito. La doppia revisione del modello — da due condizioni a una, da due modalità a tre — è acquisita agli atti con la dodicesima ricognizione, e con essa la forma più forte della quarta proposizione: la confutazione viene dall'elenco dei casi avversi scritto dal modello medesimo; il dossier possiede il modello nella forma superata della decima e non recepisce la dodicesima, e se ne propone l'emendazione.</w:t>
      </w:r>
    </w:p>
    <w:p>
      <w:pPr>
        <w:spacing w:line="276" w:lineRule="auto" w:before="360" w:after="200"/>
        <w:ind w:firstLine="0"/>
        <w:jc w:val="center"/>
      </w:pPr>
      <w:r>
        <w:rPr>
          <w:rFonts w:ascii="Times New Roman" w:hAnsi="Times New Roman" w:cs="Times New Roman" w:eastAsia="Times New Roman"/>
          <w:b/>
          <w:sz w:val="24"/>
        </w:rPr>
        <w:t>CAPITOLO QUINTO — I registri a monte, il test su H1 e la famiglia delle contaminazioni</w:t>
      </w:r>
    </w:p>
    <w:p>
      <w:pPr>
        <w:spacing w:line="276" w:lineRule="auto" w:before="0" w:after="0"/>
        <w:ind w:firstLine="425"/>
        <w:jc w:val="both"/>
      </w:pPr>
      <w:r>
        <w:rPr>
          <w:rFonts w:ascii="Times New Roman" w:hAnsi="Times New Roman" w:cs="Times New Roman" w:eastAsia="Times New Roman"/>
          <w:b w:val="0"/>
          <w:sz w:val="24"/>
        </w:rPr>
        <w:t xml:space="preserve">Il primo registro analitico dei nodi e dei ponti triangola le cinque ricognizioni australi con il primo tomo del registro certificato e con la monografia morotea, e versa il ponte di transito che è l'acquisizione principale del teatro: la catena della sub-licenza dalla Bristol Siddeley alla Piaggio e alla FIAT per il turbogetto, e da queste al Sudafrica per il velivolo, con il documento d'intelligence statunitense di segnatura C06283667 che attribuisce all'Italia l'anello autorizzativo,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natura valutativa della fonte e con tenore univoco. Il medesimo registro dichiara al blocco 607 che nessun ponte fra Aldo Moro e il teatro australe è costruibile, e qualifica quello Stato Zero al grado del deposito inesplorato tendente all'assenza coerente con la collocazione: la qualificazione concorda per grado con quella della diciassettesima ricognizione — terzo grado tendente al sesto — e con la riqualificazione al terzo grado,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che il volume atlantico avrebbe poi operato e che la prima serie ha già censito; la catena della qualificazione morotea australe risulta così coerente lungo tre sedi successive, e la concordanza si registra quale prova di tenuta della scala sul caso più esposto.</w:t>
      </w:r>
    </w:p>
    <w:p>
      <w:pPr>
        <w:spacing w:line="276" w:lineRule="auto" w:before="0" w:after="0"/>
        <w:ind w:firstLine="425"/>
        <w:jc w:val="both"/>
      </w:pPr>
      <w:r>
        <w:rPr>
          <w:rFonts w:ascii="Times New Roman" w:hAnsi="Times New Roman" w:cs="Times New Roman" w:eastAsia="Times New Roman"/>
          <w:b w:val="0"/>
          <w:sz w:val="24"/>
        </w:rPr>
        <w:t xml:space="preserve">Il secondo registro esegue il test più duro sulla macro-ipotesi. Accertato che l'Edizione Integrata del volume conta millenovecentocinquantadue paragrafi e duecentoquarantunomilacinquantadue parole — computo che concorda alla parola con quello del sesto registro della prima serie —, e che essa possiede il teatro australe al paragrafo della Formazione Alfa dedicato all'asse dei paria, il registro conduce sul dossier dell'apartheid la verifica della polarità delle superpotenze: il voto unanime del quattro novembre millenovecentosettantasette e la divergenza operativa immediatamente successiva, con la frattura rilevante che non corre fra Est e Ovest ma dentro l'Occidente. Ne discende, al blocco 1108, che il teatro australe si iscrive fra i falsificatori disponibili della macro-ipotesi e non fra le sue conferme, con il limite del blocco 1109: un solo teatro non falsifica un'ipotesi sistemica, ma la obbliga, ove mantenuta, a escludere il dossier australe dal proprio perimetro e a dichiararlo. Il riscontro sul dossier accerta la fedeltà del recepimento: la formula per cui il teatro milita contro la macro-ipotesi per la divergenza delle potenze e la frattura interna vi ricorre, e la macro-ipotesi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come la prima serie ha già fissato. Si versano infine del secondo registro la distinzione fra i due flussi non comunicanti — le persone per il contenitore ideologico, i materiali per il canale industriale e statale —, la distinzione fra canali costituiti per eludere e canali preesistenti non risolti, e il reperto negativo di prima classe per cui nessun codice unificante spiega la distribuzione delle condotte sul dossier australe.</w:t>
      </w:r>
    </w:p>
    <w:p>
      <w:pPr>
        <w:spacing w:line="276" w:lineRule="auto" w:before="0" w:after="0"/>
        <w:ind w:firstLine="425"/>
        <w:jc w:val="both"/>
      </w:pPr>
      <w:r>
        <w:rPr>
          <w:rFonts w:ascii="Times New Roman" w:hAnsi="Times New Roman" w:cs="Times New Roman" w:eastAsia="Times New Roman"/>
          <w:b w:val="0"/>
          <w:sz w:val="24"/>
        </w:rPr>
        <w:t>Dal lotto emerge infine, per accostamento di tre sedi, una famiglia concettuale che l'apparato possiede in pezzi separati e che conviene nominare: le specie della contaminazione. Il capitolo ottavo del registro delle undici ricognizioni definisce la contaminazione per prossimità, con cui un'asserzione debole prende in prestito il credito dei fatti documentati che le stanno accanto, e i tre criteri per riconoscerla; il quarto registro definisce la contaminazione per trasferimento di cornice; la tredicesima ricognizione definisce il falso positivo dell'ottavo grado. Il riscontro accerta che la contaminazione per prossimità non ricorre nel dossier. Si propone perciò, quale candidatura ordinamentale, una tavola unica delle specie di contaminazione entro l'Indice di Contaminazione delle Fonti — prossimità, trasferimento di cornice, falso positivo, produzione su commissione di cui al capitolo seguente —, simmetrica alla scala delle assenze e ordinata, come quella, per criterio di riconoscimento e rimedio.</w:t>
      </w:r>
    </w:p>
    <w:p>
      <w:pPr>
        <w:spacing w:line="276" w:lineRule="auto" w:before="0" w:after="0"/>
        <w:ind w:firstLine="425"/>
        <w:jc w:val="both"/>
      </w:pPr>
      <w:r>
        <w:rPr>
          <w:rFonts w:ascii="Times New Roman" w:hAnsi="Times New Roman" w:cs="Times New Roman" w:eastAsia="Times New Roman"/>
          <w:b w:val="0"/>
          <w:sz w:val="24"/>
        </w:rPr>
        <w:t>Sintesi del dato nuovo acquisito. Il ponte di transito della sub-licenza e il documento C06283667 sono acquisiti con il loro grado; la qualificazione dello Stato Zero moroteo australe risulta coerente lungo tre sedi successive; il test del secondo registro iscrive il teatro australe fra i falsificatori disponibili della macro-ipotesi con recepimento fedele nel dossier; ed è formulata la candidatura di una tavola unica delle specie di contaminazione, che raccolga prossimità, trasferimento di cornice, falso positivo e produzione su commissione entro l'Indice di Contaminazione.</w:t>
      </w:r>
    </w:p>
    <w:p>
      <w:pPr>
        <w:spacing w:line="276" w:lineRule="auto" w:before="360" w:after="200"/>
        <w:ind w:firstLine="0"/>
        <w:jc w:val="center"/>
      </w:pPr>
      <w:r>
        <w:rPr>
          <w:rFonts w:ascii="Times New Roman" w:hAnsi="Times New Roman" w:cs="Times New Roman" w:eastAsia="Times New Roman"/>
          <w:b/>
          <w:sz w:val="24"/>
        </w:rPr>
        <w:t>CAPITOLO SESTO — L'appendice quindicesima e la disciplina dello stato deliberativo</w:t>
      </w:r>
    </w:p>
    <w:p>
      <w:pPr>
        <w:spacing w:line="276" w:lineRule="auto" w:before="0" w:after="0"/>
        <w:ind w:firstLine="425"/>
        <w:jc w:val="both"/>
      </w:pPr>
      <w:r>
        <w:rPr>
          <w:rFonts w:ascii="Times New Roman" w:hAnsi="Times New Roman" w:cs="Times New Roman" w:eastAsia="Times New Roman"/>
          <w:b w:val="0"/>
          <w:sz w:val="24"/>
        </w:rPr>
        <w:t>L'appendice quindicesima alla Fase Settima opera sulla terza relazione semestrale della Commissione della dodicesima legislatura e consegna all'opera tre acquisizioni di disciplina. La prima è la diciottesima regola della risalita: una proposta di relazione depositata e non discussa non è una relazione, un capitolo stralciato non è un capitolo, e le fonti d'inchiesta si designano per lo stato deliberativo che hanno effettivamente raggiunto — proposta depositata, documento approvato dall'organo, documento discusso in Assemblea —, con la disposizione che ogni citazione rechi tale indicazione. La seconda è la teorizzazione, da parte dell'organo medesimo, della propria discontinuità di memoria istituzionale, con l'aggiunta che le divergenze fra Commissioni successive possono avere causa politica anziché istruttoria, sicché le conclusioni parlamentari non si leggono come strati di un accertamento progressivo. La terza è la disciplina della produzione su commissione: gli elaborati di consulenza depositati presso un organo d'inchiesta hanno genealogia interna all'archivio che li ha fatti produrre, e ove un incarico risulti revocato per sospetto di infedeltà essi non possono essere impiegati come catena indipendente; l'appendice iscrive la voce quarantanovesima e quattro Stati Zero, e ricostruisce la catena delle quattro leggi che governano il mandato dal millenovecentosettantanove al millenovecentonovantasei. Il riscontro sul dossier accerta che lo stato deliberativo vi ricorre: il recepimento dell'appendice, che la prima serie sapeva già federata al capitolo cinquantatré, risulta dunque anche lessicalmente attivo, e la disciplina della produzione su commissione è precisamente il quarto membro della famiglia delle contaminazioni proposta al capitolo precedente.</w:t>
      </w:r>
    </w:p>
    <w:p>
      <w:pPr>
        <w:spacing w:line="276" w:lineRule="auto" w:before="0" w:after="0"/>
        <w:ind w:firstLine="425"/>
        <w:jc w:val="both"/>
      </w:pPr>
      <w:r>
        <w:rPr>
          <w:rFonts w:ascii="Times New Roman" w:hAnsi="Times New Roman" w:cs="Times New Roman" w:eastAsia="Times New Roman"/>
          <w:b w:val="0"/>
          <w:sz w:val="24"/>
        </w:rPr>
        <w:t>Sintesi del dato nuovo acquisito. La diciottesima regola della risalita, la non cumulabilità per causa politica delle conclusioni parlamentari e la disciplina della produzione su commissione sono acquisite agli atti con la voce quarantanovesima e i quattro Stati Zero dell'appendice; il recepimento nel dossier è verificato per lemma; la produzione su commissione è iscritta quale quarta specie della tavola delle contaminazioni candidata.</w:t>
      </w:r>
    </w:p>
    <w:p>
      <w:pPr>
        <w:spacing w:line="276" w:lineRule="auto" w:before="360" w:after="200"/>
        <w:ind w:firstLine="0"/>
        <w:jc w:val="center"/>
      </w:pPr>
      <w:r>
        <w:rPr>
          <w:rFonts w:ascii="Times New Roman" w:hAnsi="Times New Roman" w:cs="Times New Roman" w:eastAsia="Times New Roman"/>
          <w:b/>
          <w:sz w:val="24"/>
        </w:rPr>
        <w:t>CAPITOLO SETTIMO — Le candidature, le emendazioni e le pendenze della seconda serie</w:t>
      </w:r>
    </w:p>
    <w:p>
      <w:pPr>
        <w:spacing w:line="276" w:lineRule="auto" w:before="0" w:after="0"/>
        <w:ind w:firstLine="425"/>
        <w:jc w:val="both"/>
      </w:pPr>
      <w:r>
        <w:rPr>
          <w:rFonts w:ascii="Times New Roman" w:hAnsi="Times New Roman" w:cs="Times New Roman" w:eastAsia="Times New Roman"/>
          <w:b w:val="0"/>
          <w:sz w:val="24"/>
        </w:rPr>
        <w:t xml:space="preserve">La seconda serie consegna alla Camera Istruttoria e alla sede federativa le seguenti materie, enunciate in prosa e ordinate per rimediabilità secondo la grammatica della Tavola Unica. Di classe prima, conseguibili dal solo ricercatore: il conferimento dell'undicesima ricognizione mancante, identificabile per impronta; il recepimento della dodicesima ricognizione con la terza modalità della costruzione endogena, che emenda la forma superata del modello oggi giacente nel dossier; il recepimento delle cinque proposizioni quale appendice alla Nota Metodologica, della tavola delle quattordici sedi e del corollario per cui l'apertura di un archivio non ne equivale alla lettura; l'istituzione della tavola unica delle specie di contaminazione — prossimità, trasferimento di cornice, falso positivo, produzione su commissione — entro l'Indice di Contaminazione; la registrazione senza composizione della divergenza degli ordinali di frontespizio sul tratto iberico della serie. Di classe seconda, conseguibili con una richiesta: le pagine de L'Osservatore Romano del ventinove e trenta giugno millenovecentosettantadue, che sole possono chiudere la tensione sul solo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del filone, e che si propongono quale prima voce assoluta di ogni riordino delle raccomandazioni. Resta rimessa alla Camera Istruttoria, senza pronuncia in questa sede, la qualificazione cautelare del nesso sull'Oder-Neisse per il tempo in cui la voce non sia chiusa.</w:t>
      </w:r>
    </w:p>
    <w:p>
      <w:pPr>
        <w:spacing w:line="276" w:lineRule="auto" w:before="0" w:after="0"/>
        <w:ind w:firstLine="425"/>
        <w:jc w:val="both"/>
      </w:pPr>
      <w:r>
        <w:rPr>
          <w:rFonts w:ascii="Times New Roman" w:hAnsi="Times New Roman" w:cs="Times New Roman" w:eastAsia="Times New Roman"/>
          <w:b w:val="0"/>
          <w:sz w:val="24"/>
        </w:rPr>
        <w:t>Si registra infine lo stato complessivo dopo le due serie. L'apparato — la scala degli Stati Zero nella sua genealogia ora integrale, l'Indice di Contaminazione con la famiglia delle sue specie, la disciplina delle dichiarazioni di parte, la non trasferibilità della prova fra teatri, il metodo dei casi avversi elencati per nome — ha retto alla prova incrociata di trentadue documenti unici senza richiedere revisioni di impianto; le tensioni individuate sono due, la specie topologica della prima serie e la fonte del nesso sull'Oder-Neisse della seconda, ed entrambe sono consegnate con la loro via di scioglimento; le pendenze anteriori della memoria di lavoro restano invariate e non toccate. La triangolazione non pronuncia: ordina la materia e la rimette alla sede che ne ha il potere.</w:t>
      </w:r>
    </w:p>
    <w:p>
      <w:pPr>
        <w:spacing w:line="276" w:lineRule="auto" w:before="0" w:after="0"/>
        <w:ind w:firstLine="425"/>
        <w:jc w:val="both"/>
      </w:pPr>
      <w:r>
        <w:rPr>
          <w:rFonts w:ascii="Times New Roman" w:hAnsi="Times New Roman" w:cs="Times New Roman" w:eastAsia="Times New Roman"/>
          <w:b w:val="0"/>
          <w:sz w:val="24"/>
        </w:rPr>
        <w:t>Sintesi del dato nuovo acquisito. Sono formalizzate le candidature della seconda serie in ordine di rimediabilità, con la voce de L'Osservatore Romano quale prima assoluta; è fissato lo stato complessivo dell'apparato dopo trentadue documenti unici triangolati su due serie, con due tensioni consegnate e nessuna revisione di impianto richiesta.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