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120" w:after="80"/>
        <w:jc w:val="center"/>
      </w:pPr>
      <w:r>
        <w:rPr>
          <w:rFonts w:ascii="Times New Roman" w:hAnsi="Times New Roman" w:cs="Times New Roman" w:eastAsia="Times New Roman"/>
          <w:b/>
          <w:sz w:val="40"/>
        </w:rPr>
        <w:t>ITALIA NERA</w:t>
      </w:r>
    </w:p>
    <w:p>
      <w:pPr>
        <w:spacing w:line="276" w:lineRule="auto" w:before="0" w:after="80"/>
        <w:jc w:val="center"/>
      </w:pPr>
      <w:r>
        <w:rPr>
          <w:rFonts w:ascii="Times New Roman" w:hAnsi="Times New Roman" w:cs="Times New Roman" w:eastAsia="Times New Roman"/>
          <w:b w:val="0"/>
          <w:sz w:val="26"/>
        </w:rPr>
        <w:t>NOTA METODOLOGICA</w:t>
      </w:r>
    </w:p>
    <w:p>
      <w:pPr>
        <w:spacing w:line="276" w:lineRule="auto" w:before="0" w:after="0"/>
      </w:pPr>
      <w:r>
        <w:rPr>
          <w:rFonts w:ascii="Times New Roman" w:hAnsi="Times New Roman" w:cs="Times New Roman" w:eastAsia="Times New Roman"/>
          <w:b w:val="0"/>
          <w:sz w:val="24"/>
        </w:rPr>
      </w:r>
    </w:p>
    <w:p>
      <w:pPr>
        <w:keepNext/>
        <w:spacing w:line="276" w:lineRule="auto" w:before="240" w:after="80"/>
        <w:jc w:val="left"/>
      </w:pPr>
      <w:r>
        <w:rPr>
          <w:rFonts w:ascii="Times New Roman" w:hAnsi="Times New Roman" w:cs="Times New Roman" w:eastAsia="Times New Roman"/>
          <w:b/>
          <w:sz w:val="28"/>
        </w:rPr>
        <w:t>Premessa epistemologica: il problema della conoscenza nel campo della criminalità organizzata e del potere occulto</w:t>
      </w:r>
    </w:p>
    <w:p>
      <w:pPr>
        <w:spacing w:line="276" w:lineRule="auto" w:before="0" w:after="0"/>
        <w:ind w:firstLine="425"/>
        <w:jc w:val="both"/>
      </w:pPr>
      <w:r>
        <w:rPr>
          <w:rFonts w:ascii="Times New Roman" w:hAnsi="Times New Roman" w:cs="Times New Roman" w:eastAsia="Times New Roman"/>
          <w:b w:val="0"/>
          <w:sz w:val="24"/>
        </w:rPr>
        <w:t>La presente Nota Metodologica definisce l'apparato concettuale, analitico ed operativo che governa la costruzione dell'opera ITALIA NERA. La necessità di una formalizzazione metodologica di questa estensione e profondità non risponde ad un'esigenza meramente accademica, ma ad un imperativo epistemologico: l'oggetto di indagine — le reti di potere occulto che attraversano la storia italiana dalla fine della Seconda Guerra Mondiale ad oggi — è intrinsecamente resistente all'analisi scientifica convenzionale.</w:t>
      </w:r>
    </w:p>
    <w:p>
      <w:pPr>
        <w:spacing w:line="276" w:lineRule="auto" w:before="0" w:after="0"/>
        <w:ind w:firstLine="425"/>
        <w:jc w:val="both"/>
      </w:pPr>
      <w:r>
        <w:rPr>
          <w:rFonts w:ascii="Times New Roman" w:hAnsi="Times New Roman" w:cs="Times New Roman" w:eastAsia="Times New Roman"/>
          <w:b w:val="0"/>
          <w:sz w:val="24"/>
        </w:rPr>
        <w:t>I soggetti studiati operano nella clandestinità, producono disinformazione, distruggono le prove, eliminano i testimoni, infiltrano le istituzioni preposte alla loro repressione, e corrompono i canali attraverso i quali la conoscenza viene prodotta e diffusa. In un campo dove l'oggetto di studio manipola attivamente le condizioni della propria osservabilità, la trasparenza del metodo non è un ornamento: è la condizione di possibilità della conoscenza stessa.</w:t>
      </w:r>
    </w:p>
    <w:p>
      <w:pPr>
        <w:spacing w:line="276" w:lineRule="auto" w:before="0" w:after="0"/>
        <w:ind w:firstLine="425"/>
        <w:jc w:val="both"/>
      </w:pPr>
      <w:r>
        <w:rPr>
          <w:rFonts w:ascii="Times New Roman" w:hAnsi="Times New Roman" w:cs="Times New Roman" w:eastAsia="Times New Roman"/>
          <w:b w:val="0"/>
          <w:sz w:val="24"/>
        </w:rPr>
        <w:t>Il problema fu identificato con lucidità esemplare da Giovanni Falcone quando osservò che “la mafia non è affatto invincibile; è un fatto umano e come tutti i fatti umani ha un inizio e avrà anche una fine” (Falcone e Padovani, Cose di Cosa Nostra, 1991, p. 163). Falcone articolava qui un principio epistemologico fondamentale: la criminalità organizzata, per quanto opaca, è un fenomeno sociale e come tale è conoscibile attraverso metodi appropriati. Ma quali metodi? La risposta di Falcone fu eminentemente pratica — il “metodo Falcone” consisteva nell'analisi dei flussi finanziari, nella comparazione delle testimonianze, nella ricostruzione paziente della rete di relazioni — ma poggiava su un fondamento teorico che lo stesso Falcone esplicitava raramente: l'idea che la struttura dell'organizzazione criminale sia leggibile attraverso le tracce che lascia nel mondo visibile, esattamente come la struttura di un atomo è leggibile attraverso le tracce che lascia nella camera a bolle.</w:t>
      </w:r>
    </w:p>
    <w:p>
      <w:pPr>
        <w:spacing w:line="276" w:lineRule="auto" w:before="0" w:after="0"/>
        <w:ind w:firstLine="425"/>
        <w:jc w:val="both"/>
      </w:pPr>
      <w:r>
        <w:rPr>
          <w:rFonts w:ascii="Times New Roman" w:hAnsi="Times New Roman" w:cs="Times New Roman" w:eastAsia="Times New Roman"/>
          <w:b w:val="0"/>
          <w:sz w:val="24"/>
        </w:rPr>
        <w:t>Questa intuizione costituisce il punto di partenza della presente metodologia, che la formalizza e la estende dall'ambito giudiziario a quello della ricerca storico-analitica di lungo periodo.</w:t>
      </w:r>
    </w:p>
    <w:p>
      <w:pPr>
        <w:keepNext/>
        <w:spacing w:line="276" w:lineRule="auto" w:before="160" w:after="40"/>
        <w:jc w:val="left"/>
      </w:pPr>
      <w:r>
        <w:rPr>
          <w:rFonts w:ascii="Times New Roman" w:hAnsi="Times New Roman" w:cs="Times New Roman" w:eastAsia="Times New Roman"/>
          <w:b/>
          <w:sz w:val="26"/>
        </w:rPr>
        <w:t>Il problema dell'induzione e il “Pollo di Popper”</w:t>
      </w:r>
    </w:p>
    <w:p>
      <w:pPr>
        <w:spacing w:line="276" w:lineRule="auto" w:before="0" w:after="0"/>
        <w:ind w:firstLine="425"/>
        <w:jc w:val="both"/>
      </w:pPr>
      <w:r>
        <w:rPr>
          <w:rFonts w:ascii="Times New Roman" w:hAnsi="Times New Roman" w:cs="Times New Roman" w:eastAsia="Times New Roman"/>
          <w:b w:val="0"/>
          <w:sz w:val="24"/>
        </w:rPr>
        <w:t>Karl Popper, nella Logica della scoperta scientifica (1934, ed. inglese 1959), formulò la critica decisiva al metodo induttivo: nessuna quantità di osservazioni conformi può dimostrare definitivamente una legge universale, mentre una singola osservazione contraria è sufficiente a falsificarla. Il celebre esempio del “tacchino induttivista” — ripreso da Bertrand Russell nel suo I problemi della filosofia (1912) con l'esempio del pollo che osserva il contadino portargli il cibo ogni giorno e conclude che il contadino esisterà sempre per nutrirlo, fino al giorno in cui il contadino gli tira il collo — illustra il pericolo fondamentale di ogni ricerca che parta da una tesi precostituita e cerchi conferme nei dati.</w:t>
      </w:r>
    </w:p>
    <w:p>
      <w:pPr>
        <w:spacing w:line="276" w:lineRule="auto" w:before="0" w:after="0"/>
        <w:ind w:firstLine="425"/>
        <w:jc w:val="both"/>
      </w:pPr>
      <w:r>
        <w:rPr>
          <w:rFonts w:ascii="Times New Roman" w:hAnsi="Times New Roman" w:cs="Times New Roman" w:eastAsia="Times New Roman"/>
          <w:b w:val="0"/>
          <w:sz w:val="24"/>
        </w:rPr>
        <w:t>Nel contesto di ITALIA NERA, il rischio del “Pollo di Popper” è particolarmente insidioso. Se, putacaso, si partisse dalla tesi che ‘USA e URSS convergono segretamente per impedire l'integrazione europea’ e si organizza il materiale in una struttura che irradia concentricamente da quel centro interpretativo, ogni dato tenderà a confermare la tesi per effetto della struttura stessa, non per forza intrinseca dell'evidenza. L'analista che organizza i dati in cerchi concentrici attorno alla propria ipotesi è strutturalmente nella posizione del tacchino di Russell: accumula conferme senza mai testare la possibilità della falsificazione.</w:t>
      </w:r>
    </w:p>
    <w:p>
      <w:pPr>
        <w:spacing w:line="276" w:lineRule="auto" w:before="0" w:after="0"/>
        <w:ind w:firstLine="425"/>
        <w:jc w:val="both"/>
      </w:pPr>
      <w:r>
        <w:rPr>
          <w:rFonts w:ascii="Times New Roman" w:hAnsi="Times New Roman" w:cs="Times New Roman" w:eastAsia="Times New Roman"/>
          <w:b w:val="0"/>
          <w:sz w:val="24"/>
        </w:rPr>
        <w:t>La soluzione popperiana — il falsificazionismo — prescrive di formulare ipotesi audaci e tentare sistematicamente di confutarle. Solo le ipotesi che sopravvivono ai tentativi di falsificazione meritano (provvisoriamente) il titolo di conoscenza. Tradotto nel contesto operativo di ITALIA NERA, questo principio impone che la struttura dell'opera non sia organizzata attorno ad un'ipotesi, ma attorno ai dati, lasciando che siano i dati stessi a rivelare i pattern — inclusi quelli che eventualmente contraddicono le aspettative del ricercatore.</w:t>
      </w:r>
    </w:p>
    <w:p>
      <w:pPr>
        <w:keepNext/>
        <w:spacing w:line="276" w:lineRule="auto" w:before="160" w:after="40"/>
        <w:jc w:val="left"/>
      </w:pPr>
      <w:r>
        <w:rPr>
          <w:rFonts w:ascii="Times New Roman" w:hAnsi="Times New Roman" w:cs="Times New Roman" w:eastAsia="Times New Roman"/>
          <w:b/>
          <w:sz w:val="26"/>
        </w:rPr>
        <w:t>Il paradigma indiziario e la conoscenza per tracce</w:t>
      </w:r>
    </w:p>
    <w:p>
      <w:pPr>
        <w:spacing w:line="276" w:lineRule="auto" w:before="0" w:after="0"/>
        <w:ind w:firstLine="425"/>
        <w:jc w:val="both"/>
      </w:pPr>
      <w:r>
        <w:rPr>
          <w:rFonts w:ascii="Times New Roman" w:hAnsi="Times New Roman" w:cs="Times New Roman" w:eastAsia="Times New Roman"/>
          <w:b w:val="0"/>
          <w:sz w:val="24"/>
        </w:rPr>
        <w:t>La natura dell'oggetto di studio impone un ulteriore raffinamento epistemologico. Carlo Ginzburg, nel saggio seminale Spie: radici di un paradigma indiziario (1979, incluso in Miti, emblemi, spie, 1986), identificò un “paradigma indiziario” che accomuna la semiotica medica di Giovanni Morelli, la psicoanalisi di Sigmund Freud ed il metodo investigativo di Sherlock Holmes (Arthur Conan Doyle). In tutti e tre i casi, la conoscenza si costruisce non attraverso le regolarità statistiche, ma attraverso le anomalie, i dettagli marginali, i sintomi che sfuggono al controllo cosciente del soggetto. Il perito d'arte riconosce un falso dal modo in cui sono dipinte le unghie, non dal volto; l'analista riconosce il trauma dal lapsus, non dalla narrazione consapevole; il detective riconosce l'assassino dal sigaro lasciato sulla scena, non dalla sua dichiarazione di innocenza.</w:t>
      </w:r>
    </w:p>
    <w:p>
      <w:pPr>
        <w:spacing w:line="276" w:lineRule="auto" w:before="0" w:after="0"/>
        <w:ind w:firstLine="425"/>
        <w:jc w:val="both"/>
      </w:pPr>
      <w:r>
        <w:rPr>
          <w:rFonts w:ascii="Times New Roman" w:hAnsi="Times New Roman" w:cs="Times New Roman" w:eastAsia="Times New Roman"/>
          <w:b w:val="0"/>
          <w:sz w:val="24"/>
        </w:rPr>
        <w:t>Applicato alla criminalità organizzata, il paradigma indiziario significa che la rete non si rivela attraverso le dichiarazioni esplicite dei suoi membri, ma attraverso le tracce involontarie che la loro attività lascia: un matrimonio tra una figlia di un mafioso di Detroit e un nipote di un mafioso di Montedoro; una riunione in un ristorante dove si incontrano un senatore, un agente del SISMI ed un imprenditore sotto inchiesta; un assegno bancario che transita da un conto dello IOR ad un conto di una società immobiliare controllata dalla ’Ndrangheta. Nessuna di queste tracce, presa singolarmente, prova alcunché. Ma l'accumulo sistematico di tracce, la loro messa in rete, la verifica delle convergenze temporali e spaziali, la ricerca delle anomalie — tutto questo produce una conoscenza indiziaria che, quando raggiunge un grado sufficiente di concordanza, diventa prova nel senso giuridico e scientifico del termine.</w:t>
      </w:r>
    </w:p>
    <w:p>
      <w:pPr>
        <w:spacing w:line="276" w:lineRule="auto" w:before="0" w:after="0"/>
        <w:ind w:firstLine="425"/>
        <w:jc w:val="both"/>
      </w:pPr>
      <w:r>
        <w:rPr>
          <w:rFonts w:ascii="Times New Roman" w:hAnsi="Times New Roman" w:cs="Times New Roman" w:eastAsia="Times New Roman"/>
          <w:b w:val="0"/>
          <w:sz w:val="24"/>
        </w:rPr>
        <w:t>Il metodo Falcone, in fondo, non era altro che l'applicazione sistematica del paradigma indiziario alla criminalità mafiosa. Il ‘metodo ITALIA NERA’ ne estende l'applicazione ad un campo più vasto: l'intero sistema di potere che attraversa la storia repubblicana.</w:t>
      </w:r>
    </w:p>
    <w:p>
      <w:pPr>
        <w:keepNext/>
        <w:spacing w:line="276" w:lineRule="auto" w:before="160" w:after="40"/>
        <w:jc w:val="left"/>
      </w:pPr>
      <w:r>
        <w:rPr>
          <w:rFonts w:ascii="Times New Roman" w:hAnsi="Times New Roman" w:cs="Times New Roman" w:eastAsia="Times New Roman"/>
          <w:b/>
          <w:sz w:val="26"/>
        </w:rPr>
        <w:t>Dalla descrizione alla struttura: il contributo di Niklas Luhmann</w:t>
      </w:r>
    </w:p>
    <w:p>
      <w:pPr>
        <w:spacing w:line="276" w:lineRule="auto" w:before="0" w:after="0"/>
        <w:ind w:firstLine="425"/>
        <w:jc w:val="both"/>
      </w:pPr>
      <w:r>
        <w:rPr>
          <w:rFonts w:ascii="Times New Roman" w:hAnsi="Times New Roman" w:cs="Times New Roman" w:eastAsia="Times New Roman"/>
          <w:b w:val="0"/>
          <w:sz w:val="24"/>
        </w:rPr>
        <w:t>La sociologia dei sistemi di Niklas Luhmann (Soziale Systeme, 1984; trad. it. Sistemi sociali, 1990) fornisce il quadro teorico per comprendere come sfere di potere distinte possano interagire mantenendo la propria autonomia operativa. Luhmann definisce ogni sistema sociale come operativamente chiuso ma cognitivamente aperto: ogni sistema (il diritto, l'economia, la politica, la scienza) opera secondo un proprio codice binario interno (legale/illegale, pagare/non pagare, governo/opposizione, vero/falso) e non può essere ridotto a nessun altro sistema. Ma ogni sistema osserva gli altri sistemi e reagisce alle loro operazioni attraverso meccanismi di “accoppiamento strutturale” (strukturelle Kopplung).</w:t>
      </w:r>
    </w:p>
    <w:p>
      <w:pPr>
        <w:spacing w:line="276" w:lineRule="auto" w:before="0" w:after="0"/>
        <w:ind w:firstLine="425"/>
        <w:jc w:val="both"/>
      </w:pPr>
      <w:r>
        <w:rPr>
          <w:rFonts w:ascii="Times New Roman" w:hAnsi="Times New Roman" w:cs="Times New Roman" w:eastAsia="Times New Roman"/>
          <w:b w:val="0"/>
          <w:sz w:val="24"/>
        </w:rPr>
        <w:t>Nel contesto di ITALIA NERA, i dieci Domini di Potere sono concepiti come sistemi luhmanniani: la criminalità organizzata opera secondo il codice inclusione/esclusione (chi è “dentro” e chi è “fuori”, chi è “uomo d'onore” e chi non lo è), l'intelligence secondo il codice segreto/pubblico, la politica secondo il codice governo/opposizione, la massoneria secondo il codice iniziato/profano, l'economia secondo il codice profitto/perdita, e così via. L'accoppiamento strutturale tra i domini — il punto in cui un mafioso incontra un politico, un massone incontra un agente segreto, un banchiere incontra un trafficante — è esattamente ciò che la Sezione Beta della struttura analizza.</w:t>
      </w:r>
    </w:p>
    <w:p>
      <w:pPr>
        <w:spacing w:line="276" w:lineRule="auto" w:before="0" w:after="0"/>
        <w:ind w:firstLine="425"/>
        <w:jc w:val="both"/>
      </w:pPr>
      <w:r>
        <w:rPr>
          <w:rFonts w:ascii="Times New Roman" w:hAnsi="Times New Roman" w:cs="Times New Roman" w:eastAsia="Times New Roman"/>
          <w:b w:val="0"/>
          <w:sz w:val="24"/>
        </w:rPr>
        <w:t>La distinzione luhmanniana tra operazione e osservazione è particolarmente feconda: un mafioso che corrompe un politico opera nel codice del proprio sistema (inclusione/esclusione: il politico viene “incluso” nella rete mafiosa), ma osserva il sistema politico secondo il codice di quest'ultimo (governo/opposizione: il politico corrotto serve perché occupa una posizione nel governo). L'analisi di queste osservazioni incrociate è ciò che permette di ricostruire la logica delle connessioni inter-dominio senza ridurle ad un unico codice esplicativo.</w:t>
      </w:r>
    </w:p>
    <w:p>
      <w:pPr>
        <w:keepNext/>
        <w:spacing w:line="276" w:lineRule="auto" w:before="240" w:after="80"/>
        <w:jc w:val="left"/>
      </w:pPr>
      <w:r>
        <w:rPr>
          <w:rFonts w:ascii="Times New Roman" w:hAnsi="Times New Roman" w:cs="Times New Roman" w:eastAsia="Times New Roman"/>
          <w:b/>
          <w:sz w:val="28"/>
        </w:rPr>
        <w:t>Parte I — La struttura analitica: l'ibrido Domini di Potere e Network Analysis</w:t>
      </w:r>
    </w:p>
    <w:p>
      <w:pPr>
        <w:keepNext/>
        <w:spacing w:line="276" w:lineRule="auto" w:before="160" w:after="40"/>
        <w:jc w:val="left"/>
      </w:pPr>
      <w:r>
        <w:rPr>
          <w:rFonts w:ascii="Times New Roman" w:hAnsi="Times New Roman" w:cs="Times New Roman" w:eastAsia="Times New Roman"/>
          <w:b/>
          <w:sz w:val="26"/>
        </w:rPr>
        <w:t>1.1 Fondamenti teorici della Network Analysis applicata alla criminalità organizzata</w:t>
      </w:r>
    </w:p>
    <w:p>
      <w:pPr>
        <w:spacing w:line="276" w:lineRule="auto" w:before="0" w:after="0"/>
        <w:ind w:firstLine="425"/>
        <w:jc w:val="both"/>
      </w:pPr>
      <w:r>
        <w:rPr>
          <w:rFonts w:ascii="Times New Roman" w:hAnsi="Times New Roman" w:cs="Times New Roman" w:eastAsia="Times New Roman"/>
          <w:b w:val="0"/>
          <w:sz w:val="24"/>
        </w:rPr>
        <w:t>L'applicazione della Social Network Analysis (SNA) alla criminalità organizzata ha una genealogia scientifica consolidata che risale ai lavori pionieristici di Klaus von Lampe (Organized Crime: Analyzing Illegal Activities, Criminal Structures, and Extra-Legal Governance, 2016), Mangai Natarajan (International and Transnational Crime and Justice, 2019), e specificamente al lavoro di Maurizio Catino sulla mafia siciliana (Mafia Organizations: The Visible Hand of Criminal Enterprise, 2019). Catino dimostra che Cosa Nostra non è un'organizzazione gerarchica monolitica come la vulgata giornalistica suggerisce, ma una rete di reti (network of networks) in cui le famiglie mantengono una considerevole autonomia operativa pur essendo collegate da meccanismi di coordinamento (la Commissione provinciale, i matrimoni inter-familiari, le alleanze strategiche).</w:t>
      </w:r>
    </w:p>
    <w:p>
      <w:pPr>
        <w:spacing w:line="276" w:lineRule="auto" w:before="0" w:after="0"/>
        <w:ind w:firstLine="425"/>
        <w:jc w:val="both"/>
      </w:pPr>
      <w:r>
        <w:rPr>
          <w:rFonts w:ascii="Times New Roman" w:hAnsi="Times New Roman" w:cs="Times New Roman" w:eastAsia="Times New Roman"/>
          <w:b w:val="0"/>
          <w:sz w:val="24"/>
        </w:rPr>
        <w:t>La SNA, come formalizzata da Stanley Wasserman e Katherine Faust (Social Network Analysis: Methods and Applications, 1994) e da Mark Newman (Networks: An Introduction, 2010), opera su tre livelli di analisi. Il primo livello è quello dei nodi (nodes o vertices): le entità della rete. Nella struttura di ITALIA NERA, i nodi sono individui (Giovanni Falcone, Licio Gelli, Totò Riina, Giulio Andreotti, Michele Sindona), organizzazioni (Cosa Nostra, P2, SISMI, DC, IOR), luoghi (Castellammare del Golfo, Thompson Street, Via Ruggiero Settimo), ed eventi (Piazza Fontana, il Maxiprocesso, il sequestro Moro). Ogni nodo possiede attributi: per un individuo, la data ed il luogo di nascita, l'appartenenza ai domini, le date di attività, la posizione gerarchica; per un'organizzazione, la tipologia, la base territoriale, il periodo di attività, la struttura interna; per un evento, la data, il luogo, gli attori coinvolti, le conseguenze documentate.</w:t>
      </w:r>
    </w:p>
    <w:p>
      <w:pPr>
        <w:spacing w:line="276" w:lineRule="auto" w:before="0" w:after="0"/>
        <w:ind w:firstLine="425"/>
        <w:jc w:val="both"/>
      </w:pPr>
      <w:r>
        <w:rPr>
          <w:rFonts w:ascii="Times New Roman" w:hAnsi="Times New Roman" w:cs="Times New Roman" w:eastAsia="Times New Roman"/>
          <w:b w:val="0"/>
          <w:sz w:val="24"/>
        </w:rPr>
        <w:t>Il secondo livello è quello degli archi (edges o ties): le relazioni tra i nodi. Nella struttura di ITALIA NERA, gli archi sono tipizzati: archi di parentela (padre-figlio, matrimonio, cugino), archi di affiliazione (appartenenza alla stessa organizzazione), archi operativi (partecipazione alla stessa operazione criminale, alla stessa riunione, alla stessa transazione finanziaria), archi di comunicazione (telefonate intercettate, incontri documentati, messaggi), archi di conflitto (faide, omicidi, tradimenti). Ogni arco possiede attributi: la fonte dell'informazione (sentenza, testimonianza, intercettazione, documento d'archivio), il grado di affidabilità della fonte, la data od il periodo della relazione, la direzione (se la relazione è asimmetrica: chi ordina e chi esegue).</w:t>
      </w:r>
    </w:p>
    <w:p>
      <w:pPr>
        <w:spacing w:line="276" w:lineRule="auto" w:before="0" w:after="0"/>
        <w:ind w:firstLine="425"/>
        <w:jc w:val="both"/>
      </w:pPr>
      <w:r>
        <w:rPr>
          <w:rFonts w:ascii="Times New Roman" w:hAnsi="Times New Roman" w:cs="Times New Roman" w:eastAsia="Times New Roman"/>
          <w:b w:val="0"/>
          <w:sz w:val="24"/>
        </w:rPr>
        <w:t>Il terzo livello è quello delle proprietà strutturali della rete nel suo complesso: la densità (il rapporto tra archi esistenti ed archi possibili), la centralità dei nodi (quali nodi hanno più connessioni, quali fungono da ponte tra cluster altrimenti disconnessi), la modularità (la tendenza della rete a formare sotto-gruppi densamente connessi al loro interno ma debolmente connessi tra loro), ed i “buchi strutturali” (structural holes, nel senso di Ronald Burt, Structural Holes: The Social Structure of Competition, 1992) — le posizioni nella rete dove un intermediario può controllare il flusso di informazioni tra gruppi non direttamente connessi.</w:t>
      </w:r>
    </w:p>
    <w:p>
      <w:pPr>
        <w:keepNext/>
        <w:spacing w:line="276" w:lineRule="auto" w:before="160" w:after="40"/>
        <w:jc w:val="left"/>
      </w:pPr>
      <w:r>
        <w:rPr>
          <w:rFonts w:ascii="Times New Roman" w:hAnsi="Times New Roman" w:cs="Times New Roman" w:eastAsia="Times New Roman"/>
          <w:b/>
          <w:sz w:val="26"/>
        </w:rPr>
        <w:t>1.2 Le misure di centralità e la loro interpretazione operativa</w:t>
      </w:r>
    </w:p>
    <w:p>
      <w:pPr>
        <w:spacing w:line="276" w:lineRule="auto" w:before="0" w:after="0"/>
        <w:ind w:firstLine="425"/>
        <w:jc w:val="both"/>
      </w:pPr>
      <w:r>
        <w:rPr>
          <w:rFonts w:ascii="Times New Roman" w:hAnsi="Times New Roman" w:cs="Times New Roman" w:eastAsia="Times New Roman"/>
          <w:b w:val="0"/>
          <w:sz w:val="24"/>
        </w:rPr>
        <w:t>Quattro misure di centralità sono particolarmente rilevanti per l'analisi di ITALIA NERA. La degree centrality (centralità di grado) conta il numero di connessioni dirette di ogni nodo. Un nodo con alto degree centrality è un nodo “popolare”, ben connesso. Nel contesto di ITALIA NERA, i nodi con più alto degree centrality sono quelli che compaiono contemporaneamente in più domini: Licio Gelli (massoneria, intelligence, politica, economia, crimine), Michele Sindona (economia, massoneria, crimine, religione, politica), Giulio Andreotti (politica, crimine, intelligence, massoneria, economia, religione). L'alto degree centrality non implica necessariamente che il nodo sia il più “potente”, ma che sia il più visibile — il che, paradossalmente, nel mondo del potere, anche occulto, può significare che è il più vulnerabile.</w:t>
      </w:r>
    </w:p>
    <w:p>
      <w:pPr>
        <w:spacing w:line="276" w:lineRule="auto" w:before="0" w:after="0"/>
        <w:ind w:firstLine="425"/>
        <w:jc w:val="both"/>
      </w:pPr>
      <w:r>
        <w:rPr>
          <w:rFonts w:ascii="Times New Roman" w:hAnsi="Times New Roman" w:cs="Times New Roman" w:eastAsia="Times New Roman"/>
          <w:b w:val="0"/>
          <w:sz w:val="24"/>
        </w:rPr>
        <w:t>La betweenness centrality (centralità di intermediazione) misura quanto un nodo si trova sui percorsi più brevi tra altri nodi della rete. Un nodo con alta betweenness è un broker, un intermediario che controlla il flusso di informazioni e risorse tra parti della rete altrimenti disconnesse. Questa è la misura più produttiva per ITALIA NERA, perché identifica gli individui-cerniera che collegano i domini. Se l'unico percorso che collega il Dominio 1 (crimine) al Dominio 5 (religione) passa attraverso il nodo “Sindona”, allora Sindona ha un'altissima betweenness ed è un “ponte” la cui rimozione disconnetterebbe i due domini. L'analisi sistematica della betweenness centrality nella rete di ITALIA NERA può rivelare intermediari nascosti — individui poco noti al pubblico ma strutturalmente cruciali per il funzionamento del sistema.</w:t>
      </w:r>
    </w:p>
    <w:p>
      <w:pPr>
        <w:spacing w:line="276" w:lineRule="auto" w:before="0" w:after="0"/>
        <w:ind w:firstLine="425"/>
        <w:jc w:val="both"/>
      </w:pPr>
      <w:r>
        <w:rPr>
          <w:rFonts w:ascii="Times New Roman" w:hAnsi="Times New Roman" w:cs="Times New Roman" w:eastAsia="Times New Roman"/>
          <w:b w:val="0"/>
          <w:sz w:val="24"/>
        </w:rPr>
        <w:t>La closeness centrality (centralità di prossimità) misura quanto rapidamente un nodo può raggiungere tutti gli altri nodi della rete. Un nodo con alta closeness è in una posizione “centrale” nel senso geometrico: può raggiungere qualsiasi altro nodo con pochi passaggi. Nel contesto di ITALIA NERA, alta closeness centrality significa capacità di mobilitare risorse da qualsiasi dominio in tempi brevi. Un individuo che può contattare simultaneamente un boss mafioso, un capo dell'intelligence, un politico di governo ed un banchiere è un nodo con altissima closeness, indipendentemente dal suo grado di connessione (che potrebbe essere modesto: bastano quattro connessioni, una per dominio).</w:t>
      </w:r>
    </w:p>
    <w:p>
      <w:pPr>
        <w:spacing w:line="276" w:lineRule="auto" w:before="0" w:after="0"/>
        <w:ind w:firstLine="425"/>
        <w:jc w:val="both"/>
      </w:pPr>
      <w:r>
        <w:rPr>
          <w:rFonts w:ascii="Times New Roman" w:hAnsi="Times New Roman" w:cs="Times New Roman" w:eastAsia="Times New Roman"/>
          <w:b w:val="0"/>
          <w:sz w:val="24"/>
        </w:rPr>
        <w:t>La eigenvector centrality (centralità di autovettore) misura non solo quante connessioni ha un nodo, ma quanto sono importanti i nodi a cui è connesso. Un nodo con alta eigenvector centrality è connesso a nodi che sono a loro volta ben connessi: è il “potente tra i potenti”. Nel contesto di ITALIA NERA, l'eigenvector centrality distingue tra chi è connesso a molti soldati semplici (alto degree ma bassa eigenvector) e chi è connesso a pochi ma potentissimi leader (basso degree ma alta eigenvector). Questa distinzione è cruciale per identificare i veri centri di potere della rete, che spesso non coincidono con le figure più visibili.</w:t>
      </w:r>
    </w:p>
    <w:p>
      <w:pPr>
        <w:keepNext/>
        <w:spacing w:line="276" w:lineRule="auto" w:before="160" w:after="40"/>
        <w:jc w:val="left"/>
      </w:pPr>
      <w:r>
        <w:rPr>
          <w:rFonts w:ascii="Times New Roman" w:hAnsi="Times New Roman" w:cs="Times New Roman" w:eastAsia="Times New Roman"/>
          <w:b/>
          <w:sz w:val="26"/>
        </w:rPr>
        <w:t>1.3 Community Detection e l'identificazione dei cluster nascosti</w:t>
      </w:r>
    </w:p>
    <w:p>
      <w:pPr>
        <w:spacing w:line="276" w:lineRule="auto" w:before="0" w:after="0"/>
        <w:ind w:firstLine="425"/>
        <w:jc w:val="both"/>
      </w:pPr>
      <w:r>
        <w:rPr>
          <w:rFonts w:ascii="Times New Roman" w:hAnsi="Times New Roman" w:cs="Times New Roman" w:eastAsia="Times New Roman"/>
          <w:b w:val="0"/>
          <w:sz w:val="24"/>
        </w:rPr>
        <w:t>Gli algoritmi di community detection (identificazione di comunità) nella teoria delle reti — in particolare l'algoritmo di Louvain (Blondel et al., “Fast unfolding of communities in large networks”, Journal of Statistical Mechanics, 2008) e l'algoritmo di Girvan-Newman (Girvan e Newman, “Community structure in social and biological networks”, Proceedings of the National Academy of Sciences, 2002) — permettono di individuare gruppi di nodi densamente connessi al loro interno ma debolmente connessi con l'esterno. Nel contesto di ITALIA NERA, questi algoritmi possono rivelare cluster nascosti che non corrispondono ai confini organizzativi formali.</w:t>
      </w:r>
    </w:p>
    <w:p>
      <w:pPr>
        <w:spacing w:line="276" w:lineRule="auto" w:before="0" w:after="0"/>
        <w:ind w:firstLine="425"/>
        <w:jc w:val="both"/>
      </w:pPr>
      <w:r>
        <w:rPr>
          <w:rFonts w:ascii="Times New Roman" w:hAnsi="Times New Roman" w:cs="Times New Roman" w:eastAsia="Times New Roman"/>
          <w:b w:val="0"/>
          <w:sz w:val="24"/>
        </w:rPr>
        <w:t>Se l'algoritmo di Louvain applicato alla rete complessiva di ITALIA NERA identifica un cluster che contiene simultaneamente tre membri di Cosa Nostra, due ufficiali del SISMI, un senatore della DC, un membro della P2 ed un dirigente del Banco Ambrosiano, questo cluster è una “comunità” funzionale che opera trasversalmente rispetto ai domini formali. La sua identificazione è possibile solo attraverso l'analisi automatizzata della rete, perché nessun analista umano potrebbe tenere traccia simultaneamente delle migliaia di connessioni che la rete contiene.</w:t>
      </w:r>
    </w:p>
    <w:p>
      <w:pPr>
        <w:keepNext/>
        <w:spacing w:line="276" w:lineRule="auto" w:before="160" w:after="40"/>
        <w:jc w:val="left"/>
      </w:pPr>
      <w:r>
        <w:rPr>
          <w:rFonts w:ascii="Times New Roman" w:hAnsi="Times New Roman" w:cs="Times New Roman" w:eastAsia="Times New Roman"/>
          <w:b/>
          <w:sz w:val="26"/>
        </w:rPr>
        <w:t>1.4 I Domini di Potere come sistema multi-livello</w:t>
      </w:r>
    </w:p>
    <w:p>
      <w:pPr>
        <w:spacing w:line="276" w:lineRule="auto" w:before="0" w:after="0"/>
        <w:ind w:firstLine="425"/>
        <w:jc w:val="both"/>
      </w:pPr>
      <w:r>
        <w:rPr>
          <w:rFonts w:ascii="Times New Roman" w:hAnsi="Times New Roman" w:cs="Times New Roman" w:eastAsia="Times New Roman"/>
          <w:b w:val="0"/>
          <w:sz w:val="24"/>
        </w:rPr>
        <w:t>La struttura per Domini di Potere integra nella network analysis il concetto di multilayer network (rete multilivello), formalizzato da Mikko Kivelä et al. (“Multilayer networks”, Journal of Complex Networks, 2014). In una rete multilivello, gli stessi nodi possono apparire su diversi “strati” (layers), e le connessioni possono essere intra-layer (all'interno dello stesso dominio) o inter-layer (tra domini diversi). Ogni dominio è uno strato della rete: il Dominio 1 (criminalità organizzata) è lo strato inferiore, il Dominio 2 (politica) è lo strato successivo, e così via.</w:t>
      </w:r>
    </w:p>
    <w:p>
      <w:pPr>
        <w:spacing w:line="276" w:lineRule="auto" w:before="0" w:after="0"/>
        <w:ind w:firstLine="425"/>
        <w:jc w:val="both"/>
      </w:pPr>
      <w:r>
        <w:rPr>
          <w:rFonts w:ascii="Times New Roman" w:hAnsi="Times New Roman" w:cs="Times New Roman" w:eastAsia="Times New Roman"/>
          <w:b w:val="0"/>
          <w:sz w:val="24"/>
        </w:rPr>
        <w:t>Un individuo come Vito Ciancimino è un nodo che esiste simultaneamente nello strato “crimine” (come affiliato a Cosa Nostra), nello strato “politica” (come sindaco di Palermo e dirigente DC) e nello strato “economia” (come controllore degli appalti edilizi). Le sue connessioni con Totò Riina sono archi intra-layer nello strato “crimine”, le sue connessioni con Salvo Lima sono archi intra-layer nello strato “politica”, e le sue connessioni con imprenditori edili sono archi intra-layer nello strato “economia”. Ma le connessioni che collegano la sua posizione politica alla sua affiliazione mafiosa sono archi inter-layer e sono i ponti tra i domini che la Sezione Beta dell'opera analizza.</w:t>
      </w:r>
    </w:p>
    <w:p>
      <w:pPr>
        <w:keepNext/>
        <w:spacing w:line="276" w:lineRule="auto" w:before="240" w:after="80"/>
        <w:jc w:val="left"/>
      </w:pPr>
      <w:r>
        <w:rPr>
          <w:rFonts w:ascii="Times New Roman" w:hAnsi="Times New Roman" w:cs="Times New Roman" w:eastAsia="Times New Roman"/>
          <w:b/>
          <w:sz w:val="28"/>
        </w:rPr>
        <w:t>Parte II — La tassonomia dei Domini: criteri di demarcazione e principi di classificazione</w:t>
      </w:r>
    </w:p>
    <w:p>
      <w:pPr>
        <w:keepNext/>
        <w:spacing w:line="276" w:lineRule="auto" w:before="160" w:after="40"/>
        <w:jc w:val="left"/>
      </w:pPr>
      <w:r>
        <w:rPr>
          <w:rFonts w:ascii="Times New Roman" w:hAnsi="Times New Roman" w:cs="Times New Roman" w:eastAsia="Times New Roman"/>
          <w:b/>
          <w:sz w:val="26"/>
        </w:rPr>
        <w:t>2.1 Il criterio di autonomia funzionale</w:t>
      </w:r>
    </w:p>
    <w:p>
      <w:pPr>
        <w:spacing w:line="276" w:lineRule="auto" w:before="0" w:after="0"/>
        <w:ind w:firstLine="425"/>
        <w:jc w:val="both"/>
      </w:pPr>
      <w:r>
        <w:rPr>
          <w:rFonts w:ascii="Times New Roman" w:hAnsi="Times New Roman" w:cs="Times New Roman" w:eastAsia="Times New Roman"/>
          <w:b w:val="0"/>
          <w:sz w:val="24"/>
        </w:rPr>
        <w:t>Un dominio viene incluso nella struttura se e solo se soddisfa quattro criteri simultaneamente, derivati dalla teoria dei campi sociali di Pierre Bourdieu (La distinction, 1979; Les règles de l'art, 1992) e dalla teoria dei sistemi autopoietici di Humberto Maturana e Francisco Varela (Autopoiesis and Cognition, 1980), mediata da Luhmann.</w:t>
      </w:r>
    </w:p>
    <w:p>
      <w:pPr>
        <w:spacing w:line="276" w:lineRule="auto" w:before="0" w:after="0"/>
        <w:ind w:firstLine="425"/>
        <w:jc w:val="both"/>
      </w:pPr>
      <w:r>
        <w:rPr>
          <w:rFonts w:ascii="Times New Roman" w:hAnsi="Times New Roman" w:cs="Times New Roman" w:eastAsia="Times New Roman"/>
          <w:b w:val="0"/>
          <w:sz w:val="24"/>
        </w:rPr>
        <w:t>Primo criterio: risorse autonome. Il dominio deve possedere risorse di potere che non sono riducibili a quelle di altri domini. L'intelligence possiede il monopolio dell'informazione segreta; le forze armate possiedono il monopolio della forza legale organizzata; la criminalità organizzata possiede il monopolio della violenza illegale; la magistratura possiede il monopolio dell'azione penale; la massoneria possiede reti relazionali riservate; le istituzioni religiose possiedono legittimità morale e risorse spirituali; i media possiedono il controllo del flusso informativo pubblico; l'economia possiede il capitale finanziario; la politica possiede il potere legislativo ed amministrativo; il terrorismo possiede la capacità di destabilizzazione attraverso la violenza mirata.</w:t>
      </w:r>
    </w:p>
    <w:p>
      <w:pPr>
        <w:spacing w:line="276" w:lineRule="auto" w:before="0" w:after="0"/>
        <w:ind w:firstLine="425"/>
        <w:jc w:val="both"/>
      </w:pPr>
      <w:r>
        <w:rPr>
          <w:rFonts w:ascii="Times New Roman" w:hAnsi="Times New Roman" w:cs="Times New Roman" w:eastAsia="Times New Roman"/>
          <w:b w:val="0"/>
          <w:sz w:val="24"/>
        </w:rPr>
        <w:t>Secondo criterio: gerarchia interna propria. Il dominio deve avere una propria struttura gerarchica non derivata da altri domini. Cosa Nostra ha la sua Commissione, i suoi mandamenti, le sue famiglie; il SISMI ha i suoi direttori, le sue divisioni, i suoi agenti; la P2 ha il suo Venerabile Maestro, i suoi gradi, i suoi iscritti; le forze armate hanno i loro generali, i loro colonnelli, i loro soldati; la magistratura ha i suoi Procuratori Generali, i suoi sostituti, i suoi giudici.</w:t>
      </w:r>
    </w:p>
    <w:p>
      <w:pPr>
        <w:spacing w:line="276" w:lineRule="auto" w:before="0" w:after="0"/>
        <w:ind w:firstLine="425"/>
        <w:jc w:val="both"/>
      </w:pPr>
      <w:r>
        <w:rPr>
          <w:rFonts w:ascii="Times New Roman" w:hAnsi="Times New Roman" w:cs="Times New Roman" w:eastAsia="Times New Roman"/>
          <w:b w:val="0"/>
          <w:sz w:val="24"/>
        </w:rPr>
        <w:t>Terzo criterio: regole operative proprie. Il dominio deve operare secondo regole che non sono imposte dall'esterno ma generate internamente. Il codice d'onore mafioso, il segreto di Stato, il segreto massonico, il segreto confessionale, il segreto professionale del giornalista, le regole d'ingaggio militari, le regole processuali, le regole del mercato: ciascuno di questi corpi normativi è interno al dominio che lo produce.</w:t>
      </w:r>
    </w:p>
    <w:p>
      <w:pPr>
        <w:spacing w:line="276" w:lineRule="auto" w:before="0" w:after="0"/>
        <w:ind w:firstLine="425"/>
        <w:jc w:val="both"/>
      </w:pPr>
      <w:r>
        <w:rPr>
          <w:rFonts w:ascii="Times New Roman" w:hAnsi="Times New Roman" w:cs="Times New Roman" w:eastAsia="Times New Roman"/>
          <w:b w:val="0"/>
          <w:sz w:val="24"/>
        </w:rPr>
        <w:t>Quarto criterio: capacità di autoriproduzione. Il dominio deve essere in grado di rigenerarsi nel tempo senza l'intervento di altri domini. La mafia recluta i propri membri, l'intelligence addestra i propri agenti, la massoneria inizia i propri fratelli, la Chiesa ordina i propri sacerdoti, l'esercito arruola e forma i propri soldati, i media formano i propri giornalisti, l'economia genera i propri imprenditori. Questa capacità di autoriproduzione è ciò che Maturana e Varela chiamano autopoiesi.</w:t>
      </w:r>
    </w:p>
    <w:p>
      <w:pPr>
        <w:keepNext/>
        <w:spacing w:line="276" w:lineRule="auto" w:before="160" w:after="40"/>
        <w:jc w:val="left"/>
      </w:pPr>
      <w:r>
        <w:rPr>
          <w:rFonts w:ascii="Times New Roman" w:hAnsi="Times New Roman" w:cs="Times New Roman" w:eastAsia="Times New Roman"/>
          <w:b/>
          <w:sz w:val="26"/>
        </w:rPr>
        <w:t>2.2 I dieci Domini e la loro articolazione interna</w:t>
      </w:r>
    </w:p>
    <w:p>
      <w:pPr>
        <w:spacing w:line="276" w:lineRule="auto" w:before="0" w:after="0"/>
        <w:ind w:firstLine="425"/>
        <w:jc w:val="both"/>
      </w:pPr>
      <w:r>
        <w:rPr>
          <w:rFonts w:ascii="Times New Roman" w:hAnsi="Times New Roman" w:cs="Times New Roman" w:eastAsia="Times New Roman"/>
          <w:b w:val="0"/>
          <w:sz w:val="24"/>
        </w:rPr>
        <w:t>La configurazione definitiva comprende dieci domini, ciascuno dei quali possiede una struttura interna articolata in sotto-domini che ne riflettono la complessità operativa.</w:t>
      </w:r>
    </w:p>
    <w:p>
      <w:pPr>
        <w:spacing w:line="276" w:lineRule="auto" w:before="0" w:after="0"/>
        <w:ind w:firstLine="425"/>
        <w:jc w:val="both"/>
      </w:pPr>
      <w:r>
        <w:rPr>
          <w:rFonts w:ascii="Times New Roman" w:hAnsi="Times New Roman" w:cs="Times New Roman" w:eastAsia="Times New Roman"/>
          <w:b w:val="0"/>
          <w:sz w:val="24"/>
        </w:rPr>
        <w:t>**Il Dominio 1 — Criminalità Organizzata** comprende: Cosa Nostra Siciliana (con articolazione per province e mandamenti), Cosa Nostra Americana (con articolazione per famiglie e periodi storici), ’Ndrangheta (con articolazione per locali, ’ndrine e proiezioni extra-regionali), Camorra (con articolazione per clan, cartelli e aree territoriali), Sacra Corona Unita e criminalità territoriale pugliese e criminalità organizzata straniera sul territorio italiano (Bratva russa, Triadi cinesi, Mafia albanese, Mafia nigeriana, Cartelli sudamericani).</w:t>
      </w:r>
    </w:p>
    <w:p>
      <w:pPr>
        <w:spacing w:line="276" w:lineRule="auto" w:before="0" w:after="0"/>
        <w:ind w:firstLine="425"/>
        <w:jc w:val="both"/>
      </w:pPr>
      <w:r>
        <w:rPr>
          <w:rFonts w:ascii="Times New Roman" w:hAnsi="Times New Roman" w:cs="Times New Roman" w:eastAsia="Times New Roman"/>
          <w:b w:val="0"/>
          <w:sz w:val="24"/>
        </w:rPr>
        <w:t>**Il Dominio 2 — Potere Politico** comprende: partiti politici (DC, PSI, PCI, MSI ed i loro successori), Governo Nazionale (Presidenza della Repubblica, Presidenza del Consiglio, Ministeri), Amministrazioni Locali (Comuni, Province, Regioni), Parlamento (Commissioni d'Inchiesta, Gruppi Parlamentari, Lobby Interne) ed Organismi Internazionali (Parlamento Europeo, Consiglio d'Europa, NATO — dimensione politica).</w:t>
      </w:r>
    </w:p>
    <w:p>
      <w:pPr>
        <w:spacing w:line="276" w:lineRule="auto" w:before="0" w:after="0"/>
        <w:ind w:firstLine="425"/>
        <w:jc w:val="both"/>
      </w:pPr>
      <w:r>
        <w:rPr>
          <w:rFonts w:ascii="Times New Roman" w:hAnsi="Times New Roman" w:cs="Times New Roman" w:eastAsia="Times New Roman"/>
          <w:b w:val="0"/>
          <w:sz w:val="24"/>
        </w:rPr>
        <w:t>**Il Dominio 3 — Intelligence e Servizi Segreti** comprende: Servizi Italiani di Intelligence (SIFAR, SID, SISMI, SISDE, CESIS, poi AISI, AISE, DIS), Servizi Alleati (CIA, MI6, Mossad, BND), Servizi Avversari (KGB, GRU, StB, Securitate), Strutture Parallele e Clandestine (Gladio, stay-behind, Anello, Noto Servizio) ed operazioni specifiche (Operazione Condor, Operazione Chaos, Programma Phoenix come modelli di riferimento comparativo).</w:t>
      </w:r>
    </w:p>
    <w:p>
      <w:pPr>
        <w:spacing w:line="276" w:lineRule="auto" w:before="0" w:after="0"/>
        <w:ind w:firstLine="425"/>
        <w:jc w:val="both"/>
      </w:pPr>
      <w:r>
        <w:rPr>
          <w:rFonts w:ascii="Times New Roman" w:hAnsi="Times New Roman" w:cs="Times New Roman" w:eastAsia="Times New Roman"/>
          <w:b w:val="0"/>
          <w:sz w:val="24"/>
        </w:rPr>
        <w:t>**Il Dominio 4 — Massoneria e Società Segrete** comprende: Grande Oriente d'Italia (GOI), Gran Loggia d'Italia, logge regolari ed irregolari, logge coperte (P2 come caso paradigmatico, ma anche le logge successive come la cosiddetta “P3”), Sovrano Militare Ordine di Malta (SMOM), Ordini Cavallereschi, e Società Segrete non massoniche (Nuclei di Difesa dello Stato, Rosa dei Venti, Compagnia delle Opere).</w:t>
      </w:r>
    </w:p>
    <w:p>
      <w:pPr>
        <w:spacing w:line="276" w:lineRule="auto" w:before="0" w:after="0"/>
        <w:ind w:firstLine="425"/>
        <w:jc w:val="both"/>
      </w:pPr>
      <w:r>
        <w:rPr>
          <w:rFonts w:ascii="Times New Roman" w:hAnsi="Times New Roman" w:cs="Times New Roman" w:eastAsia="Times New Roman"/>
          <w:b w:val="0"/>
          <w:sz w:val="24"/>
        </w:rPr>
        <w:t>**Il Dominio 5 — Istituzioni Religiose** comprende: Santa Sede (Segreteria di Stato, Congregazioni), IOR (Istituto per le Opere di Religione), Conferenza Episcopale Italiana (CEI), Ordini Religiosi con influenza politico-economica (Gesuiti, Opus Dei, Comunione e Liberazione) ed il rapporto Stato-Chiesa (Concordato, 8 per mille, insegnamento della religione, influenza legislativa su temi etici).</w:t>
      </w:r>
    </w:p>
    <w:p>
      <w:pPr>
        <w:spacing w:line="276" w:lineRule="auto" w:before="0" w:after="0"/>
        <w:ind w:firstLine="425"/>
        <w:jc w:val="both"/>
      </w:pPr>
      <w:r>
        <w:rPr>
          <w:rFonts w:ascii="Times New Roman" w:hAnsi="Times New Roman" w:cs="Times New Roman" w:eastAsia="Times New Roman"/>
          <w:b w:val="0"/>
          <w:sz w:val="24"/>
        </w:rPr>
        <w:t>**Il Dominio 6 — Economia, Finanza e Impresa** comprende: sistema bancario (Banca d'Italia, banche commerciali, banche popolari, cooperative di credito, banche vaticane), imprenditoria infiltrata (edilizia, grande distribuzione, sanità, rifiuti, ristorazione), appalti pubblici (sistema Tangentopoli, ricostruzioni post-terremoto, grandi opere, PNRR), Paradisi Fiscali, sistemi di riciclaggio ed il complesso militare-industriale (Finmeccanica/Leonardo, MBDA, Fincantieri).</w:t>
      </w:r>
    </w:p>
    <w:p>
      <w:pPr>
        <w:spacing w:line="276" w:lineRule="auto" w:before="0" w:after="0"/>
        <w:ind w:firstLine="425"/>
        <w:jc w:val="both"/>
      </w:pPr>
      <w:r>
        <w:rPr>
          <w:rFonts w:ascii="Times New Roman" w:hAnsi="Times New Roman" w:cs="Times New Roman" w:eastAsia="Times New Roman"/>
          <w:b w:val="0"/>
          <w:sz w:val="24"/>
        </w:rPr>
        <w:t>**Il Dominio 7 — Terrorismo e Violenza Politica** comprende: terrorismo rosso (Brigate Rosse ed organizzazioni collegate, Prima Linea, NAP, Azione Rivoluzionaria), terrorismo nero (Ordine Nuovo, Avanguardia Nazionale, NAR, Terza Posizione), stragismo (la sequenza da Piazza Fontana alle bombe del 1993), eversione militare (Piano Solo, Golpe Borghese, Rosa dei Venti) e terrorismo internazionale sul territorio italiano (caso Achille Lauro, attentato alla Sinagoga di Roma, rete Abu Nidal).</w:t>
      </w:r>
    </w:p>
    <w:p>
      <w:pPr>
        <w:spacing w:line="276" w:lineRule="auto" w:before="0" w:after="0"/>
        <w:ind w:firstLine="425"/>
        <w:jc w:val="both"/>
      </w:pPr>
      <w:r>
        <w:rPr>
          <w:rFonts w:ascii="Times New Roman" w:hAnsi="Times New Roman" w:cs="Times New Roman" w:eastAsia="Times New Roman"/>
          <w:b w:val="0"/>
          <w:sz w:val="24"/>
        </w:rPr>
        <w:t>**Il Dominio 8 — Media e Controllo dell'Informazione** comprende: editoria quotidiana e periodica (Corriere della Sera, Repubblica, il ruolo dei direttori nella formazione dell'opinione pubblica), televisione (RAI come servizio pubblico politicizzato, Fininvest/Mediaset come impero mediatico-politico), giornalismo investigativo (da Mauro De Mauro a Roberto Catanzaro), disinformazione organizzata (i depistaggi mediatici dopo le stragi, il ruolo dell'Agenzia ANSA, le “veline” dei servizi segreti alle redazioni) ed il sistema dell'informazione nell'era digitale (social media, fake news, troll farms).</w:t>
      </w:r>
    </w:p>
    <w:p>
      <w:pPr>
        <w:spacing w:line="276" w:lineRule="auto" w:before="0" w:after="0"/>
        <w:ind w:firstLine="425"/>
        <w:jc w:val="both"/>
      </w:pPr>
      <w:r>
        <w:rPr>
          <w:rFonts w:ascii="Times New Roman" w:hAnsi="Times New Roman" w:cs="Times New Roman" w:eastAsia="Times New Roman"/>
          <w:b w:val="0"/>
          <w:sz w:val="24"/>
        </w:rPr>
        <w:t>**Il Dominio 9 — Forze Armate e Apparato Militare** comprende: Esercito Italiano (con particolare attenzione al ruolo dei Generali nella Storia Repubblicana), Arma dei Carabinieri (come Corpo Militare con funzioni di polizia e propria intelligence: il ROS), Marina Militare ed Aeronautica Militare, NATO (struttura di comando, basi in Italia: Aviano, Sigonella, Vicenza, Napoli, Capo Marrargiu) ed il complesso militare-industriale (che opera nella zona di sovrapposizione tra Dominio 9 e Dominio 6).</w:t>
      </w:r>
    </w:p>
    <w:p>
      <w:pPr>
        <w:spacing w:line="276" w:lineRule="auto" w:before="0" w:after="0"/>
        <w:ind w:firstLine="425"/>
        <w:jc w:val="both"/>
      </w:pPr>
      <w:r>
        <w:rPr>
          <w:rFonts w:ascii="Times New Roman" w:hAnsi="Times New Roman" w:cs="Times New Roman" w:eastAsia="Times New Roman"/>
          <w:b w:val="0"/>
          <w:sz w:val="24"/>
        </w:rPr>
        <w:t>**Il Dominio 10 — Magistratura e Sistema Giudiziario** comprende: Procure della Repubblica (con particolare attenzione alle procure “di frontiera” come Palermo, Reggio Calabria, Napoli, Milano), Consiglio Superiore della Magistratura (CSM) e le sue dinamiche correntizie, i pool investigativi (pool antimafia di Palermo, pool di Mani Pulite a Milano), i collaboratori di giustizia (il sistema dei “pentiti” come fonte primaria di informazione sulla criminalità organizzata, con i suoi limiti e le sue distorsioni), le Commissioni Parlamentari d'Inchiesta (Antimafia, Stragi/Pellegrino, Moro, Anselmi) ed i depistaggi giudiziari (la pista anarchica per Piazza Fontana, i processi-farsa per le stragi, le assoluzioni eccellenti).</w:t>
      </w:r>
    </w:p>
    <w:p>
      <w:pPr>
        <w:keepNext/>
        <w:spacing w:line="276" w:lineRule="auto" w:before="240" w:after="80"/>
        <w:jc w:val="left"/>
      </w:pPr>
      <w:r>
        <w:rPr>
          <w:rFonts w:ascii="Times New Roman" w:hAnsi="Times New Roman" w:cs="Times New Roman" w:eastAsia="Times New Roman"/>
          <w:b/>
          <w:sz w:val="28"/>
        </w:rPr>
        <w:t>Parte III — La struttura relazionale: le connessioni inter-dominio ed i meccanismi di accoppiamento</w:t>
      </w:r>
    </w:p>
    <w:p>
      <w:pPr>
        <w:keepNext/>
        <w:spacing w:line="276" w:lineRule="auto" w:before="160" w:after="40"/>
        <w:jc w:val="left"/>
      </w:pPr>
      <w:r>
        <w:rPr>
          <w:rFonts w:ascii="Times New Roman" w:hAnsi="Times New Roman" w:cs="Times New Roman" w:eastAsia="Times New Roman"/>
          <w:b/>
          <w:sz w:val="26"/>
        </w:rPr>
        <w:t>3.1 Le quarantacinque coppie e la loro rilevanza empirica</w:t>
      </w:r>
    </w:p>
    <w:p>
      <w:pPr>
        <w:spacing w:line="276" w:lineRule="auto" w:before="0" w:after="0"/>
        <w:ind w:firstLine="425"/>
        <w:jc w:val="both"/>
      </w:pPr>
      <w:r>
        <w:rPr>
          <w:rFonts w:ascii="Times New Roman" w:hAnsi="Times New Roman" w:cs="Times New Roman" w:eastAsia="Times New Roman"/>
          <w:b w:val="0"/>
          <w:sz w:val="24"/>
        </w:rPr>
        <w:t>La combinazione di dieci domini genera quarantacinque coppie possibili. Non tutte le coppie sono empiricamente significative. La selezione delle coppie rilevanti — quelle che diventeranno capitoli della Sezione Beta dell'opera — si basa su un criterio empirico rigoroso: una coppia è rilevante se e solo se la rete contiene un numero di archi inter-dominio tra i due domini in questione superiore ad una soglia minima, calcolata in funzione della dimensione dei due domini e del numero totale di archi nella rete. Questo criterio, derivato dalla Teoria dell'Informazione di Claude Shannon (A Mathematical Theory of Communication, 1948) ed applicato all'analisi delle reti da Mark Newman, evita sia l'errore di considerare significative connessioni casuali (falsi positivi) sia l'errore di ignorare connessioni reali ma numericamente deboli (falsi negativi).</w:t>
      </w:r>
    </w:p>
    <w:p>
      <w:pPr>
        <w:spacing w:line="276" w:lineRule="auto" w:before="0" w:after="0"/>
        <w:ind w:firstLine="425"/>
        <w:jc w:val="both"/>
      </w:pPr>
      <w:r>
        <w:rPr>
          <w:rFonts w:ascii="Times New Roman" w:hAnsi="Times New Roman" w:cs="Times New Roman" w:eastAsia="Times New Roman"/>
          <w:b w:val="0"/>
          <w:sz w:val="24"/>
        </w:rPr>
        <w:t>La stima preliminare, basata sul corpus documentario attualmente disponibile, identifica venticinque-trenta coppie empiricamente significative su quarantacinque possibili. Le più dense sono: Crimine × Politica, Crimine × Economia, Crimine × Intelligence, Intelligence × Politica, Intelligence × Forze Armate, Massoneria × Intelligence, Massoneria × Politica, Massoneria × Economia, Religione × Economia, Terrorismo × Intelligence, Media × Politica, Magistratura × Crimine, Magistratura × Politica. Le meno dense, ma potenzialmente più rivelatrici proprio per la loro rarità, sono: Religione × Terrorismo, Forze Armate × Crimine, Media × Massoneria, e Religione × Intelligence.</w:t>
      </w:r>
    </w:p>
    <w:p>
      <w:pPr>
        <w:keepNext/>
        <w:spacing w:line="276" w:lineRule="auto" w:before="160" w:after="40"/>
        <w:jc w:val="left"/>
      </w:pPr>
      <w:r>
        <w:rPr>
          <w:rFonts w:ascii="Times New Roman" w:hAnsi="Times New Roman" w:cs="Times New Roman" w:eastAsia="Times New Roman"/>
          <w:b/>
          <w:sz w:val="26"/>
        </w:rPr>
        <w:t>3.2 La tipologia degli archi inter-dominio</w:t>
      </w:r>
    </w:p>
    <w:p>
      <w:pPr>
        <w:spacing w:line="276" w:lineRule="auto" w:before="0" w:after="0"/>
        <w:ind w:firstLine="425"/>
        <w:jc w:val="both"/>
      </w:pPr>
      <w:r>
        <w:rPr>
          <w:rFonts w:ascii="Times New Roman" w:hAnsi="Times New Roman" w:cs="Times New Roman" w:eastAsia="Times New Roman"/>
          <w:b w:val="0"/>
          <w:sz w:val="24"/>
        </w:rPr>
        <w:t>Gli archi che collegano nodi appartenenti a domini diversi possono essere classificati secondo una tassonomia funzionale derivata dalla criminologia analitica di Petrus van Duyne (Cross-Border Crime in a Changing Europe, 2001) e dalla teoria dell'accoppiamento strutturale di Luhmann.</w:t>
      </w:r>
    </w:p>
    <w:p>
      <w:pPr>
        <w:spacing w:line="276" w:lineRule="auto" w:before="0" w:after="0"/>
        <w:ind w:firstLine="425"/>
        <w:jc w:val="both"/>
      </w:pPr>
      <w:r>
        <w:rPr>
          <w:rFonts w:ascii="Times New Roman" w:hAnsi="Times New Roman" w:cs="Times New Roman" w:eastAsia="Times New Roman"/>
          <w:b w:val="0"/>
          <w:sz w:val="24"/>
        </w:rPr>
        <w:t>Il primo tipo è l'arco di collusione: un attore del Dominio A entra in una relazione stabile e reciprocamente vantaggiosa con un attore del Dominio B, in violazione delle regole di entrambi i domini. Il politico che riceve denaro dalla mafia in cambio di protezione legislativa; il magistrato che insabbia un'indagine in cambio di una promozione orchestrata dalla massoneria; l'ufficiale dell'intelligence che fornisce informazioni riservate a un'organizzazione criminale in cambio di servizi operativi.</w:t>
      </w:r>
    </w:p>
    <w:p>
      <w:pPr>
        <w:spacing w:line="276" w:lineRule="auto" w:before="0" w:after="0"/>
        <w:ind w:firstLine="425"/>
        <w:jc w:val="both"/>
      </w:pPr>
      <w:r>
        <w:rPr>
          <w:rFonts w:ascii="Times New Roman" w:hAnsi="Times New Roman" w:cs="Times New Roman" w:eastAsia="Times New Roman"/>
          <w:b w:val="0"/>
          <w:sz w:val="24"/>
        </w:rPr>
        <w:t>Il secondo tipo è l'arco di strumentalizzazione: un attore del Dominio A utilizza un attore del Dominio B come strumento per raggiungere i propri obiettivi, senza che il secondo ne sia necessariamente consapevole o consenziente. L'intelligence che utilizza un gruppo terroristico come “manovalanza” per un'operazione di destabilizzazione; la mafia che utilizza un giornalista come veicolo di disinformazione; la politica che utilizza la magistratura come arma contro gli avversari.</w:t>
      </w:r>
    </w:p>
    <w:p>
      <w:pPr>
        <w:spacing w:line="276" w:lineRule="auto" w:before="0" w:after="0"/>
        <w:ind w:firstLine="425"/>
        <w:jc w:val="both"/>
      </w:pPr>
      <w:r>
        <w:rPr>
          <w:rFonts w:ascii="Times New Roman" w:hAnsi="Times New Roman" w:cs="Times New Roman" w:eastAsia="Times New Roman"/>
          <w:b w:val="0"/>
          <w:sz w:val="24"/>
        </w:rPr>
        <w:t>Il terzo tipo è l'arco di infiltrazione: un attore del Dominio A penetra nel Dominio B assumendo una posizione formale al suo interno, mantenendo la propria lealtà originaria. L'agente del SISMI che si iscrive alla P2; il mafioso che entra in un partito politico; l'informatore dell'FBI che opera all'interno di una famiglia mafiosa. Questo tipo di arco è particolarmente insidioso perché rende ambigua l'appartenenza ai domini: il nodo sembra appartenere al Dominio B, ma opera nel codice del Dominio A.</w:t>
      </w:r>
    </w:p>
    <w:p>
      <w:pPr>
        <w:spacing w:line="276" w:lineRule="auto" w:before="0" w:after="0"/>
        <w:ind w:firstLine="425"/>
        <w:jc w:val="both"/>
      </w:pPr>
      <w:r>
        <w:rPr>
          <w:rFonts w:ascii="Times New Roman" w:hAnsi="Times New Roman" w:cs="Times New Roman" w:eastAsia="Times New Roman"/>
          <w:b w:val="0"/>
          <w:sz w:val="24"/>
        </w:rPr>
        <w:t>Il quarto tipo è l'arco di convergenza: attori dei Domini A e B, senza una relazione diretta, compiono azioni che producono effetti convergenti su un terzo dominio. La CIA ed il KGB che, per ragioni opposte, finanziano fazioni contrapposte nel terrorismo italiano producendo una destabilizzazione complessiva che serve gli interessi di entrambe le superpotenze. Questo tipo di arco è il più difficile da identificare perché non presuppone contatto diretto tra gli attori e la convergenza può essere tanto intenzionale quanto emergente.</w:t>
      </w:r>
    </w:p>
    <w:p>
      <w:pPr>
        <w:spacing w:line="276" w:lineRule="auto" w:before="0" w:after="0"/>
        <w:ind w:firstLine="425"/>
        <w:jc w:val="both"/>
      </w:pPr>
      <w:r>
        <w:rPr>
          <w:rFonts w:ascii="Times New Roman" w:hAnsi="Times New Roman" w:cs="Times New Roman" w:eastAsia="Times New Roman"/>
          <w:b w:val="0"/>
          <w:sz w:val="24"/>
        </w:rPr>
        <w:t>Il quinto tipo è l'arco di transito: un flusso (denaro, informazioni, armi, droga, persone) attraversa la rete passando da un dominio all'altro attraverso una sequenza di intermediari. Il denaro del narcotraffico (Dominio 1) che viene riciclato attraverso il sistema bancario (Dominio 6), depositato nello IOR (Dominio 5), utilizzato per finanziare operazioni di intelligence (Dominio 3), che a loro volta servono obiettivi politici (Dominio 2). Ogni passaggio è un arco di transito, e l'intera sequenza è un flusso (flow) che può essere tracciato attraverso la rete.</w:t>
      </w:r>
    </w:p>
    <w:p>
      <w:pPr>
        <w:keepNext/>
        <w:spacing w:line="276" w:lineRule="auto" w:before="240" w:after="80"/>
        <w:jc w:val="left"/>
      </w:pPr>
      <w:r>
        <w:rPr>
          <w:rFonts w:ascii="Times New Roman" w:hAnsi="Times New Roman" w:cs="Times New Roman" w:eastAsia="Times New Roman"/>
          <w:b/>
          <w:sz w:val="28"/>
        </w:rPr>
        <w:t>Parte IV — I Pattern Analitici: dalla rete alla conoscenza</w:t>
      </w:r>
    </w:p>
    <w:p>
      <w:pPr>
        <w:keepNext/>
        <w:spacing w:line="276" w:lineRule="auto" w:before="160" w:after="40"/>
        <w:jc w:val="left"/>
      </w:pPr>
      <w:r>
        <w:rPr>
          <w:rFonts w:ascii="Times New Roman" w:hAnsi="Times New Roman" w:cs="Times New Roman" w:eastAsia="Times New Roman"/>
          <w:b/>
          <w:sz w:val="26"/>
        </w:rPr>
        <w:t>4.1 Fondamento teorico dei pattern</w:t>
      </w:r>
    </w:p>
    <w:p>
      <w:pPr>
        <w:spacing w:line="276" w:lineRule="auto" w:before="0" w:after="0"/>
        <w:ind w:firstLine="425"/>
        <w:jc w:val="both"/>
      </w:pPr>
      <w:r>
        <w:rPr>
          <w:rFonts w:ascii="Times New Roman" w:hAnsi="Times New Roman" w:cs="Times New Roman" w:eastAsia="Times New Roman"/>
          <w:b w:val="0"/>
          <w:sz w:val="24"/>
        </w:rPr>
        <w:t>I pattern non sono ipotesi preconcepite: sono regolarità emergenti dalla rete. La loro identificazione si basa su tre principi derivati dalla teoria della complessità di Edgar Morin (La Méthode, 6 voll., 1977–2004), dalla Grounded Theory di Barney Glaser e Anselm Strauss (The Discovery of Grounded Theory, 1967), e dall'Analysis of Competing Hypotheses (ACH) di Richards Heuer (Psychology of Intelligence Analysis, CIA, 1999).</w:t>
      </w:r>
    </w:p>
    <w:p>
      <w:pPr>
        <w:spacing w:line="276" w:lineRule="auto" w:before="0" w:after="0"/>
        <w:ind w:firstLine="425"/>
        <w:jc w:val="both"/>
      </w:pPr>
      <w:r>
        <w:rPr>
          <w:rFonts w:ascii="Times New Roman" w:hAnsi="Times New Roman" w:cs="Times New Roman" w:eastAsia="Times New Roman"/>
          <w:b w:val="0"/>
          <w:sz w:val="24"/>
        </w:rPr>
        <w:t>Il primo principio è la rinuncia alla causalità lineare. In un sistema complesso, non esiste una causa singola per un effetto singolo. Ogni evento è il prodotto di una molteplicità di fattori convergenti e tentare di ridurlo ad una sola causa è un errore epistemologico. Il metodo di Morin prescrive di cercare le causalità circolari (A causa B che causa C che retroagisce su A), le causalità emergenti (l'interazione tra A e B produce un effetto che non è riducibile né ad A né a B) e le causalità ecologiche (l'ambiente sistemico in cui operano A e B determina le condizioni di possibilità della loro interazione).</w:t>
      </w:r>
    </w:p>
    <w:p>
      <w:pPr>
        <w:spacing w:line="276" w:lineRule="auto" w:before="0" w:after="0"/>
        <w:ind w:firstLine="425"/>
        <w:jc w:val="both"/>
      </w:pPr>
      <w:r>
        <w:rPr>
          <w:rFonts w:ascii="Times New Roman" w:hAnsi="Times New Roman" w:cs="Times New Roman" w:eastAsia="Times New Roman"/>
          <w:b w:val="0"/>
          <w:sz w:val="24"/>
        </w:rPr>
        <w:t>Il secondo principio è la costruzione dal basso (bottom-up). La Grounded Theory di Glaser e Strauss prescrive di partire dai dati, non dalle teorie. Le categorie analitiche devono emergere dall'analisi sistematica dei dati, non essere imposte a priori. Nel contesto di ITALIA NERA, questo significa che i pattern vengono identificati dopo la costruzione della rete, non prima. Se la rete rivela che gli individui che occupano posizioni di alta betweenness centrality tendono a morire di morte violenta con una frequenza statisticamente superiore alla media, questo è un pattern emergente che genera un'ipotesi (“gli intermediari tra i domini sono bersagli prioritari perché conoscono troppo”). Ma l'ipotesi viene generata dai dati, non imposta su di essi.</w:t>
      </w:r>
    </w:p>
    <w:p>
      <w:pPr>
        <w:spacing w:line="276" w:lineRule="auto" w:before="0" w:after="0"/>
        <w:ind w:firstLine="425"/>
        <w:jc w:val="both"/>
      </w:pPr>
      <w:r>
        <w:rPr>
          <w:rFonts w:ascii="Times New Roman" w:hAnsi="Times New Roman" w:cs="Times New Roman" w:eastAsia="Times New Roman"/>
          <w:b w:val="0"/>
          <w:sz w:val="24"/>
        </w:rPr>
        <w:t>Il terzo principio è la competizione tra ipotesi. La metodologia ACH di Heuer, sviluppata presso la CIA per evitare il bias di conferma nelle analisi di intelligence, prescrive che per ogni osservazione vengano formulate almeno tre ipotesi alternative e che la valutazione si concentri non su quale ipotesi è più supportata dalle evidenze (perché tutte le ipotesi tendono ad accumulare conferme), ma su quale ipotesi è meno contraddetta dalle evidenze (perché è la falsificazione, non la conferma, a discriminare tra le ipotesi). Questo è il principio popperiano tradotto in procedura operativa.</w:t>
      </w:r>
    </w:p>
    <w:p>
      <w:pPr>
        <w:keepNext/>
        <w:spacing w:line="276" w:lineRule="auto" w:before="160" w:after="40"/>
        <w:jc w:val="left"/>
      </w:pPr>
      <w:r>
        <w:rPr>
          <w:rFonts w:ascii="Times New Roman" w:hAnsi="Times New Roman" w:cs="Times New Roman" w:eastAsia="Times New Roman"/>
          <w:b/>
          <w:sz w:val="26"/>
        </w:rPr>
        <w:t>4.2 I Pattern analitici specifici</w:t>
      </w:r>
    </w:p>
    <w:p>
      <w:pPr>
        <w:spacing w:line="276" w:lineRule="auto" w:before="0" w:after="0"/>
        <w:ind w:firstLine="425"/>
        <w:jc w:val="both"/>
      </w:pPr>
      <w:r>
        <w:rPr>
          <w:rFonts w:ascii="Times New Roman" w:hAnsi="Times New Roman" w:cs="Times New Roman" w:eastAsia="Times New Roman"/>
          <w:b w:val="0"/>
          <w:sz w:val="24"/>
        </w:rPr>
        <w:t>Il sistema prevede undici pattern, ciascuno con una propria procedura operativa ed un proprio criterio di validazione.</w:t>
      </w:r>
    </w:p>
    <w:p>
      <w:pPr>
        <w:spacing w:line="276" w:lineRule="auto" w:before="0" w:after="0"/>
        <w:ind w:firstLine="425"/>
        <w:jc w:val="both"/>
      </w:pPr>
      <w:r>
        <w:rPr>
          <w:rFonts w:ascii="Times New Roman" w:hAnsi="Times New Roman" w:cs="Times New Roman" w:eastAsia="Times New Roman"/>
          <w:b w:val="0"/>
          <w:sz w:val="24"/>
        </w:rPr>
        <w:t>**Pattern 1 — Hub Analysis (Analisi dei nodi centrali).** Identifica i nodi con più alto degree centrality, betweenness centrality, closeness centrality e eigenvector centrality in ciascuno dei dieci domini e nella rete complessiva. L'obiettivo è costruire una mappa del potere reale distinguendo tra potere formale (la posizione nella gerarchia) e potere relazionale (la posizione nella rete). La procedura prevede il calcolo delle quattro misure di centralità per ogni nodo, la classificazione dei nodi per quintile e l'analisi qualitativa dei nodi nel quintile superiore. Il criterio di validazione è la coerenza con le fonti indipendenti: un nodo che risulta ad alta centralità nella rete deve essere menzionato come “figura chiave” in almeno due fonti indipendenti (sentenze, rapporti parlamentari, testimonianze di collaboratori di giustizia). Riferimento: Linton Freeman, “Centrality in Social Networks: Conceptual Clarification” (Social Networks, 1, 1978–1979, pp. 215–239).</w:t>
      </w:r>
    </w:p>
    <w:p>
      <w:pPr>
        <w:spacing w:line="276" w:lineRule="auto" w:before="0" w:after="0"/>
        <w:ind w:firstLine="425"/>
        <w:jc w:val="both"/>
      </w:pPr>
      <w:r>
        <w:rPr>
          <w:rFonts w:ascii="Times New Roman" w:hAnsi="Times New Roman" w:cs="Times New Roman" w:eastAsia="Times New Roman"/>
          <w:b w:val="0"/>
          <w:sz w:val="24"/>
        </w:rPr>
        <w:t>**Pattern 2 — Community Detection (Identificazione dei cluster).** Applica algoritmi di community detection alla rete multilivello per identificare gruppi di nodi che formano “comunità” trasversali ai domini. Ogni comunità identificata viene analizzata qualitativamente per verificare se corrisponde ad una struttura operativa (un gruppo che agisce coordinatamente) o ad una convergenza casuale (nodi che si trovano vicini nella rete per ragioni contingenti). Il criterio di validazione è la verificabilità storica: se l'algoritmo identifica una comunità, almeno un evento storico documentato deve confermare l'azione coordinata dei suoi membri. Riferimento: Vincent Blondel et al., “Fast unfolding of communities in large networks” (Journal of Statistical Mechanics, 2008).</w:t>
      </w:r>
    </w:p>
    <w:p>
      <w:pPr>
        <w:spacing w:line="276" w:lineRule="auto" w:before="0" w:after="0"/>
        <w:ind w:firstLine="425"/>
        <w:jc w:val="both"/>
      </w:pPr>
      <w:r>
        <w:rPr>
          <w:rFonts w:ascii="Times New Roman" w:hAnsi="Times New Roman" w:cs="Times New Roman" w:eastAsia="Times New Roman"/>
          <w:b w:val="0"/>
          <w:sz w:val="24"/>
        </w:rPr>
        <w:t>**Pattern 3 — Temporal Network Analysis (Analisi delle coincidenze temporali).** Sovrappone la dimensione temporale alla rete, trasformando un grafo statico in un grafo dinamico dove gli archi si attivano e si disattivano nel tempo. L'obiettivo è identificare le finestre critiche — periodi in cui la densità di attività inter-dominio supera significativamente la media — e verificare se queste finestre corrispondono a eventi noti (crisi politiche, stragi, colpi di Stato). La procedura prevede la suddivisione della timeline in finestre temporali di lunghezza variabile (anno, mese, settimana) ed il calcolo della densità di attivazione degli archi in ciascuna finestra. Il criterio di validazione è statistico: una coincidenza temporale è significativa solo se la probabilità che si verifichi per caso è inferiore a una soglia prestabilita (p &lt; 0.05). Riferimento: Petter Holme e Jari Saramäki, “Temporal networks” (Physics Reports, 519, 2012, pp. 97–125).</w:t>
      </w:r>
    </w:p>
    <w:p>
      <w:pPr>
        <w:spacing w:line="276" w:lineRule="auto" w:before="0" w:after="0"/>
        <w:ind w:firstLine="425"/>
        <w:jc w:val="both"/>
      </w:pPr>
      <w:r>
        <w:rPr>
          <w:rFonts w:ascii="Times New Roman" w:hAnsi="Times New Roman" w:cs="Times New Roman" w:eastAsia="Times New Roman"/>
          <w:b w:val="0"/>
          <w:sz w:val="24"/>
        </w:rPr>
        <w:t>**Pattern 4 — Flow Analysis (Analisi dei flussi).** Traccia il movimento di risorse tangibili (denaro, droga, armi, documenti) ed intangibili (informazioni, ordini, protezione) attraverso la rete. Ogni flusso è una sequenza ordinata di archi che attraversa uno o più domini. L'obiettivo è identificare le rotte strutturali — percorsi che vengono utilizzati ripetutamente nel tempo — e distinguerle dalle rotte occasionali. La procedura prevede l'identificazione delle sorgenti (nodi da cui il flusso origina), dei pozzi (nodi dove il flusso termina) e dei colli di bottiglia (archi attraverso i quali passa una porzione sproporzionata del flusso). Il criterio di validazione è il riscontro documentario: una rotta strutturale deve essere confermata da almeno tre eventi indipendenti che utilizzano lo stesso percorso. Riferimento: Ravindra Ahuja, Thomas Magnanti e James Orlin, Network Flows: Theory, Algorithms, and Applications (1993).</w:t>
      </w:r>
    </w:p>
    <w:p>
      <w:pPr>
        <w:spacing w:line="276" w:lineRule="auto" w:before="0" w:after="0"/>
        <w:ind w:firstLine="425"/>
        <w:jc w:val="both"/>
      </w:pPr>
      <w:r>
        <w:rPr>
          <w:rFonts w:ascii="Times New Roman" w:hAnsi="Times New Roman" w:cs="Times New Roman" w:eastAsia="Times New Roman"/>
          <w:b w:val="0"/>
          <w:sz w:val="24"/>
        </w:rPr>
        <w:t>**Pattern 5 — Structural Holes Analysis (Analisi dei buchi strutturali).** Identifica le assenze nella rete: coppie di nodi che, data la struttura della rete, dovrebbero essere connessi ma non lo sono. L'assenza di una connessione attesa è un dato altrettanto significativo di una connessione presente: può indicare un conflitto nascosto, una compartimentazione intenzionale, o una lacuna nella documentazione che richiede ulteriore ricerca. La procedura prevede il calcolo dell'indice di “constraint” di Burt per ogni nodo e l'identificazione dei nodi con più alto constraint (i nodi meno liberi, più dipendenti da un singolo intermediario). Il criterio di validazione è la convergenza: un buco strutturale è significativo solo se è confermato da almeno due misure indipendenti (bassa densità locale + assenza di percorsi alternativi). Riferimento: Ronald Burt, Structural Holes: The Social Structure of Competition (1992).</w:t>
      </w:r>
    </w:p>
    <w:p>
      <w:pPr>
        <w:spacing w:line="276" w:lineRule="auto" w:before="0" w:after="0"/>
        <w:ind w:firstLine="425"/>
        <w:jc w:val="both"/>
      </w:pPr>
      <w:r>
        <w:rPr>
          <w:rFonts w:ascii="Times New Roman" w:hAnsi="Times New Roman" w:cs="Times New Roman" w:eastAsia="Times New Roman"/>
          <w:b w:val="0"/>
          <w:sz w:val="24"/>
        </w:rPr>
        <w:t>**Pattern 6 — Analysis of Competing Hypotheses (Analisi delle ipotesi concorrenti).** Per ogni pattern emergente dalla rete, vengono formulate almeno tre ipotesi alternative e viene costruita una matrice di consistenza: per ogni evidenza disponibile si valuta se è coerente, incoerente o neutra rispetto a ciascuna ipotesi. L'ipotesi “vincente” non è quella con più evidenze a favore, ma quella con meno evidenze contrarie. La procedura è quella definita da Heuer: formulare le ipotesi, elencare le evidenze, costruire la matrice, valutare le evidenze diagnostiche (quelle che discriminano tra le ipotesi), trarre conclusioni provvisorie, indicare le evidenze che, se scoperte, falsificherebbero la conclusione. Riferimento: Richards Heuer, Psychology of Intelligence Analysis (1999), capitoli 8–11.</w:t>
      </w:r>
    </w:p>
    <w:p>
      <w:pPr>
        <w:spacing w:line="276" w:lineRule="auto" w:before="0" w:after="0"/>
        <w:ind w:firstLine="425"/>
        <w:jc w:val="both"/>
      </w:pPr>
      <w:r>
        <w:rPr>
          <w:rFonts w:ascii="Times New Roman" w:hAnsi="Times New Roman" w:cs="Times New Roman" w:eastAsia="Times New Roman"/>
          <w:b w:val="0"/>
          <w:sz w:val="24"/>
        </w:rPr>
        <w:t>**Pattern 7 — Career Path Analysis (Analisi della migrazione inter-dominio).** Traccia le traiettorie individuali attraverso i domini nel tempo. Ogni individuo che “migra” da un dominio all'altro — un militare che entra nell'intelligence, poi viene scoperto nella P2, poi diventa consulente di un'azienda — disegna un percorso nella rete multilivello. L'accumulo di molti percorsi simili rivela corridoi strutturali tra i domini: percorsi che vengono ripetutamente utilizzati e che quindi indicano meccanismi di reclutamento, cooptazione od infiltrazione sistematici. Riferimento: Harrison White, Chains of Opportunity: System Models of Mobility in Organizations (1970); Howard Becker, Outsiders: Studies in the Sociology of Deviance (1963).</w:t>
      </w:r>
    </w:p>
    <w:p>
      <w:pPr>
        <w:spacing w:line="276" w:lineRule="auto" w:before="0" w:after="0"/>
        <w:ind w:firstLine="425"/>
        <w:jc w:val="both"/>
      </w:pPr>
      <w:r>
        <w:rPr>
          <w:rFonts w:ascii="Times New Roman" w:hAnsi="Times New Roman" w:cs="Times New Roman" w:eastAsia="Times New Roman"/>
          <w:b w:val="0"/>
          <w:sz w:val="24"/>
        </w:rPr>
        <w:t>**Pattern 8 — Shock Doctrine Analysis (Analisi dello sfruttamento delle crisi).** Ogni crisi (guerra, terremoto, pandemia, crisi economica, attentato, scandalo politico) viene analizzata come un evento perturbativo che modifica temporaneamente la struttura della rete: i confini tra i domini diventano più porosi, le regole vengono sospese, le opportunità di infiltrazione si moltiplicano. La procedura prevede l'identificazione delle crisi, la misurazione della variazione di densità inter-dominio prima, durante e dopo la crisi, e la verifica se le posizioni di potere nella rete risultano modificate dopo la crisi rispetto a prima. Riferimento: Naomi Klein, The Shock Doctrine: The Rise of Disaster Capitalism (2007), adattato in chiave criminologica.</w:t>
      </w:r>
    </w:p>
    <w:p>
      <w:pPr>
        <w:spacing w:line="276" w:lineRule="auto" w:before="0" w:after="0"/>
        <w:ind w:firstLine="425"/>
        <w:jc w:val="both"/>
      </w:pPr>
      <w:r>
        <w:rPr>
          <w:rFonts w:ascii="Times New Roman" w:hAnsi="Times New Roman" w:cs="Times New Roman" w:eastAsia="Times New Roman"/>
          <w:b w:val="0"/>
          <w:sz w:val="24"/>
        </w:rPr>
        <w:t>**Pattern 9 — Dynastic Analysis (Analisi della trasmissione generazionale del potere).** Traccia le “dinastie” — sequenze di individui legati da parentela che occupano posizioni di potere nello stesso dominio o in domini diversi attraverso le generazioni. I Bufalino di Montedoro attraverso tre generazioni nella famiglia di Pittston, i Trafficante di Cianciana attraverso padre e figlio a Tampa, i Lima nella politica palermitana, i Morello-Terranova nella mafia newyorkese. La procedura prevede la ricostruzione delle genealogie, l'identificazione dei “passaggi generazionali” (momenti in cui il potere viene trasmesso da una generazione alla successiva) e l'analisi dei meccanismi di trasmissione (ereditarietà diretta, cooptazione matrimoniale, sponsorizzazione). Riferimento: Michael Mann, The Sources of Social Power, 4 voll. (1986–2012).</w:t>
      </w:r>
    </w:p>
    <w:p>
      <w:pPr>
        <w:spacing w:line="276" w:lineRule="auto" w:before="0" w:after="0"/>
        <w:ind w:firstLine="425"/>
        <w:jc w:val="both"/>
      </w:pPr>
      <w:r>
        <w:rPr>
          <w:rFonts w:ascii="Times New Roman" w:hAnsi="Times New Roman" w:cs="Times New Roman" w:eastAsia="Times New Roman"/>
          <w:b w:val="0"/>
          <w:sz w:val="24"/>
        </w:rPr>
        <w:t>**Pattern 10 — Spatial Overlay Analysis (Analisi della convergenza geografica).** Sovrappone le posizioni spaziali degli attori dei diversi domini per identificare “zone di convergenza” — aree geografiche in cui la densità di attori di domini diversi supera significativamente la media. Thompson Street nel Lower East Side di Manhattan negli anni Trenta (quartier generale di Genovese, sede di logge massoniche, centro dell'immigrazione napoletana). Via Ruggiero Settimo a Palermo negli anni Ottanta (studi legali collegati alla mafia, uffici politici DC, banche coinvolte nel riciclaggio). Piazza del Gesù a Roma (sede della DC, vicinissima al Vaticano, a pochi passi dalla sede dell'IOR). La convergenza spaziale è un indicatore più forte della semplice co-occorrenza temporale perché implica la possibilità di contatto fisico quotidiano. Riferimento: Tobler's First Law of Geography (“everything is related to everything else, but near things are more related than distant things”, Waldo Tobler, 1970); Bill Hillier, Space is the Machine (1996).</w:t>
      </w:r>
    </w:p>
    <w:p>
      <w:pPr>
        <w:spacing w:line="276" w:lineRule="auto" w:before="0" w:after="0"/>
        <w:ind w:firstLine="425"/>
        <w:jc w:val="both"/>
      </w:pPr>
      <w:r>
        <w:rPr>
          <w:rFonts w:ascii="Times New Roman" w:hAnsi="Times New Roman" w:cs="Times New Roman" w:eastAsia="Times New Roman"/>
          <w:b w:val="0"/>
          <w:sz w:val="24"/>
        </w:rPr>
        <w:t>**Pattern 11 — Structural Isomorphism (Analisi dell'isomorfismo di rete).** Verifica se strutture topologicamente simili si ripetono in contesti diversi. La P2 (una loggia segreta che collega trasversalmente politica, intelligence, militari, finanza, media) e la rete stay-behind Gladio (una rete segreta che collega trasversalmente militari, intelligence, politica, terrorismo) presentano una struttura topologica simile: un nucleo centrale ristretto che irradia verso i vertici di molteplici domini. Questa somiglianza strutturale può indicare: un'origine comune (entrambe le strutture create dallo stesso progettista), una necessità funzionale (la struttura è la più efficiente per il compito di collegare trasversalmente i domini) o una convergenza indipendente (diverse pressioni ambientali producono strutture simili). L'analisi dell'isomorfismo permette di discriminare tra queste tre possibilità attraverso la comparazione delle strutture interne, dei periodi di formazione e dei contesti operativi. Riferimento: Paul DiMaggio e Walter Powell, “The Iron Cage Revisited: Institutional Isomorphism and Collective Rationality in Organizational Fields” (American Sociological Review, 48, 1983, pp. 147–160).</w:t>
      </w:r>
    </w:p>
    <w:p>
      <w:pPr>
        <w:keepNext/>
        <w:spacing w:line="276" w:lineRule="auto" w:before="240" w:after="80"/>
        <w:jc w:val="left"/>
      </w:pPr>
      <w:r>
        <w:rPr>
          <w:rFonts w:ascii="Times New Roman" w:hAnsi="Times New Roman" w:cs="Times New Roman" w:eastAsia="Times New Roman"/>
          <w:b/>
          <w:sz w:val="28"/>
        </w:rPr>
        <w:t>Parte V — Lo standard probatorio: dalla traccia all'evidenza</w:t>
      </w:r>
    </w:p>
    <w:p>
      <w:pPr>
        <w:keepNext/>
        <w:spacing w:line="276" w:lineRule="auto" w:before="160" w:after="40"/>
        <w:jc w:val="left"/>
      </w:pPr>
      <w:r>
        <w:rPr>
          <w:rFonts w:ascii="Times New Roman" w:hAnsi="Times New Roman" w:cs="Times New Roman" w:eastAsia="Times New Roman"/>
          <w:b/>
          <w:sz w:val="26"/>
        </w:rPr>
        <w:t>5.1 Il triangolo della verificabilità</w:t>
      </w:r>
    </w:p>
    <w:p>
      <w:pPr>
        <w:spacing w:line="276" w:lineRule="auto" w:before="0" w:after="0"/>
        <w:ind w:firstLine="425"/>
        <w:jc w:val="both"/>
      </w:pPr>
      <w:r>
        <w:rPr>
          <w:rFonts w:ascii="Times New Roman" w:hAnsi="Times New Roman" w:cs="Times New Roman" w:eastAsia="Times New Roman"/>
          <w:b w:val="0"/>
          <w:sz w:val="24"/>
        </w:rPr>
        <w:t>ITALIA NERA adotta lo standard probatorio della “triangolazione delle fonti” (source triangulation), derivato dalla metodologia di Ernesto Savona (European Money Trails, 1999; Organized Crime in the World, 2012) e consolidato nella pratica giudiziaria italiana dal “metodo Falcone”. Una connessione tra due nodi della rete viene classificata secondo tre livelli di attendibilità.</w:t>
      </w:r>
    </w:p>
    <w:p>
      <w:pPr>
        <w:spacing w:line="276" w:lineRule="auto" w:before="0" w:after="0"/>
        <w:ind w:firstLine="425"/>
        <w:jc w:val="both"/>
      </w:pPr>
      <w:r>
        <w:rPr>
          <w:rFonts w:ascii="Times New Roman" w:hAnsi="Times New Roman" w:cs="Times New Roman" w:eastAsia="Times New Roman"/>
          <w:b w:val="0"/>
          <w:sz w:val="24"/>
        </w:rPr>
        <w:t>Il livello A (connessione documentata) richiede la convergenza di almeno tre fonti indipendenti di natura diversa. Una sentenza passata in giudicato, una testimonianza di collaboratore di giustizia riscontrata, un documento d'archivio (intercettazione, documento bancario, verbale di riunione). La convergenza di tre fonti indipendenti riduce la probabilità di errore a livelli trascurabili, secondo il principio della consilience of evidence formulato da William Whewell (The Philosophy of the Inductive Sciences, 1840) e ripreso da Edward O. Wilson (Consilience: The Unity of Knowledge, 1998).</w:t>
      </w:r>
    </w:p>
    <w:p>
      <w:pPr>
        <w:spacing w:line="276" w:lineRule="auto" w:before="0" w:after="0"/>
        <w:ind w:firstLine="425"/>
        <w:jc w:val="both"/>
      </w:pPr>
      <w:r>
        <w:rPr>
          <w:rFonts w:ascii="Times New Roman" w:hAnsi="Times New Roman" w:cs="Times New Roman" w:eastAsia="Times New Roman"/>
          <w:b w:val="0"/>
          <w:sz w:val="24"/>
        </w:rPr>
        <w:t>Il livello B (connessione indiziaria) richiede la convergenza di due fonti indipendenti, oppure una singola fonte di alta affidabilità (una sentenza di primo grado, un rapporto parlamentare circostanziato, un documento classificato desecretato). La connessione è considerata probabile ma non certa e viene segnalata come tale nel testo.</w:t>
      </w:r>
    </w:p>
    <w:p>
      <w:pPr>
        <w:spacing w:line="276" w:lineRule="auto" w:before="0" w:after="0"/>
        <w:ind w:firstLine="425"/>
        <w:jc w:val="both"/>
      </w:pPr>
      <w:r>
        <w:rPr>
          <w:rFonts w:ascii="Times New Roman" w:hAnsi="Times New Roman" w:cs="Times New Roman" w:eastAsia="Times New Roman"/>
          <w:b w:val="0"/>
          <w:sz w:val="24"/>
        </w:rPr>
        <w:t>Il livello C (connessione ipotetica) si basa su una singola fonte, oppure su una convergenza di indizi circumstanziali (coincidenza temporale, prossimità geografica, appartenenza allo stesso dominio). La connessione è considerata un'ipotesi investigativa che richiede ulteriore verifica e viene esplicitamente marcata come ipotetica.</w:t>
      </w:r>
    </w:p>
    <w:p>
      <w:pPr>
        <w:spacing w:line="276" w:lineRule="auto" w:before="0" w:after="0"/>
        <w:ind w:firstLine="425"/>
        <w:jc w:val="both"/>
      </w:pPr>
      <w:r>
        <w:rPr>
          <w:rFonts w:ascii="Times New Roman" w:hAnsi="Times New Roman" w:cs="Times New Roman" w:eastAsia="Times New Roman"/>
          <w:b w:val="0"/>
          <w:sz w:val="24"/>
        </w:rPr>
        <w:t>Questo sistema di classificazione permette al lettore di valutare autonomamente il grado di affidabilità di ogni affermazione contenuta nell'opera, in conformità con il principio di falsificabilità popperiano: ogni affermazione è accompagnata dall'indicazione di cosa sarebbe necessario per falsificarla.</w:t>
      </w:r>
    </w:p>
    <w:p>
      <w:pPr>
        <w:spacing w:line="276" w:lineRule="auto" w:before="0" w:after="0"/>
      </w:pPr>
      <w:r>
        <w:rPr>
          <w:rFonts w:ascii="Times New Roman" w:hAnsi="Times New Roman" w:cs="Times New Roman" w:eastAsia="Times New Roman"/>
          <w:b w:val="0"/>
          <w:sz w:val="24"/>
        </w:rPr>
      </w:r>
    </w:p>
    <w:p>
      <w:pPr>
        <w:spacing w:line="276" w:lineRule="auto" w:before="0" w:after="0"/>
        <w:ind w:firstLine="425"/>
        <w:jc w:val="both"/>
      </w:pPr>
      <w:r>
        <w:rPr>
          <w:rFonts w:ascii="Times New Roman" w:hAnsi="Times New Roman" w:cs="Times New Roman" w:eastAsia="Times New Roman"/>
          <w:b w:val="0"/>
          <w:sz w:val="24"/>
        </w:rPr>
        <w:t>Luigi De Michele</w:t>
      </w:r>
    </w:p>
    <w:p>
      <w:pPr>
        <w:pageBreakBefore w:val="0"/>
      </w:pPr>
      <w:r>
        <w:rPr>
          <w:rFonts w:ascii="Times New Roman" w:hAnsi="Times New Roman" w:cs="Times New Roman" w:eastAsia="Times New Roman"/>
          <w:sz w:val="24"/>
        </w:rPr>
        <w:br w:type="page"/>
      </w:r>
    </w:p>
    <w:p>
      <w:pPr>
        <w:keepNext/>
        <w:spacing w:line="276" w:lineRule="auto" w:before="240" w:after="80"/>
        <w:jc w:val="left"/>
      </w:pPr>
      <w:r>
        <w:rPr>
          <w:rFonts w:ascii="Times New Roman" w:hAnsi="Times New Roman" w:cs="Times New Roman" w:eastAsia="Times New Roman"/>
          <w:b/>
          <w:sz w:val="28"/>
        </w:rPr>
        <w:t>Bibliografia metodologica</w:t>
      </w:r>
    </w:p>
    <w:p>
      <w:pPr>
        <w:spacing w:line="276" w:lineRule="auto" w:before="0" w:after="40"/>
        <w:ind w:left="425" w:hanging="425"/>
        <w:jc w:val="both"/>
      </w:pPr>
      <w:r>
        <w:rPr>
          <w:rFonts w:ascii="Times New Roman" w:hAnsi="Times New Roman" w:cs="Times New Roman" w:eastAsia="Times New Roman"/>
          <w:b w:val="0"/>
          <w:sz w:val="24"/>
        </w:rPr>
        <w:t>Ahuja, Ravindra K., Thomas L. Magnanti e James B. Orlin, Network Flows: Theory, Algorithms, and Applications, Prentice Hall, 1993.</w:t>
      </w:r>
    </w:p>
    <w:p>
      <w:pPr>
        <w:spacing w:line="276" w:lineRule="auto" w:before="0" w:after="40"/>
        <w:ind w:left="425" w:hanging="425"/>
        <w:jc w:val="both"/>
      </w:pPr>
      <w:r>
        <w:rPr>
          <w:rFonts w:ascii="Times New Roman" w:hAnsi="Times New Roman" w:cs="Times New Roman" w:eastAsia="Times New Roman"/>
          <w:b w:val="0"/>
          <w:sz w:val="24"/>
        </w:rPr>
        <w:t>Becker, Howard S., Outsiders: Studies in the Sociology of Deviance, Free Press, 1963.</w:t>
      </w:r>
    </w:p>
    <w:p>
      <w:pPr>
        <w:spacing w:line="276" w:lineRule="auto" w:before="0" w:after="40"/>
        <w:ind w:left="425" w:hanging="425"/>
        <w:jc w:val="both"/>
      </w:pPr>
      <w:r>
        <w:rPr>
          <w:rFonts w:ascii="Times New Roman" w:hAnsi="Times New Roman" w:cs="Times New Roman" w:eastAsia="Times New Roman"/>
          <w:b w:val="0"/>
          <w:sz w:val="24"/>
        </w:rPr>
        <w:t>Blondel, Vincent D., Jean-Loup Guillaume, Renaud Lambiotte e Etienne Lefebvre, “Fast unfolding of communities in large networks”, Journal of Statistical Mechanics: Theory and Experiment, 10, 2008, P10008.</w:t>
      </w:r>
    </w:p>
    <w:p>
      <w:pPr>
        <w:spacing w:line="276" w:lineRule="auto" w:before="0" w:after="40"/>
        <w:ind w:left="425" w:hanging="425"/>
        <w:jc w:val="both"/>
      </w:pPr>
      <w:r>
        <w:rPr>
          <w:rFonts w:ascii="Times New Roman" w:hAnsi="Times New Roman" w:cs="Times New Roman" w:eastAsia="Times New Roman"/>
          <w:b w:val="0"/>
          <w:sz w:val="24"/>
        </w:rPr>
        <w:t>Bourdieu, Pierre, La distinction: critique sociale du jugement, Les Éditions de Minuit, 1979.</w:t>
      </w:r>
    </w:p>
    <w:p>
      <w:pPr>
        <w:spacing w:line="276" w:lineRule="auto" w:before="0" w:after="40"/>
        <w:ind w:left="425" w:hanging="425"/>
        <w:jc w:val="both"/>
      </w:pPr>
      <w:r>
        <w:rPr>
          <w:rFonts w:ascii="Times New Roman" w:hAnsi="Times New Roman" w:cs="Times New Roman" w:eastAsia="Times New Roman"/>
          <w:b w:val="0"/>
          <w:sz w:val="24"/>
        </w:rPr>
        <w:t>Bourdieu, Pierre, Les règles de l'art: genèse et structure du champ littéraire, Seuil, 1992.</w:t>
      </w:r>
    </w:p>
    <w:p>
      <w:pPr>
        <w:spacing w:line="276" w:lineRule="auto" w:before="0" w:after="40"/>
        <w:ind w:left="425" w:hanging="425"/>
        <w:jc w:val="both"/>
      </w:pPr>
      <w:r>
        <w:rPr>
          <w:rFonts w:ascii="Times New Roman" w:hAnsi="Times New Roman" w:cs="Times New Roman" w:eastAsia="Times New Roman"/>
          <w:b w:val="0"/>
          <w:sz w:val="24"/>
        </w:rPr>
        <w:t>Burt, Ronald S., Structural Holes: The Social Structure of Competition, Harvard University Press, 1992.</w:t>
      </w:r>
    </w:p>
    <w:p>
      <w:pPr>
        <w:spacing w:line="276" w:lineRule="auto" w:before="0" w:after="40"/>
        <w:ind w:left="425" w:hanging="425"/>
        <w:jc w:val="both"/>
      </w:pPr>
      <w:r>
        <w:rPr>
          <w:rFonts w:ascii="Times New Roman" w:hAnsi="Times New Roman" w:cs="Times New Roman" w:eastAsia="Times New Roman"/>
          <w:b w:val="0"/>
          <w:sz w:val="24"/>
        </w:rPr>
        <w:t>Catino, Maurizio, Mafia Organizations: The Visible Hand of Criminal Enterprise, Cambridge University Press, 2019.</w:t>
      </w:r>
    </w:p>
    <w:p>
      <w:pPr>
        <w:spacing w:line="276" w:lineRule="auto" w:before="0" w:after="40"/>
        <w:ind w:left="425" w:hanging="425"/>
        <w:jc w:val="both"/>
      </w:pPr>
      <w:r>
        <w:rPr>
          <w:rFonts w:ascii="Times New Roman" w:hAnsi="Times New Roman" w:cs="Times New Roman" w:eastAsia="Times New Roman"/>
          <w:b w:val="0"/>
          <w:sz w:val="24"/>
        </w:rPr>
        <w:t>DiMaggio, Paul J. e Walter W. Powell, “The Iron Cage Revisited: Institutional Isomorphism and Collective Rationality in Organizational Fields”, American Sociological Review, 48, 2, 1983, pp. 147–160.</w:t>
      </w:r>
    </w:p>
    <w:p>
      <w:pPr>
        <w:spacing w:line="276" w:lineRule="auto" w:before="0" w:after="40"/>
        <w:ind w:left="425" w:hanging="425"/>
        <w:jc w:val="both"/>
      </w:pPr>
      <w:r>
        <w:rPr>
          <w:rFonts w:ascii="Times New Roman" w:hAnsi="Times New Roman" w:cs="Times New Roman" w:eastAsia="Times New Roman"/>
          <w:b w:val="0"/>
          <w:sz w:val="24"/>
        </w:rPr>
        <w:t>Falcone, Giovanni e Marcelle Padovani, Cose di Cosa Nostra, Rizzoli, 1991.</w:t>
      </w:r>
    </w:p>
    <w:p>
      <w:pPr>
        <w:spacing w:line="276" w:lineRule="auto" w:before="0" w:after="40"/>
        <w:ind w:left="425" w:hanging="425"/>
        <w:jc w:val="both"/>
      </w:pPr>
      <w:r>
        <w:rPr>
          <w:rFonts w:ascii="Times New Roman" w:hAnsi="Times New Roman" w:cs="Times New Roman" w:eastAsia="Times New Roman"/>
          <w:b w:val="0"/>
          <w:sz w:val="24"/>
        </w:rPr>
        <w:t>Freeman, Linton C., “Centrality in Social Networks: Conceptual Clarification”, Social Networks, 1, 1978–1979, pp. 215–239.</w:t>
      </w:r>
    </w:p>
    <w:p>
      <w:pPr>
        <w:spacing w:line="276" w:lineRule="auto" w:before="0" w:after="40"/>
        <w:ind w:left="425" w:hanging="425"/>
        <w:jc w:val="both"/>
      </w:pPr>
      <w:r>
        <w:rPr>
          <w:rFonts w:ascii="Times New Roman" w:hAnsi="Times New Roman" w:cs="Times New Roman" w:eastAsia="Times New Roman"/>
          <w:b w:val="0"/>
          <w:sz w:val="24"/>
        </w:rPr>
        <w:t>Geertz, Clifford, The Interpretation of Cultures, Basic Books, 1973.</w:t>
      </w:r>
    </w:p>
    <w:p>
      <w:pPr>
        <w:spacing w:line="276" w:lineRule="auto" w:before="0" w:after="40"/>
        <w:ind w:left="425" w:hanging="425"/>
        <w:jc w:val="both"/>
      </w:pPr>
      <w:r>
        <w:rPr>
          <w:rFonts w:ascii="Times New Roman" w:hAnsi="Times New Roman" w:cs="Times New Roman" w:eastAsia="Times New Roman"/>
          <w:b w:val="0"/>
          <w:sz w:val="24"/>
        </w:rPr>
        <w:t>Ginzburg, Carlo, “Spie: radici di un paradigma indiziario”, in Miti, emblemi, spie: morfologia e storia, Einaudi, 1986.</w:t>
      </w:r>
    </w:p>
    <w:p>
      <w:pPr>
        <w:spacing w:line="276" w:lineRule="auto" w:before="0" w:after="40"/>
        <w:ind w:left="425" w:hanging="425"/>
        <w:jc w:val="both"/>
      </w:pPr>
      <w:r>
        <w:rPr>
          <w:rFonts w:ascii="Times New Roman" w:hAnsi="Times New Roman" w:cs="Times New Roman" w:eastAsia="Times New Roman"/>
          <w:b w:val="0"/>
          <w:sz w:val="24"/>
        </w:rPr>
        <w:t>Girvan, Michelle e Mark E.J. Newman, “Community structure in social and biological networks”, Proceedings of the National Academy of Sciences, 99, 12, 2002, pp. 7821–7826.</w:t>
      </w:r>
    </w:p>
    <w:p>
      <w:pPr>
        <w:spacing w:line="276" w:lineRule="auto" w:before="0" w:after="40"/>
        <w:ind w:left="425" w:hanging="425"/>
        <w:jc w:val="both"/>
      </w:pPr>
      <w:r>
        <w:rPr>
          <w:rFonts w:ascii="Times New Roman" w:hAnsi="Times New Roman" w:cs="Times New Roman" w:eastAsia="Times New Roman"/>
          <w:b w:val="0"/>
          <w:sz w:val="24"/>
        </w:rPr>
        <w:t>Glaser, Barney G. e Anselm L. Strauss, The Discovery of Grounded Theory: Strategies for Qualitative Research, Aldine, 1967.</w:t>
      </w:r>
    </w:p>
    <w:p>
      <w:pPr>
        <w:spacing w:line="276" w:lineRule="auto" w:before="0" w:after="40"/>
        <w:ind w:left="425" w:hanging="425"/>
        <w:jc w:val="both"/>
      </w:pPr>
      <w:r>
        <w:rPr>
          <w:rFonts w:ascii="Times New Roman" w:hAnsi="Times New Roman" w:cs="Times New Roman" w:eastAsia="Times New Roman"/>
          <w:b w:val="0"/>
          <w:sz w:val="24"/>
        </w:rPr>
        <w:t>Heuer, Richards J., Jr., Psychology of Intelligence Analysis, Center for the Study of Intelligence, CIA, 1999.</w:t>
      </w:r>
    </w:p>
    <w:p>
      <w:pPr>
        <w:spacing w:line="276" w:lineRule="auto" w:before="0" w:after="40"/>
        <w:ind w:left="425" w:hanging="425"/>
        <w:jc w:val="both"/>
      </w:pPr>
      <w:r>
        <w:rPr>
          <w:rFonts w:ascii="Times New Roman" w:hAnsi="Times New Roman" w:cs="Times New Roman" w:eastAsia="Times New Roman"/>
          <w:b w:val="0"/>
          <w:sz w:val="24"/>
        </w:rPr>
        <w:t>Hillier, Bill, Space is the Machine: A Configurational Theory of Architecture, Cambridge University Press, 1996.</w:t>
      </w:r>
    </w:p>
    <w:p>
      <w:pPr>
        <w:spacing w:line="276" w:lineRule="auto" w:before="0" w:after="40"/>
        <w:ind w:left="425" w:hanging="425"/>
        <w:jc w:val="both"/>
      </w:pPr>
      <w:r>
        <w:rPr>
          <w:rFonts w:ascii="Times New Roman" w:hAnsi="Times New Roman" w:cs="Times New Roman" w:eastAsia="Times New Roman"/>
          <w:b w:val="0"/>
          <w:sz w:val="24"/>
        </w:rPr>
        <w:t>Hobsbawm, Eric, The Age of Extremes: The Short Twentieth Century, 1914–1991, Michael Joseph, 1994.</w:t>
      </w:r>
    </w:p>
    <w:p>
      <w:pPr>
        <w:spacing w:line="276" w:lineRule="auto" w:before="0" w:after="40"/>
        <w:ind w:left="425" w:hanging="425"/>
        <w:jc w:val="both"/>
      </w:pPr>
      <w:r>
        <w:rPr>
          <w:rFonts w:ascii="Times New Roman" w:hAnsi="Times New Roman" w:cs="Times New Roman" w:eastAsia="Times New Roman"/>
          <w:b w:val="0"/>
          <w:sz w:val="24"/>
        </w:rPr>
        <w:t>Holme, Petter e Jari Saramäki, “Temporal networks”, Physics Reports, 519, 3, 2012, pp. 97–125.</w:t>
      </w:r>
    </w:p>
    <w:p>
      <w:pPr>
        <w:spacing w:line="276" w:lineRule="auto" w:before="0" w:after="40"/>
        <w:ind w:left="425" w:hanging="425"/>
        <w:jc w:val="both"/>
      </w:pPr>
      <w:r>
        <w:rPr>
          <w:rFonts w:ascii="Times New Roman" w:hAnsi="Times New Roman" w:cs="Times New Roman" w:eastAsia="Times New Roman"/>
          <w:b w:val="0"/>
          <w:sz w:val="24"/>
        </w:rPr>
        <w:t>Kivelä, Mikko, Alexandre Arenas, Marc Barthelemy, James P. Gleeson, Yamir Moreno e Mason A. Porter, “Multilayer networks”, Journal of Complex Networks, 2, 3, 2014, pp. 203–271.</w:t>
      </w:r>
    </w:p>
    <w:p>
      <w:pPr>
        <w:spacing w:line="276" w:lineRule="auto" w:before="0" w:after="40"/>
        <w:ind w:left="425" w:hanging="425"/>
        <w:jc w:val="both"/>
      </w:pPr>
      <w:r>
        <w:rPr>
          <w:rFonts w:ascii="Times New Roman" w:hAnsi="Times New Roman" w:cs="Times New Roman" w:eastAsia="Times New Roman"/>
          <w:b w:val="0"/>
          <w:sz w:val="24"/>
        </w:rPr>
        <w:t>Klein, Naomi, The Shock Doctrine: The Rise of Disaster Capitalism, Metropolitan Books, 2007.</w:t>
      </w:r>
    </w:p>
    <w:p>
      <w:pPr>
        <w:spacing w:line="276" w:lineRule="auto" w:before="0" w:after="40"/>
        <w:ind w:left="425" w:hanging="425"/>
        <w:jc w:val="both"/>
      </w:pPr>
      <w:r>
        <w:rPr>
          <w:rFonts w:ascii="Times New Roman" w:hAnsi="Times New Roman" w:cs="Times New Roman" w:eastAsia="Times New Roman"/>
          <w:b w:val="0"/>
          <w:sz w:val="24"/>
        </w:rPr>
        <w:t>Luhmann, Niklas, Soziale Systeme: Grundriß einer allgemeinen Theorie, Suhrkamp, 1984.</w:t>
      </w:r>
    </w:p>
    <w:p>
      <w:pPr>
        <w:spacing w:line="276" w:lineRule="auto" w:before="0" w:after="40"/>
        <w:ind w:left="425" w:hanging="425"/>
        <w:jc w:val="both"/>
      </w:pPr>
      <w:r>
        <w:rPr>
          <w:rFonts w:ascii="Times New Roman" w:hAnsi="Times New Roman" w:cs="Times New Roman" w:eastAsia="Times New Roman"/>
          <w:b w:val="0"/>
          <w:sz w:val="24"/>
        </w:rPr>
        <w:t>Mann, Michael, The Sources of Social Power, 4 voll., Cambridge University Press, 1986–2012.</w:t>
      </w:r>
    </w:p>
    <w:p>
      <w:pPr>
        <w:spacing w:line="276" w:lineRule="auto" w:before="0" w:after="40"/>
        <w:ind w:left="425" w:hanging="425"/>
        <w:jc w:val="both"/>
      </w:pPr>
      <w:r>
        <w:rPr>
          <w:rFonts w:ascii="Times New Roman" w:hAnsi="Times New Roman" w:cs="Times New Roman" w:eastAsia="Times New Roman"/>
          <w:b w:val="0"/>
          <w:sz w:val="24"/>
        </w:rPr>
        <w:t>Maturana, Humberto R. e Francisco J. Varela, Autopoiesis and Cognition: The Realization of the Living, D. Reidel, 1980.</w:t>
      </w:r>
    </w:p>
    <w:p>
      <w:pPr>
        <w:spacing w:line="276" w:lineRule="auto" w:before="0" w:after="40"/>
        <w:ind w:left="425" w:hanging="425"/>
        <w:jc w:val="both"/>
      </w:pPr>
      <w:r>
        <w:rPr>
          <w:rFonts w:ascii="Times New Roman" w:hAnsi="Times New Roman" w:cs="Times New Roman" w:eastAsia="Times New Roman"/>
          <w:b w:val="0"/>
          <w:sz w:val="24"/>
        </w:rPr>
        <w:t>Morin, Edgar, La Méthode, 6 voll., Seuil, 1977–2004.</w:t>
      </w:r>
    </w:p>
    <w:p>
      <w:pPr>
        <w:spacing w:line="276" w:lineRule="auto" w:before="0" w:after="40"/>
        <w:ind w:left="425" w:hanging="425"/>
        <w:jc w:val="both"/>
      </w:pPr>
      <w:r>
        <w:rPr>
          <w:rFonts w:ascii="Times New Roman" w:hAnsi="Times New Roman" w:cs="Times New Roman" w:eastAsia="Times New Roman"/>
          <w:b w:val="0"/>
          <w:sz w:val="24"/>
        </w:rPr>
        <w:t>Natarajan, Mangai, International and Transnational Crime and Justice, Cambridge University Press, 2019.</w:t>
      </w:r>
    </w:p>
    <w:p>
      <w:pPr>
        <w:spacing w:line="276" w:lineRule="auto" w:before="0" w:after="40"/>
        <w:ind w:left="425" w:hanging="425"/>
        <w:jc w:val="both"/>
      </w:pPr>
      <w:r>
        <w:rPr>
          <w:rFonts w:ascii="Times New Roman" w:hAnsi="Times New Roman" w:cs="Times New Roman" w:eastAsia="Times New Roman"/>
          <w:b w:val="0"/>
          <w:sz w:val="24"/>
        </w:rPr>
        <w:t>Newman, Mark, Networks: An Introduction, Oxford University Press, 2010.</w:t>
      </w:r>
    </w:p>
    <w:p>
      <w:pPr>
        <w:spacing w:line="276" w:lineRule="auto" w:before="0" w:after="40"/>
        <w:ind w:left="425" w:hanging="425"/>
        <w:jc w:val="both"/>
      </w:pPr>
      <w:r>
        <w:rPr>
          <w:rFonts w:ascii="Times New Roman" w:hAnsi="Times New Roman" w:cs="Times New Roman" w:eastAsia="Times New Roman"/>
          <w:b w:val="0"/>
          <w:sz w:val="24"/>
        </w:rPr>
        <w:t>Nicolescu, Basarab, Manifesto of Transdisciplinarity, State University of New York Press, 2002.</w:t>
      </w:r>
    </w:p>
    <w:p>
      <w:pPr>
        <w:spacing w:line="276" w:lineRule="auto" w:before="0" w:after="40"/>
        <w:ind w:left="425" w:hanging="425"/>
        <w:jc w:val="both"/>
      </w:pPr>
      <w:r>
        <w:rPr>
          <w:rFonts w:ascii="Times New Roman" w:hAnsi="Times New Roman" w:cs="Times New Roman" w:eastAsia="Times New Roman"/>
          <w:b w:val="0"/>
          <w:sz w:val="24"/>
        </w:rPr>
        <w:t>Peterson, Marilyn B., Intelligence-Led Policing: The New Intelligence Architecture, Bureau of Justice Assistance, 2005.</w:t>
      </w:r>
    </w:p>
    <w:p>
      <w:pPr>
        <w:spacing w:line="276" w:lineRule="auto" w:before="0" w:after="40"/>
        <w:ind w:left="425" w:hanging="425"/>
        <w:jc w:val="both"/>
      </w:pPr>
      <w:r>
        <w:rPr>
          <w:rFonts w:ascii="Times New Roman" w:hAnsi="Times New Roman" w:cs="Times New Roman" w:eastAsia="Times New Roman"/>
          <w:b w:val="0"/>
          <w:sz w:val="24"/>
        </w:rPr>
        <w:t>Popper, Karl R., Logik der Forschung, Springer, 1934; The Logic of Scientific Discovery, Hutchinson, 1959.</w:t>
      </w:r>
    </w:p>
    <w:p>
      <w:pPr>
        <w:spacing w:line="276" w:lineRule="auto" w:before="0" w:after="40"/>
        <w:ind w:left="425" w:hanging="425"/>
        <w:jc w:val="both"/>
      </w:pPr>
      <w:r>
        <w:rPr>
          <w:rFonts w:ascii="Times New Roman" w:hAnsi="Times New Roman" w:cs="Times New Roman" w:eastAsia="Times New Roman"/>
          <w:b w:val="0"/>
          <w:sz w:val="24"/>
        </w:rPr>
        <w:t>Russell, Bertrand, The Problems of Philosophy, Williams and Norgate, 1912.</w:t>
      </w:r>
    </w:p>
    <w:p>
      <w:pPr>
        <w:spacing w:line="276" w:lineRule="auto" w:before="0" w:after="40"/>
        <w:ind w:left="425" w:hanging="425"/>
        <w:jc w:val="both"/>
      </w:pPr>
      <w:r>
        <w:rPr>
          <w:rFonts w:ascii="Times New Roman" w:hAnsi="Times New Roman" w:cs="Times New Roman" w:eastAsia="Times New Roman"/>
          <w:b w:val="0"/>
          <w:sz w:val="24"/>
        </w:rPr>
        <w:t>Savona, Ernesto U. (a cura di), European Money Trails, Harwood Academic Publishers, 1999.</w:t>
      </w:r>
    </w:p>
    <w:p>
      <w:pPr>
        <w:spacing w:line="276" w:lineRule="auto" w:before="0" w:after="40"/>
        <w:ind w:left="425" w:hanging="425"/>
        <w:jc w:val="both"/>
      </w:pPr>
      <w:r>
        <w:rPr>
          <w:rFonts w:ascii="Times New Roman" w:hAnsi="Times New Roman" w:cs="Times New Roman" w:eastAsia="Times New Roman"/>
          <w:b w:val="0"/>
          <w:sz w:val="24"/>
        </w:rPr>
        <w:t>Shannon, Claude E., “A Mathematical Theory of Communication”, Bell System Technical Journal, 27, 3, 1948, pp. 379–423.</w:t>
      </w:r>
    </w:p>
    <w:p>
      <w:pPr>
        <w:spacing w:line="276" w:lineRule="auto" w:before="0" w:after="40"/>
        <w:ind w:left="425" w:hanging="425"/>
        <w:jc w:val="both"/>
      </w:pPr>
      <w:r>
        <w:rPr>
          <w:rFonts w:ascii="Times New Roman" w:hAnsi="Times New Roman" w:cs="Times New Roman" w:eastAsia="Times New Roman"/>
          <w:b w:val="0"/>
          <w:sz w:val="24"/>
        </w:rPr>
        <w:t>Tobler, Waldo R., “A computer movie simulating urban growth in the Detroit region”, Economic Geography, 46, 1970, pp. 234–240.</w:t>
      </w:r>
    </w:p>
    <w:p>
      <w:pPr>
        <w:spacing w:line="276" w:lineRule="auto" w:before="0" w:after="40"/>
        <w:ind w:left="425" w:hanging="425"/>
        <w:jc w:val="both"/>
      </w:pPr>
      <w:r>
        <w:rPr>
          <w:rFonts w:ascii="Times New Roman" w:hAnsi="Times New Roman" w:cs="Times New Roman" w:eastAsia="Times New Roman"/>
          <w:b w:val="0"/>
          <w:sz w:val="24"/>
        </w:rPr>
        <w:t>van Duyne, Petrus C. (a cura di), Cross-Border Crime in a Changing Europe, Nova Science Publishers, 2001.</w:t>
      </w:r>
    </w:p>
    <w:p>
      <w:pPr>
        <w:spacing w:line="276" w:lineRule="auto" w:before="0" w:after="40"/>
        <w:ind w:left="425" w:hanging="425"/>
        <w:jc w:val="both"/>
      </w:pPr>
      <w:r>
        <w:rPr>
          <w:rFonts w:ascii="Times New Roman" w:hAnsi="Times New Roman" w:cs="Times New Roman" w:eastAsia="Times New Roman"/>
          <w:b w:val="0"/>
          <w:sz w:val="24"/>
        </w:rPr>
        <w:t>von Lampe, Klaus, Organized Crime: Analyzing Illegal Activities, Criminal Structures, and Extra-Legal Governance, Sage, 2016.</w:t>
      </w:r>
    </w:p>
    <w:p>
      <w:pPr>
        <w:spacing w:line="276" w:lineRule="auto" w:before="0" w:after="40"/>
        <w:ind w:left="425" w:hanging="425"/>
        <w:jc w:val="both"/>
      </w:pPr>
      <w:r>
        <w:rPr>
          <w:rFonts w:ascii="Times New Roman" w:hAnsi="Times New Roman" w:cs="Times New Roman" w:eastAsia="Times New Roman"/>
          <w:b w:val="0"/>
          <w:sz w:val="24"/>
        </w:rPr>
        <w:t>Wasserman, Stanley e Katherine Faust, Social Network Analysis: Methods and Applications, Cambridge University Press, 1994.</w:t>
      </w:r>
    </w:p>
    <w:p>
      <w:pPr>
        <w:spacing w:line="276" w:lineRule="auto" w:before="0" w:after="40"/>
        <w:ind w:left="425" w:hanging="425"/>
        <w:jc w:val="both"/>
      </w:pPr>
      <w:r>
        <w:rPr>
          <w:rFonts w:ascii="Times New Roman" w:hAnsi="Times New Roman" w:cs="Times New Roman" w:eastAsia="Times New Roman"/>
          <w:b w:val="0"/>
          <w:sz w:val="24"/>
        </w:rPr>
        <w:t>Whewell, William, The Philosophy of the Inductive Sciences, Parker, 1840.</w:t>
      </w:r>
    </w:p>
    <w:p>
      <w:pPr>
        <w:spacing w:line="276" w:lineRule="auto" w:before="0" w:after="40"/>
        <w:ind w:left="425" w:hanging="425"/>
        <w:jc w:val="both"/>
      </w:pPr>
      <w:r>
        <w:rPr>
          <w:rFonts w:ascii="Times New Roman" w:hAnsi="Times New Roman" w:cs="Times New Roman" w:eastAsia="Times New Roman"/>
          <w:b w:val="0"/>
          <w:sz w:val="24"/>
        </w:rPr>
        <w:t>White, Harrison C., Chains of Opportunity: System Models of Mobility in Organizations, Harvard University Press, 1970.</w:t>
      </w:r>
    </w:p>
    <w:p>
      <w:pPr>
        <w:spacing w:line="276" w:lineRule="auto" w:before="0" w:after="40"/>
        <w:ind w:left="425" w:hanging="425"/>
        <w:jc w:val="both"/>
      </w:pPr>
      <w:r>
        <w:rPr>
          <w:rFonts w:ascii="Times New Roman" w:hAnsi="Times New Roman" w:cs="Times New Roman" w:eastAsia="Times New Roman"/>
          <w:b w:val="0"/>
          <w:sz w:val="24"/>
        </w:rPr>
        <w:t>Wilson, Edward O., Consilience: The Unity of Knowledge, Alfred A. Knopf, 1998.</w:t>
      </w:r>
    </w:p>
    <w:p>
      <w:pPr>
        <w:pageBreakBefore w:val="0"/>
      </w:pPr>
      <w:r>
        <w:rPr>
          <w:rFonts w:ascii="Times New Roman" w:hAnsi="Times New Roman" w:cs="Times New Roman" w:eastAsia="Times New Roman"/>
          <w:sz w:val="24"/>
        </w:rPr>
        <w:br w:type="page"/>
      </w:r>
    </w:p>
    <w:p>
      <w:pPr>
        <w:spacing w:line="276" w:lineRule="auto" w:before="120" w:after="80"/>
        <w:jc w:val="center"/>
      </w:pPr>
      <w:r>
        <w:rPr>
          <w:rFonts w:ascii="Times New Roman" w:hAnsi="Times New Roman" w:cs="Times New Roman" w:eastAsia="Times New Roman"/>
          <w:b/>
          <w:sz w:val="40"/>
        </w:rPr>
        <w:t>ITALIA NERA</w:t>
      </w:r>
    </w:p>
    <w:p>
      <w:pPr>
        <w:spacing w:line="276" w:lineRule="auto" w:before="0" w:after="80"/>
        <w:jc w:val="center"/>
      </w:pPr>
      <w:r>
        <w:rPr>
          <w:rFonts w:ascii="Times New Roman" w:hAnsi="Times New Roman" w:cs="Times New Roman" w:eastAsia="Times New Roman"/>
          <w:b w:val="0"/>
          <w:sz w:val="26"/>
        </w:rPr>
        <w:t>Registro Analitico delle Reti Informali Transnazionali</w:t>
      </w:r>
    </w:p>
    <w:p>
      <w:pPr>
        <w:spacing w:line="276" w:lineRule="auto" w:before="0" w:after="0"/>
      </w:pPr>
      <w:r>
        <w:rPr>
          <w:rFonts w:ascii="Times New Roman" w:hAnsi="Times New Roman" w:cs="Times New Roman" w:eastAsia="Times New Roman"/>
          <w:b w:val="0"/>
          <w:sz w:val="24"/>
        </w:rPr>
      </w:r>
    </w:p>
    <w:p>
      <w:pPr>
        <w:spacing w:line="276" w:lineRule="auto" w:before="120" w:after="80"/>
        <w:jc w:val="center"/>
      </w:pPr>
      <w:r>
        <w:rPr>
          <w:rFonts w:ascii="Times New Roman" w:hAnsi="Times New Roman" w:cs="Times New Roman" w:eastAsia="Times New Roman"/>
          <w:b/>
          <w:sz w:val="40"/>
        </w:rPr>
        <w:t>AGINTER PRESS</w:t>
      </w:r>
    </w:p>
    <w:p>
      <w:pPr>
        <w:spacing w:line="276" w:lineRule="auto" w:before="0" w:after="80"/>
        <w:jc w:val="center"/>
      </w:pPr>
      <w:r>
        <w:rPr>
          <w:rFonts w:ascii="Times New Roman" w:hAnsi="Times New Roman" w:cs="Times New Roman" w:eastAsia="Times New Roman"/>
          <w:b w:val="0"/>
          <w:sz w:val="26"/>
        </w:rPr>
        <w:t>Sezione monografica — Chiusura della quinta lacuna del Registro</w:t>
      </w:r>
    </w:p>
    <w:p>
      <w:pPr>
        <w:spacing w:line="276" w:lineRule="auto" w:before="0" w:after="80"/>
        <w:jc w:val="center"/>
      </w:pPr>
      <w:r>
        <w:rPr>
          <w:rFonts w:ascii="Times New Roman" w:hAnsi="Times New Roman" w:cs="Times New Roman" w:eastAsia="Times New Roman"/>
          <w:b w:val="0"/>
          <w:sz w:val="26"/>
        </w:rPr>
        <w:t>Edizione del primo agosto duemilaventisei, allineata al Registro Integrale V63</w:t>
      </w:r>
    </w:p>
    <w:p>
      <w:pPr>
        <w:spacing w:line="276" w:lineRule="auto" w:before="0" w:after="0"/>
      </w:pPr>
      <w:r>
        <w:rPr>
          <w:rFonts w:ascii="Times New Roman" w:hAnsi="Times New Roman" w:cs="Times New Roman" w:eastAsia="Times New Roman"/>
          <w:b w:val="0"/>
          <w:sz w:val="24"/>
        </w:rPr>
      </w:r>
    </w:p>
    <w:p>
      <w:pPr>
        <w:spacing w:line="276" w:lineRule="auto" w:before="0" w:after="80"/>
        <w:jc w:val="center"/>
      </w:pPr>
      <w:r>
        <w:rPr>
          <w:rFonts w:ascii="Times New Roman" w:hAnsi="Times New Roman" w:cs="Times New Roman" w:eastAsia="Times New Roman"/>
          <w:b w:val="0"/>
          <w:sz w:val="26"/>
        </w:rPr>
        <w:t>Luigi De Michele</w:t>
      </w:r>
    </w:p>
    <w:p>
      <w:pPr>
        <w:pageBreakBefore w:val="0"/>
      </w:pPr>
      <w:r>
        <w:rPr>
          <w:rFonts w:ascii="Times New Roman" w:hAnsi="Times New Roman" w:cs="Times New Roman" w:eastAsia="Times New Roman"/>
          <w:sz w:val="24"/>
        </w:rPr>
        <w:br w:type="page"/>
      </w:r>
    </w:p>
    <w:p>
      <w:pPr>
        <w:keepNext/>
        <w:spacing w:line="276" w:lineRule="auto" w:before="240" w:after="80"/>
        <w:jc w:val="left"/>
      </w:pPr>
      <w:r>
        <w:rPr>
          <w:rFonts w:ascii="Times New Roman" w:hAnsi="Times New Roman" w:cs="Times New Roman" w:eastAsia="Times New Roman"/>
          <w:b/>
          <w:sz w:val="28"/>
        </w:rPr>
        <w:t>Uno. Statuto della sezione e apparato delle fonti</w:t>
      </w:r>
    </w:p>
    <w:p>
      <w:pPr>
        <w:spacing w:line="276" w:lineRule="auto" w:before="0" w:after="0"/>
        <w:ind w:firstLine="425"/>
        <w:jc w:val="both"/>
      </w:pPr>
      <w:r>
        <w:rPr>
          <w:rFonts w:ascii="Times New Roman" w:hAnsi="Times New Roman" w:cs="Times New Roman" w:eastAsia="Times New Roman"/>
          <w:b w:val="0"/>
          <w:sz w:val="24"/>
        </w:rPr>
        <w:t>La presente sezione monografica chiude, a livello di trattazione organica, la quinta lacuna dichiarata del Registro: la sezione Aginter, programmata sin dalla versione V58 e formalmente iscritta nella tavola delle lacune della Struttura dell'Opera. La chiusura è dichiarata a livello monografico e non a livello di esaurimento documentale: le sotto-lacune residue individuate nel corso della trattazione vengono trasferite, in coda, alla tavola generale. La sezione consolida il materiale già acquisito al corpus — il cluster lisbonese del Registro V58 con le sue duecentonove occorrenze del nodo-organizzazione, l'audizione del giudice istruttore Guido Salvini dinanzi alla Commissione parlamentare sulle stragi acquisita agli atti del progetto, la ricostruzione dottorale sul neofascismo transnazionale, i capitoli pertinenti del Volume Zero e della sezione internazionale — e lo integra con le verifiche condotte in data odierna.</w:t>
      </w:r>
    </w:p>
    <w:p>
      <w:pPr>
        <w:spacing w:line="276" w:lineRule="auto" w:before="0" w:after="0"/>
        <w:ind w:firstLine="425"/>
        <w:jc w:val="both"/>
      </w:pPr>
      <w:r>
        <w:rPr>
          <w:rFonts w:ascii="Times New Roman" w:hAnsi="Times New Roman" w:cs="Times New Roman" w:eastAsia="Times New Roman"/>
          <w:b w:val="0"/>
          <w:sz w:val="24"/>
        </w:rPr>
        <w:t>L'apparato delle fonti si articola su cinque colonne, ordinate per forza probatoria. La prima colonna è l'archivio dell'organizzazione, sequestrato dopo il venticinque aprile millenovecentosettantaquattro presso il forte-carcere di Caxias e censito dal rapporto del servizio portoghese di rilevazione e controllo dell'informazione, il cosiddetto rapporto SDCI, oggi confluito nel fondo della polizia politica presso l'Arquivo Nacional da Torre do Tombo di Lisbona: schede di reclutamento, programmi di lezione su sabotaggio e controguerriglia, direttive per missioni clandestine, relazioni cifrate di operazioni eseguite, ricevute di finanziamento **(Livello A)**. La seconda colonna è costituita dagli atti giudiziari italiani, in primo luogo le istruttorie milanesi dei giudici Salvini e D'Ambrosio sulla pista ordinovista, comprensive dei materiali trasmessi dai servizi italiani negli anni Novanta e delle testimonianze recuperate a grande distanza di tempo **(Livello A per gli atti, con la gradazione interna dichiarata volta per volta)**. La terza colonna è l'inchiesta giornalistica coeva alla scoperta degli archivi, condotta per il settimanale L'Europeo da Incerti, Ottolenghi e Raffaelli nel millenovecentosettantaquattro, che formulò la quadripartizione funzionale dell'organizzazione — agenzia di propaganda, centro di reclutamento e addestramento, centrale di spionaggio legata alla polizia segreta portoghese, cervello e luogo d'incontro dell'internazionale eversiva — quadripartizione che la documentazione successiva ha sostanzialmente confermato **(Livello A per la prima, la seconda e la terza funzione; Livello B per la quarta, che eccede il perimetro documentale diretto)**. La quarta colonna è la letteratura specialistica: la monografia di Frédéric Laurent del millenovecentosettantotto, le ricostruzioni accademiche di Bale e Christie, il capitolo dedicato di Ganser — utilizzato, secondo la regola generale del progetto, come mappa e non come prova, con le riserve di fonte dichiarate — e il lavoro di Sceresini sull'internazionale nera. La quinta colonna è il necrologio-inchiesta pubblicato da Le Monde il trenta novembre duemilaventidue a firma di Guillaume Origoni, costruito su documentazione militare e anagrafica di prima mano, che fornisce la chiusura biografica del fondatore e impone un'emenda al Registro, dichiarata nel paragrafo seguente.</w:t>
      </w:r>
    </w:p>
    <w:p>
      <w:pPr>
        <w:keepNext/>
        <w:spacing w:line="276" w:lineRule="auto" w:before="240" w:after="80"/>
        <w:jc w:val="left"/>
      </w:pPr>
      <w:r>
        <w:rPr>
          <w:rFonts w:ascii="Times New Roman" w:hAnsi="Times New Roman" w:cs="Times New Roman" w:eastAsia="Times New Roman"/>
          <w:b/>
          <w:sz w:val="28"/>
        </w:rPr>
        <w:t>Due. Genesi biografica del fondatore, con emenda formale al Registro</w:t>
      </w:r>
    </w:p>
    <w:p>
      <w:pPr>
        <w:spacing w:line="276" w:lineRule="auto" w:before="0" w:after="0"/>
        <w:ind w:firstLine="425"/>
        <w:jc w:val="both"/>
      </w:pPr>
      <w:r>
        <w:rPr>
          <w:rFonts w:ascii="Times New Roman" w:hAnsi="Times New Roman" w:cs="Times New Roman" w:eastAsia="Times New Roman"/>
          <w:b w:val="0"/>
          <w:sz w:val="24"/>
        </w:rPr>
        <w:t>Yves Félix Marie Guillou, noto con lo pseudonimo di Yves Guérin-Sérac e con gli ulteriori alias Jean-Robert de Guernadec e Ralf, nacque il due dicembre millenovecentoventisei a Ploubezre, nelle Côtes-d'Armor bretoni, e morì il nove marzo duemilaventidue a Le Revest-les-Eaux, nel Var, all'età di novantacinque anni **(Livello A, per convergenza della documentazione anagrafica e militare esaminata dall'inchiesta di Le Monde con le fonti enciclopediche di riferimento)**. Si registra qui formalmente l'emenda al Registro: la scheda contenuta nel Volume Zero, Parte Quinta, riporta la nascita al quattordici giugno millenovecentoventisei a Ploudaniel; la data e il luogo corretti sono quelli sopra indicati, e la variante viene declassata a errore di trasmissione tra toponimi bretoni contigui, secondo la prassi del registro delle correzioni riconosciute.</w:t>
      </w:r>
    </w:p>
    <w:p>
      <w:pPr>
        <w:spacing w:line="276" w:lineRule="auto" w:before="0" w:after="0"/>
        <w:ind w:firstLine="425"/>
        <w:jc w:val="both"/>
      </w:pPr>
      <w:r>
        <w:rPr>
          <w:rFonts w:ascii="Times New Roman" w:hAnsi="Times New Roman" w:cs="Times New Roman" w:eastAsia="Times New Roman"/>
          <w:b w:val="0"/>
          <w:sz w:val="24"/>
        </w:rPr>
        <w:t>La traiettoria militare documentata **(Livello A)** attraversa i tre teatri della guerra fredda francese: l'Indocina, la Corea — dove Guillou fu due volte ferito e promosso tenente — e l'Algeria, con il brevetto di paracadutista conseguito a Pau nel settembre millenovecentocinquantatré, il brevetto di nuotatore da combattimento e l'inquadramento nell'undicesima Mezza Brigata Paracadutisti d'Urto, l'unità organicamente legata al servizio segreto francese e alla rete Stay Behind transalpina. Dopo gli accordi di Evian aderì all'Organisation Armée Secrète, di cui la letteratura lo indica tra i fondatori, e disertò; nel giugno millenovecentosessantadue risulta ingaggiato dagli apparati franchisti per operazioni contro l'opposizione spagnola **(Livello B)**, prima di trasferirsi nel Portogallo dell'Estado Novo, da lui considerato l'ultimo baluardo contro il comunismo e l'ateismo. La fondazione di Aginter Press a Lisbona è documentata al settembre millenovecentosessantasei **(Livello A)**, con l'oscillazione cronologica di alcune fonti verso il millenovecentosessantacinque dichiarata come fisiologica per eventi occultati nella clandestinità. Il profilo che ne risulta è quello codificato dal Registro: un nodo individuale che accumula simultaneamente la competenza tecnica delle operazioni coperte, l'esperienza dei tre teatri anticomunisti, il fanatismo cattolico tradizionalista e la rete relazionale dell'ambiente OAS — uno dei pochissimi nodi dell'intero corpus con centralità di intermediazione massima in quattro sotto-grafi simultaneamente. La chiusura biografica sigilla il dato dell'impunità: Guillou non fu mai giudicato per i fatti italiani né per quelli africani, e morì libero in Francia, cinquantasei anni dopo la fondazione dell'agenzia e quarantotto dopo il suo collasso **(Livello A)**.</w:t>
      </w:r>
    </w:p>
    <w:p>
      <w:pPr>
        <w:keepNext/>
        <w:spacing w:line="276" w:lineRule="auto" w:before="240" w:after="80"/>
        <w:jc w:val="left"/>
      </w:pPr>
      <w:r>
        <w:rPr>
          <w:rFonts w:ascii="Times New Roman" w:hAnsi="Times New Roman" w:cs="Times New Roman" w:eastAsia="Times New Roman"/>
          <w:b/>
          <w:sz w:val="28"/>
        </w:rPr>
        <w:t>Tre. La tripletta strutturale: copertura, setta, braccio armato</w:t>
      </w:r>
    </w:p>
    <w:p>
      <w:pPr>
        <w:spacing w:line="276" w:lineRule="auto" w:before="0" w:after="0"/>
        <w:ind w:firstLine="425"/>
        <w:jc w:val="both"/>
      </w:pPr>
      <w:r>
        <w:rPr>
          <w:rFonts w:ascii="Times New Roman" w:hAnsi="Times New Roman" w:cs="Times New Roman" w:eastAsia="Times New Roman"/>
          <w:b w:val="0"/>
          <w:sz w:val="24"/>
        </w:rPr>
        <w:t>L'architettura interna dell'organizzazione è documentata **(Livello A)** su tre identità sovrapposte, che il Registro denomina tripletta strutturale. La prima identità è la copertura pubblica: Aginter Presse, agenzia di stampa internazionale con sede dapprima al numero ventisette di Rua de Campolide e successivamente al numero tredici di Rua das Praças, nel quartiere di Lapa a Lisbona, dotata di corrispondenti accreditati e di un bollettino bimestrale, Veritas Ubique, avviato al ciclostile nel millenovecentosessantasei e stampato dal millenovecentosettanta presso le tipografie di Dieppe sotto la supervisione di Jean Vannier, veterano dell'Organisation Armée Secrète. La seconda identità è la struttura ideologica clandestina, Ordre et Tradition, setta politico-religiosa di ispirazione cattolico-integralista che costituiva il vincolo dottrinale dei quadri. La terza identità è il braccio paramilitare, l'Organisation d'Action contre le Communisme International, in sigla OACI, deputata all'azione coperta. La quadripartizione funzionale formulata dall'inchiesta dell'Europeo si distribuisce su queste tre identità: la propaganda sulla prima, il reclutamento e l'addestramento sulla terza, lo spionaggio sull'intreccio fra la prima e la terza, la funzione di crocevia dell'internazionale sulla seconda. La copertura giornalistica non è un dettaglio ornamentale ma il cuore dell'invenzione organizzativa: l'accredito stampa fornisce mobilità internazionale, accesso ai teatri di crisi, pretesto per l'intervista ai leader dei movimenti da infiltrare e schermo per la corrispondenza cifrata. Nella tassonomia dell'opera questo configura la coppia rara Media per Terrorismo, D8 per D7, nella sua forma più pura: il dominio dell'informazione non come alleato del dominio della violenza, ma come sua pelle esterna — e la rarità della coppia, secondo il principio informazionale fissato nella Sezione Beta, ne fa uno degli archi più diagnostici dell'intero corpus.</w:t>
      </w:r>
    </w:p>
    <w:p>
      <w:pPr>
        <w:keepNext/>
        <w:spacing w:line="276" w:lineRule="auto" w:before="240" w:after="80"/>
        <w:jc w:val="left"/>
      </w:pPr>
      <w:r>
        <w:rPr>
          <w:rFonts w:ascii="Times New Roman" w:hAnsi="Times New Roman" w:cs="Times New Roman" w:eastAsia="Times New Roman"/>
          <w:b/>
          <w:sz w:val="28"/>
        </w:rPr>
        <w:t>Quattro. L'ancoraggio istituzionale: la committenza portoghese e il santuario</w:t>
      </w:r>
    </w:p>
    <w:p>
      <w:pPr>
        <w:spacing w:line="276" w:lineRule="auto" w:before="0" w:after="0"/>
        <w:ind w:firstLine="425"/>
        <w:jc w:val="both"/>
      </w:pPr>
      <w:r>
        <w:rPr>
          <w:rFonts w:ascii="Times New Roman" w:hAnsi="Times New Roman" w:cs="Times New Roman" w:eastAsia="Times New Roman"/>
          <w:b w:val="0"/>
          <w:sz w:val="24"/>
        </w:rPr>
        <w:t>L'arco che lega Aginter Press alla Polícia Internacional e de Defesa do Estado, poi Direcção-Geral de Segurança, è documentato **(Livello A)** come arco di committenza istituzionale e di finanziamento: contratti scritti per operazioni speciali e missioni di spionaggio, ricevute di denaro conservate nell'archivio sequestrato, e il flusso di circa ottocentomila escudos annui nel quadro della cosiddetta Operação Zona Leste, rinnovato nel millenovecentosessantasette e mantenuto sino al collasso del regime nel millenovecentosettantaquattro. La committenza politica ultima risale al vertice dell'Estado Novo: Salazar sino al millenovecentosessantotto, quindi Caetano — un regime che, dopo il trauma della perdita di Goa nel millenovecentosessantuno e sotto la pressione delle guerre coloniali africane, aveva bisogno di un'entità capace di condurre guerra psicologica, infiltrazione e omicidi mirati garantendo al governo la piena negabilità **(Livello A per la struttura della committenza)**. L'inchiesta dell'Europeo attesta inoltre, sulla base delle carte di Caxias, fitti scambi di corrispondenza e segnalazioni con numerosi servizi occidentali, incluso il servizio italiano dell'epoca **(Livello B, con la verifica diretta delle singole carte iscritta fra le sotto-lacune)**. Nella tassonomia degli archi dell'opera il Portogallo configura il caso paradigmatico del sesto tipo, l'arco di Ospitalità e Santuario: uno Stato che non si limita a tollerare l'organizzazione ma la ospita, la finanzia e la impiega, offrendole il territorio come base sicura per operazioni condotte altrove — la stessa funzione che, dopo il venticinque aprile, passerà alla Spagna franchista.</w:t>
      </w:r>
    </w:p>
    <w:p>
      <w:pPr>
        <w:keepNext/>
        <w:spacing w:line="276" w:lineRule="auto" w:before="240" w:after="80"/>
        <w:jc w:val="left"/>
      </w:pPr>
      <w:r>
        <w:rPr>
          <w:rFonts w:ascii="Times New Roman" w:hAnsi="Times New Roman" w:cs="Times New Roman" w:eastAsia="Times New Roman"/>
          <w:b/>
          <w:sz w:val="28"/>
        </w:rPr>
        <w:t>Cinque. Il nucleo dirigente</w:t>
      </w:r>
    </w:p>
    <w:p>
      <w:pPr>
        <w:spacing w:line="276" w:lineRule="auto" w:before="0" w:after="0"/>
        <w:ind w:firstLine="425"/>
        <w:jc w:val="both"/>
      </w:pPr>
      <w:r>
        <w:rPr>
          <w:rFonts w:ascii="Times New Roman" w:hAnsi="Times New Roman" w:cs="Times New Roman" w:eastAsia="Times New Roman"/>
          <w:b w:val="0"/>
          <w:sz w:val="24"/>
        </w:rPr>
        <w:t>Il rapporto SDCI e le acquisizioni giudiziarie successive restituiscono la composizione del nucleo, la cui genealogia è essa stessa un dato: circa il sessanta per cento del personale risulta reclutato dall'ambiente dell'Organisation Armée Secrète **(Livello A)**, a conferma della continuità strutturale — arco di Filiazione Storica — fra la controrivoluzione algerina del biennio millenovecentosessantuno–sessantadue e la strategia della tensione europea del quinquennio successivo. Robert Leroy, già combattente della Waffen-SS nella divisione vallone, dirige il settore dell'infiltrazione: il suo capolavoro tecnico documentato **(Livello A)** è l'operazione svizzera della seconda metà degli anni Sessanta, nella quale, sfruttando l'appoggio inconsapevole dell'ambasciata della Cina popolare a Berna, si accreditò come militante maoista e ottenne per sé e per altri agenti l'assunzione come corrispondenti dell'organo del piccolo partito comunista marxista-leninista svizzero, acquisendo una copertura ideologicamente speculare che gli consentì di muoversi nei circuiti rivoluzionari internazionali. Jean-Marie Laurent, alias Lafitte, è inquadrato dai documenti portoghesi come il vero numero due operativo, direttore sul campo del teatro africano, specializzato nell'infiltrazione dei movimenti di liberazione delle colonie con il pretesto delle interviste di solidarietà rivoluzionaria **(Livello A per il ruolo)**. Jay Simon Salby, alias Sablosky, alias Castor, alias Beaver, unico cittadino statunitense identificato nel direttivo, con trascorsi nell'operazione della Baia dei Porci e successive attività per conto di Guérin-Sérac fra Canada, America Latina e Guatemala, configura l'arco documentato fra l'apparato controinsurrezionale dell'emisfero occidentale e la rete lusitano-mediterranea **(Livello B)**. Fra i membri fondatori le fonti convergenti collocano Stefano Delle Chiaie **(Livello A)**, il terminale italiano della rete, la cui traiettoria — dalla latitanza del luglio millenovecentosettanta ai tre poli portoghese, spagnolo e francese — è trattata nel capitolo dedicato del Registro. La concentrazione carismatica del comando in un unico individuo, già rilevata dal Registro come asse di vulnerabilità sistemica, spiega la rapidità della dissoluzione dopo la caduta del santuario.</w:t>
      </w:r>
    </w:p>
    <w:p>
      <w:pPr>
        <w:keepNext/>
        <w:spacing w:line="276" w:lineRule="auto" w:before="240" w:after="80"/>
        <w:jc w:val="left"/>
      </w:pPr>
      <w:r>
        <w:rPr>
          <w:rFonts w:ascii="Times New Roman" w:hAnsi="Times New Roman" w:cs="Times New Roman" w:eastAsia="Times New Roman"/>
          <w:b/>
          <w:sz w:val="28"/>
        </w:rPr>
        <w:t>Sei. La dottrina: il documento del novembre millenovecentosessantanove</w:t>
      </w:r>
    </w:p>
    <w:p>
      <w:pPr>
        <w:spacing w:line="276" w:lineRule="auto" w:before="0" w:after="0"/>
        <w:ind w:firstLine="425"/>
        <w:jc w:val="both"/>
      </w:pPr>
      <w:r>
        <w:rPr>
          <w:rFonts w:ascii="Times New Roman" w:hAnsi="Times New Roman" w:cs="Times New Roman" w:eastAsia="Times New Roman"/>
          <w:b w:val="0"/>
          <w:sz w:val="24"/>
        </w:rPr>
        <w:t>Fra le carte sequestrate alla fine del millenovecentosettantaquattro figura il documento interno intitolato, nella resa corrente, La nostra azione politica, datato novembre millenovecentosessantanove **(Livello A per l'esistenza, la datazione e il contenuto)**. Il testo prescrive, come prima fase dell'azione politica, la creazione delle condizioni favorevoli all'installazione del caos in tutte le strutture del regime; indica come mossa iniziale la distruzione della struttura dello Stato democratico sotto la copertura di attività comuniste e filocinesi; rivendica la disponibilità di uomini infiltrati nei gruppi della sinistra e la necessità di calibrare le azioni sull'ethos di quell'ambiente, così che propaganda e azione sembrino emanare dall'avversario comunista; e conclude che simili operazioni sotto falsa bandiera genereranno ostilità verso coloro che minacciano la pace delle nazioni. Si tratta della teorizzazione più esplicita della strategia dell'attribuzione mai rinvenuta in un archivio operativo del periodo. La datazione impone però la disciplina del terzo pattern: il documento precede di poche settimane la strage di piazza Fontana, e la coincidenza temporale, per quanto impressionante, resta una coincidenza sinché non sia saldata da riscontri esecutivi. La sezione la classifica pertanto così: il documento come matrice dottrinale coeva della strategia poi osservata sul teatro italiano **(Livello B)**; ogni nesso esecutivo diretto fra il documento e la singola strage **(Livello C, con falsificatore designato nell'eventuale emersione di tracce operative dirette dal fondo portoghese)**.</w:t>
      </w:r>
    </w:p>
    <w:p>
      <w:pPr>
        <w:keepNext/>
        <w:spacing w:line="276" w:lineRule="auto" w:before="240" w:after="80"/>
        <w:jc w:val="left"/>
      </w:pPr>
      <w:r>
        <w:rPr>
          <w:rFonts w:ascii="Times New Roman" w:hAnsi="Times New Roman" w:cs="Times New Roman" w:eastAsia="Times New Roman"/>
          <w:b/>
          <w:sz w:val="28"/>
        </w:rPr>
        <w:t>Sette. Il teatro africano e la precisazione sulla lista delle vittime</w:t>
      </w:r>
    </w:p>
    <w:p>
      <w:pPr>
        <w:spacing w:line="276" w:lineRule="auto" w:before="0" w:after="0"/>
        <w:ind w:firstLine="425"/>
        <w:jc w:val="both"/>
      </w:pPr>
      <w:r>
        <w:rPr>
          <w:rFonts w:ascii="Times New Roman" w:hAnsi="Times New Roman" w:cs="Times New Roman" w:eastAsia="Times New Roman"/>
          <w:b w:val="0"/>
          <w:sz w:val="24"/>
        </w:rPr>
        <w:t>Il primo teatro operativo dell'organizzazione non fu l'Europa ma l'Africa delle colonie portoghesi e dei territori a presenza europea residua: Angola, Mozambico, Guinea, Congo, Rhodesia. Il programma documentato dalle carte **(Livello A)** comprende la liquidazione dei leader dei movimenti di liberazione, l'infiltrazione, l'installazione di informatori e provocatori e la creazione di falsi movimenti di liberazione destinati a screditare quelli autentici — la tecnica dei gruppi-esca che sarà poi replicata in Europa. Sul piano degli eventi, il caso meglio documentato è l'assassinio di Eduardo Mondlane, presidente del Frelimo, ucciso da un pacco bomba il tre febbraio millenovecentosessantanove a Dar es Salaam: il supporto logistico fornito dalla rete di Laurent-Lafitte è classificato **(Livello B)**, entro la cornice della responsabilità degli apparati portoghesi. Per Amílcar Cabral, ucciso a Conakry il venti gennaio millenovecentosettantatré da congiurati interni al suo stesso movimento, la regia portoghese è sostenuta da un quadro convergente **(Livello B)**, mentre l'attribuzione di un ruolo specifico ad Aginter, ricorrente in parte della letteratura, resta **(Livello C)**. La sezione introduce qui una precisazione che emenda l'uso acritico delle liste correnti: il generale Humberto Delgado, capo dell'opposizione portoghese, fu assassinato dalla squadra della polizia politica nel febbraio millenovecentosessantacinque, ossia più di un anno prima della fondazione di Aginter Press; l'attribuzione dell'omicidio all'organizzazione in quanto tale, presente anche nella letteratura di sintesi, è dunque cronologicamente impropria — la responsabilità della squadra PIDE è **(Livello A)**, l'eventuale coinvolgimento individuale di futuri quadri della rete resta **(Livello C)**. La precisazione vale come esercizio del metodo: la lista delle vittime di un'organizzazione va costruita arco per arco, non trasmessa in blocco di fonte in fonte.</w:t>
      </w:r>
    </w:p>
    <w:p>
      <w:pPr>
        <w:keepNext/>
        <w:spacing w:line="276" w:lineRule="auto" w:before="240" w:after="80"/>
        <w:jc w:val="left"/>
      </w:pPr>
      <w:r>
        <w:rPr>
          <w:rFonts w:ascii="Times New Roman" w:hAnsi="Times New Roman" w:cs="Times New Roman" w:eastAsia="Times New Roman"/>
          <w:b/>
          <w:sz w:val="28"/>
        </w:rPr>
        <w:t>Otto. Il teatro italiano: l'isomorfismo replicato e la rete degli addestramenti</w:t>
      </w:r>
    </w:p>
    <w:p>
      <w:pPr>
        <w:spacing w:line="276" w:lineRule="auto" w:before="0" w:after="0"/>
        <w:ind w:firstLine="425"/>
        <w:jc w:val="both"/>
      </w:pPr>
      <w:r>
        <w:rPr>
          <w:rFonts w:ascii="Times New Roman" w:hAnsi="Times New Roman" w:cs="Times New Roman" w:eastAsia="Times New Roman"/>
          <w:b w:val="0"/>
          <w:sz w:val="24"/>
        </w:rPr>
        <w:t>Il trasferimento del modello africano sul teatro europeo è descritto con precisione dall'audizione del giudice Salvini dinanzi alla Commissione parlamentare sulle stragi, acquisita agli atti del progetto: terminato l'interessamento africano, il modello dell'intossicazione — la creazione di piccoli gruppi apparentemente rivoluzionari, deboli e manovrabili, utilizzabili come capri espiatori o come strumenti in attentati gravi — venne riportato in terra europea negli anni immediatamente precedenti il dodici dicembre millenovecentosessantanove. È la definizione operativa esatta dell'arco di Isomorfismo Replicato della tassonomia dell'opera, qui documentata alla fonte **(Livello A per gli atti acquisiti e per le testimonianze recuperate, secondo la qualificazione dello stesso istruttore)**. I fatti italiani accertati dall'istruttoria compongono la seguente serie. Guido Giannettini risulta in rapporto con Guérin-Sérac in Portogallo sin dal millenovecentosessantaquattro **(Livello A/B)**. Fra il millenovecentosessantasette e il millenovecentosessantotto istruttori dell'organizzazione vennero a Roma e addestrarono militanti di Avanguardia Nazionale all'uso degli esplosivi **(Livello A, sulla base degli atti trasmessi dai servizi negli anni Novanta)**; nello stesso biennio militanti di Ordine Nuovo si recarono a Lisbona per corsi di addestramento, configurando uno scambio bidirezionale **(Livello B)**. Robert Leroy venne più volte in Italia nel millenovecentosessantotto e concorse a organizzare a Torino, ad Aosta e in altre città del Nord gruppi filocinesi, presentandosi come emissario di omologhi gruppi francesi e incitando giovani militanti — ignari di avere davanti un reduce della Waffen-SS — al passaggio dall'agitazione ideologica all'approvvigionamento di armi **(Livello A)**: replica settentrionale del protocollo che a Roma, nei mesi precedenti gli attentati, opererà nell'ambiente anarchico attraverso Mario Merlino. Alla stessa stagione appartiene l'episodio dell'ordigno deposto presso l'ambasciata del Vietnam del Sud da Delle Chiaie e Merlino insieme a un istruttore francese dell'ambiente OAS, con l'intento dichiarato di farne ricadere la responsabilità sulla sinistra **(Livello B, per convergenza della memorialistica processuale con la fonte fiduciaria del giugno millenovecentosettantuno conservata agli atti del Ministero dell'interno)**. Le riunioni del biennio millenovecentosessantasette–sessantotto fra Guérin-Sérac e il dirigente di Ordine Nuovo Pino Rauti risultano garantite da una persona qualificata come informatore di altissimo livello e di lunga durata dell'Ufficio Affari Riservati **(Livello B; l'identificazione del garante è iscritta fra le sotto-lacune)** — circostanza che, se consolidata, salderebbe in un unico punto i domini D7, D3 e D8. Infine, il noto appunto che indicava Aginter come ispiratrice degli attentati avvenuti in Italia viene trattato secondo la lettura duale dell'istruttore: sicuramente depistante nella qualificazione anarchica o filocinese del gruppo, verosimilmente non depistante nell'indicazione della capacità ispiratrice **(Livello B)**.</w:t>
      </w:r>
    </w:p>
    <w:p>
      <w:pPr>
        <w:spacing w:line="276" w:lineRule="auto" w:before="0" w:after="0"/>
        <w:ind w:firstLine="425"/>
        <w:jc w:val="both"/>
      </w:pPr>
      <w:r>
        <w:rPr>
          <w:rFonts w:ascii="Times New Roman" w:hAnsi="Times New Roman" w:cs="Times New Roman" w:eastAsia="Times New Roman"/>
          <w:b w:val="0"/>
          <w:sz w:val="24"/>
        </w:rPr>
        <w:t>Sul quesito capitale — il ruolo dell'organizzazione nella strage di piazza Fontana — la sezione applica la procedura di Heuer con tre ipotesi. La prima: funzione di matrice dottrinale, formativa e di addestramento, con capacità ispiratrice ma senza ruolo esecutivo diretto. La seconda: coordinamento operativo diretto dell'evento. La terza: nessun ruolo, mera convergenza indipendente di ambienti affini. Le evidenze diagnostiche disponibili — il documento del novembre millenovecentosessantanove, gli addestramenti romani del biennio precedente, i gruppi-esca di Leroy, il rapporto Giannettini, e per contro l'assenza a oggi di riscontri esecutivi diretti nel giudicato definitivo, che attribuisce la strage alla cellula ordinovista veneta — contraddicono frontalmente la terza ipotesi, non saldano la seconda e lasciano la prima come ipotesi meno contraddetta: la sezione la assume con classificazione **(Livello B)**, mantenendo la seconda al **(Livello C)** con il falsificatore già designato nel fondo portoghese non ancora integralmente spogliato.</w:t>
      </w:r>
    </w:p>
    <w:p>
      <w:pPr>
        <w:keepNext/>
        <w:spacing w:line="276" w:lineRule="auto" w:before="240" w:after="80"/>
        <w:jc w:val="left"/>
      </w:pPr>
      <w:r>
        <w:rPr>
          <w:rFonts w:ascii="Times New Roman" w:hAnsi="Times New Roman" w:cs="Times New Roman" w:eastAsia="Times New Roman"/>
          <w:b/>
          <w:sz w:val="28"/>
        </w:rPr>
        <w:t>Nove. Il crollo del santuario e la diaspora</w:t>
      </w:r>
    </w:p>
    <w:p>
      <w:pPr>
        <w:spacing w:line="276" w:lineRule="auto" w:before="0" w:after="0"/>
        <w:ind w:firstLine="425"/>
        <w:jc w:val="both"/>
      </w:pPr>
      <w:r>
        <w:rPr>
          <w:rFonts w:ascii="Times New Roman" w:hAnsi="Times New Roman" w:cs="Times New Roman" w:eastAsia="Times New Roman"/>
          <w:b w:val="0"/>
          <w:sz w:val="24"/>
        </w:rPr>
        <w:t>La Rivoluzione dei Garofani del venticinque aprile millenovecentosettantaquattro dissolve in poche settimane l'intera architettura: caduto il regime committente, l'organizzazione perde simultaneamente il finanziamento, la protezione e il territorio. Gli archivi, rinvenuti presso il forte-carcere di Caxias e censiti dal rapporto del servizio portoghese, passano alla storia come uno dei rarissimi casi di apertura integrale delle carte di una struttura di guerra coperta **(Livello A)** — ed è questa circostanza, non una superiore trasparenza degli attori, a spiegare l'asimmetria probatoria fra Aginter e le strutture omologhe rimaste senza sequestro. La diaspora dei quadri segue la geografia dei santuari residui: Guérin-Sérac, João Da Silva e altri associati riparano ad Albufereta, presso Alicante, sito del Paladin Group fondato da Otto Skorzeny nella Spagna franchista **(Livello A/B)**; la collocazione successiva documentata del fondatore è fra la Spagna e Caracas, con operatività sotto passaporti falsi al servizio delle dittature del Cono Sud nel quadro dell'Operazione Condor **(Livello B)**. Il cerchio biografico si chiude senza alcun passaggio giudiziario: la morte in libertà del fondatore, il nove marzo duemilaventidue, consegna al Registro il caso di scuola dell'impunità perfetta di un intero apparato **(Livello A)**.</w:t>
      </w:r>
    </w:p>
    <w:p>
      <w:pPr>
        <w:keepNext/>
        <w:spacing w:line="276" w:lineRule="auto" w:before="240" w:after="80"/>
        <w:jc w:val="left"/>
      </w:pPr>
      <w:r>
        <w:rPr>
          <w:rFonts w:ascii="Times New Roman" w:hAnsi="Times New Roman" w:cs="Times New Roman" w:eastAsia="Times New Roman"/>
          <w:b/>
          <w:sz w:val="28"/>
        </w:rPr>
        <w:t>Dieci. Il raccordo Aginter–Hyperion</w:t>
      </w:r>
    </w:p>
    <w:p>
      <w:pPr>
        <w:spacing w:line="276" w:lineRule="auto" w:before="0" w:after="0"/>
        <w:ind w:firstLine="425"/>
        <w:jc w:val="both"/>
      </w:pPr>
      <w:r>
        <w:rPr>
          <w:rFonts w:ascii="Times New Roman" w:hAnsi="Times New Roman" w:cs="Times New Roman" w:eastAsia="Times New Roman"/>
          <w:b w:val="0"/>
          <w:sz w:val="24"/>
        </w:rPr>
        <w:t>La lacuna che questa sezione chiude era denominata, nel Registro, lacuna Aginter–Hyperion, e la denominazione impone il raccordo esplicito fra i due poli. I termini della comparazione sono i seguenti. Lisbona, millenovecentosessantasei–settantaquattro: una agenzia di stampa come copertura di una centrale di formazione, infiltrazione e azione del versante nero. Parigi, millenovecentosettantasei–settantanove: una scuola di lingue al numero ventisette del Quai de la Tournelle come crocevia documentato di ambienti della lotta armata di segno opposto, di circuiti logistici internazionali e di attenzioni plurime dei servizi. Il Pattern undici, l'isomorfismo strutturale, registra le omologie: copertura civile a vocazione comunicativa; funzione di snodo transnazionale; collocazione in una capitale che opera da ambiente permissivo; cessazione sotto pressione ambientale. Registra però anche le differenze, che vietano la sovrapposizione: la matrice ideologica opposta; la committenza — documentata e statuale per Lisbona, non documentata per Parigi; e soprattutto lo statuto probatorio, che per Aginter poggia su un archivio sequestrato **(Livello A sull'impianto complessivo)** e per Hyperion su un mosaico di atti istruttori e testimonianze privo dell'equivalente documentale **(Livello B per la funzione di crocevia, Livello C per ogni ipotesi di direzione)**. Delle tre spiegazioni canoniche dell'isomorfismo — origine comune, necessità funzionale, convergenza indipendente — l'ipotesi meno contraddetta allo stato è la necessità funzionale: la copertura comunicativa in capitale permissiva è semplicemente la soluzione tecnica ottimale per il compito dello snodo, quale che sia il segno politico dell'operatore **(Livello B)**. L'ipotesi di un travaso diretto di funzione dal polo lisbonese, chiuso nel millenovecentosettantaquattro, al polo parigino, aperto nel millenovecentosettantasei — suggestiva per la finestra temporale — resta formulata e classificata **(Livello C)**, con falsificatore nella verifica prosopografica dell'assenza di transiti di quadri fra le due strutture.</w:t>
      </w:r>
    </w:p>
    <w:p>
      <w:pPr>
        <w:keepNext/>
        <w:spacing w:line="276" w:lineRule="auto" w:before="240" w:after="80"/>
        <w:jc w:val="left"/>
      </w:pPr>
      <w:r>
        <w:rPr>
          <w:rFonts w:ascii="Times New Roman" w:hAnsi="Times New Roman" w:cs="Times New Roman" w:eastAsia="Times New Roman"/>
          <w:b/>
          <w:sz w:val="28"/>
        </w:rPr>
        <w:t>Undici. Analisi di rete</w:t>
      </w:r>
    </w:p>
    <w:p>
      <w:pPr>
        <w:spacing w:line="276" w:lineRule="auto" w:before="0" w:after="0"/>
        <w:ind w:firstLine="425"/>
        <w:jc w:val="both"/>
      </w:pPr>
      <w:r>
        <w:rPr>
          <w:rFonts w:ascii="Times New Roman" w:hAnsi="Times New Roman" w:cs="Times New Roman" w:eastAsia="Times New Roman"/>
          <w:b w:val="0"/>
          <w:sz w:val="24"/>
        </w:rPr>
        <w:t>Sul piano dei domini, Aginter Press occupa nativamente il Dominio 7 per natura operativa, il Dominio 3 per l'accoppiamento organico con la polizia politica portoghese e per i rapporti di corrispondenza con i servizi occidentali, il Dominio 8 per la copertura giornalistica che ne costituisce la pelle, il Dominio 9 per la matrice militare dei quadri e il Dominio 1 per la funzione di centrale di reclutamento mercenario. Sul piano degli archi, la sezione ha documentato: la Filiazione Storica dall'ambiente OAS, con la quota del sessanta per cento dei reclutati; l'Ospitalità e Santuario portoghese, poi spagnolo; la Proiezione Transnazionale sui teatri africano, svizzero e italiano; e l'Isomorfismo Replicato nella doppia forma del trasferimento del modello dei gruppi-esca dall'Africa all'Europa e dell'omologia strutturale col polo parigino. Sul piano dei pattern: il settimo, l'analisi delle traiettorie, identifica nel corridoio OAS–Aginter–Condor uno dei percorsi di carriera più nitidi dell'intero corpus, con l'ambiente algerino come sorgente, Lisbona come stazione di trasformazione e il Cono Sud come pozzo terminale; il decimo, la sovrapposizione spaziale, registra la concentrazione delle funzioni nel perimetro di Lapa; il terzo, l'analisi temporale, disciplina la lettura della coincidenza fra il documento dottrinale e la strage; il sesto governa il verdetto sul ruolo italiano. La coppia inter-dominio che la sezione consegna alla Sezione Beta è la coppia rara D8 per D7 nella sua forma costitutiva: qui il dominio dell'informazione non fiancheggia la violenza, la incorpora.</w:t>
      </w:r>
    </w:p>
    <w:p>
      <w:pPr>
        <w:keepNext/>
        <w:spacing w:line="276" w:lineRule="auto" w:before="240" w:after="80"/>
        <w:jc w:val="left"/>
      </w:pPr>
      <w:r>
        <w:rPr>
          <w:rFonts w:ascii="Times New Roman" w:hAnsi="Times New Roman" w:cs="Times New Roman" w:eastAsia="Times New Roman"/>
          <w:b/>
          <w:sz w:val="28"/>
        </w:rPr>
        <w:t>Dodici. Bilancio probatorio e sotto-lacune residue</w:t>
      </w:r>
    </w:p>
    <w:p>
      <w:pPr>
        <w:spacing w:line="276" w:lineRule="auto" w:before="0" w:after="0"/>
        <w:ind w:firstLine="425"/>
        <w:jc w:val="both"/>
      </w:pPr>
      <w:r>
        <w:rPr>
          <w:rFonts w:ascii="Times New Roman" w:hAnsi="Times New Roman" w:cs="Times New Roman" w:eastAsia="Times New Roman"/>
          <w:b w:val="0"/>
          <w:sz w:val="24"/>
        </w:rPr>
        <w:t>Il bilancio della sezione è il seguente. Sono acquisiti al **(Livello A)**: l'esistenza, la sede, la tripletta strutturale, la committenza e il finanziamento portoghese, la composizione del nucleo dirigente, la genealogia OAS, il documento dottrinale del novembre millenovecentosessantanove, gli addestramenti romani del biennio millenovecentosessantasette–sessantotto, l'attività di Leroy nel Nord Italia nel millenovecentosessantotto, il programma africano, la scoperta degli archivi e la diaspora spagnola. Sono classificati al **(Livello B)**: il supporto logistico all'attentato Mondlane, la corrispondenza con il servizio italiano, lo scambio formativo bidirezionale con l'ambiente ordinovista, il garante degli incontri con Rauti, la funzione di matrice dottrinale rispetto alla strategia della tensione, la fase latino-americana. Restano al **(Livello C)**: ogni nesso esecutivo diretto con le singole stragi italiane, il ruolo nell'omicidio Cabral, il coinvolgimento di futuri quadri nell'omicidio Delgado, l'ipotesi del travaso di funzione verso il polo parigino. Le sotto-lacune trasferite alla tavola generale sono cinque: lo spoglio integrale del fondo della polizia politica presso la Torre do Tombo, con verifica diretta delle carte citate dall'inchiesta del millenovecentosettantaquattro, incluse le segnalazioni al servizio italiano; l'identificazione del garante-informatore dell'Ufficio Affari Riservati; il consolidamento dello statuto del caso Cabral; la ricostruzione organica del segmento spagnolo e latino-americano post millenovecentosettantaquattro in raccordo con il capitolo Condor; la verifica del riferimento, presente nella ricostruzione dottorale acquisita al corpus, a un tentato colpo di Stato in Algeria nel millenovecentosessantasei. Con queste dichiarazioni, la quinta lacuna del Registro è formalmente chiusa a livello monografico.</w:t>
      </w:r>
    </w:p>
    <w:p>
      <w:pPr>
        <w:keepNext/>
        <w:spacing w:line="276" w:lineRule="auto" w:before="240" w:after="80"/>
        <w:jc w:val="left"/>
      </w:pPr>
      <w:r>
        <w:rPr>
          <w:rFonts w:ascii="Times New Roman" w:hAnsi="Times New Roman" w:cs="Times New Roman" w:eastAsia="Times New Roman"/>
          <w:b/>
          <w:sz w:val="28"/>
        </w:rPr>
        <w:t>Colophon</w:t>
      </w:r>
    </w:p>
    <w:p>
      <w:pPr>
        <w:spacing w:line="276" w:lineRule="auto" w:before="0" w:after="0"/>
        <w:ind w:firstLine="425"/>
        <w:jc w:val="both"/>
      </w:pPr>
      <w:r>
        <w:rPr>
          <w:rFonts w:ascii="Times New Roman" w:hAnsi="Times New Roman" w:cs="Times New Roman" w:eastAsia="Times New Roman"/>
          <w:b w:val="0"/>
          <w:sz w:val="24"/>
        </w:rPr>
        <w:t>ITALIA NERA, Registro Analitico delle Reti Informali Transnazionali. Sezione monografica Aginter Press, edizione del primo agosto duemilaventisei, allineata al Registro Integrale V63. Documento generato secondo il Protocollo Zero-Token nello standard tipografico dell'opera, con classificazioni Savona inline in grassetto. La sezione registra formalmente due emende: la data e il luogo di nascita del fondatore rispetto alla scheda del Volume Zero, Parte Quinta, e la precisazione cronologica sull'attribuzione dell'omicidio Delgado rispetto alla letteratura di sintesi. Autore e direttore dell'opera: Luigi De Michele.</w:t>
      </w:r>
    </w:p>
    <w:p>
      <w:pPr>
        <w:pageBreakBefore w:val="0"/>
      </w:pPr>
      <w:r>
        <w:rPr>
          <w:rFonts w:ascii="Times New Roman" w:hAnsi="Times New Roman" w:cs="Times New Roman" w:eastAsia="Times New Roman"/>
          <w:sz w:val="24"/>
        </w:rPr>
        <w:br w:type="page"/>
      </w:r>
    </w:p>
    <w:p>
      <w:pPr>
        <w:spacing w:line="276" w:lineRule="auto" w:before="120" w:after="80"/>
        <w:jc w:val="center"/>
      </w:pPr>
      <w:r>
        <w:rPr>
          <w:rFonts w:ascii="Times New Roman" w:hAnsi="Times New Roman" w:cs="Times New Roman" w:eastAsia="Times New Roman"/>
          <w:b/>
          <w:sz w:val="40"/>
        </w:rPr>
        <w:t>ITALIA NERA</w:t>
      </w:r>
    </w:p>
    <w:p>
      <w:pPr>
        <w:spacing w:line="276" w:lineRule="auto" w:before="0" w:after="80"/>
        <w:jc w:val="center"/>
      </w:pPr>
      <w:r>
        <w:rPr>
          <w:rFonts w:ascii="Times New Roman" w:hAnsi="Times New Roman" w:cs="Times New Roman" w:eastAsia="Times New Roman"/>
          <w:b w:val="0"/>
          <w:sz w:val="26"/>
        </w:rPr>
        <w:t>Registro Analitico delle Reti Informali Transnazionali</w:t>
      </w:r>
    </w:p>
    <w:p>
      <w:pPr>
        <w:spacing w:line="276" w:lineRule="auto" w:before="0" w:after="0"/>
      </w:pPr>
      <w:r>
        <w:rPr>
          <w:rFonts w:ascii="Times New Roman" w:hAnsi="Times New Roman" w:cs="Times New Roman" w:eastAsia="Times New Roman"/>
          <w:b w:val="0"/>
          <w:sz w:val="24"/>
        </w:rPr>
      </w:r>
    </w:p>
    <w:p>
      <w:pPr>
        <w:spacing w:line="276" w:lineRule="auto" w:before="120" w:after="80"/>
        <w:jc w:val="center"/>
      </w:pPr>
      <w:r>
        <w:rPr>
          <w:rFonts w:ascii="Times New Roman" w:hAnsi="Times New Roman" w:cs="Times New Roman" w:eastAsia="Times New Roman"/>
          <w:b/>
          <w:sz w:val="40"/>
        </w:rPr>
        <w:t>CHIUSURA DI TRE LACUNE</w:t>
      </w:r>
    </w:p>
    <w:p>
      <w:pPr>
        <w:spacing w:line="276" w:lineRule="auto" w:before="0" w:after="80"/>
        <w:jc w:val="center"/>
      </w:pPr>
      <w:r>
        <w:rPr>
          <w:rFonts w:ascii="Times New Roman" w:hAnsi="Times New Roman" w:cs="Times New Roman" w:eastAsia="Times New Roman"/>
          <w:b w:val="0"/>
          <w:sz w:val="26"/>
        </w:rPr>
        <w:t>Reintegro dei fascicoli OCR — Il canale Falcone–Mosca — Il documento speculare statunitense</w:t>
      </w:r>
    </w:p>
    <w:p>
      <w:pPr>
        <w:spacing w:line="276" w:lineRule="auto" w:before="0" w:after="80"/>
        <w:jc w:val="center"/>
      </w:pPr>
      <w:r>
        <w:rPr>
          <w:rFonts w:ascii="Times New Roman" w:hAnsi="Times New Roman" w:cs="Times New Roman" w:eastAsia="Times New Roman"/>
          <w:b w:val="0"/>
          <w:sz w:val="26"/>
        </w:rPr>
        <w:t>Edizione del primo agosto duemilaventisei, allineata al Registro Integrale V63</w:t>
      </w:r>
    </w:p>
    <w:p>
      <w:pPr>
        <w:spacing w:line="276" w:lineRule="auto" w:before="0" w:after="0"/>
      </w:pPr>
      <w:r>
        <w:rPr>
          <w:rFonts w:ascii="Times New Roman" w:hAnsi="Times New Roman" w:cs="Times New Roman" w:eastAsia="Times New Roman"/>
          <w:b w:val="0"/>
          <w:sz w:val="24"/>
        </w:rPr>
      </w:r>
    </w:p>
    <w:p>
      <w:pPr>
        <w:spacing w:line="276" w:lineRule="auto" w:before="0" w:after="80"/>
        <w:jc w:val="center"/>
      </w:pPr>
      <w:r>
        <w:rPr>
          <w:rFonts w:ascii="Times New Roman" w:hAnsi="Times New Roman" w:cs="Times New Roman" w:eastAsia="Times New Roman"/>
          <w:b w:val="0"/>
          <w:sz w:val="26"/>
        </w:rPr>
        <w:t>Luigi De Michele</w:t>
      </w:r>
    </w:p>
    <w:p>
      <w:pPr>
        <w:pageBreakBefore w:val="0"/>
      </w:pPr>
      <w:r>
        <w:rPr>
          <w:rFonts w:ascii="Times New Roman" w:hAnsi="Times New Roman" w:cs="Times New Roman" w:eastAsia="Times New Roman"/>
          <w:sz w:val="24"/>
        </w:rPr>
        <w:br w:type="page"/>
      </w:r>
    </w:p>
    <w:p>
      <w:pPr>
        <w:keepNext/>
        <w:spacing w:line="276" w:lineRule="auto" w:before="240" w:after="80"/>
        <w:jc w:val="left"/>
      </w:pPr>
      <w:r>
        <w:rPr>
          <w:rFonts w:ascii="Times New Roman" w:hAnsi="Times New Roman" w:cs="Times New Roman" w:eastAsia="Times New Roman"/>
          <w:b/>
          <w:sz w:val="28"/>
        </w:rPr>
        <w:t>Capitolo Primo. Il reintegro dei novantasei fascicoli a riconoscimento ottico degradato</w:t>
      </w:r>
    </w:p>
    <w:p>
      <w:pPr>
        <w:spacing w:line="276" w:lineRule="auto" w:before="0" w:after="0"/>
        <w:ind w:firstLine="425"/>
        <w:jc w:val="both"/>
      </w:pPr>
      <w:r>
        <w:rPr>
          <w:rFonts w:ascii="Times New Roman" w:hAnsi="Times New Roman" w:cs="Times New Roman" w:eastAsia="Times New Roman"/>
          <w:b w:val="0"/>
          <w:sz w:val="24"/>
        </w:rPr>
        <w:t>La prima lacuna della tavola generale è chiusa. I novantasei fascicoli esclusi dal filtro di qualità della caratterizzazione del primo agosto — in prevalenza le serie delle sedute e degli allegati delle Commissioni parlamentari, i volumi compressi e gli estratti a riconoscimento ottico degradato — sono stati sottoposti a pulizia algoritmica per riga e per token, con filtri sulla densità alfabetica, sulla plausibilità morfologica e sulla soppressione delle sequenze spurie generate dal riconoscimento ottico. La pulizia ha recuperato tre milioni cinquecentocinquemilacinquecentonovantanove parole di testo utile, articolate in ventunmilaottocentosessanta finestre di analisi, che sono state sottoposte agli stessi due passaggi — estrazione delle entità e co-occorrenza — applicati al corpus principale, con i medesimi filtri anti-rumore. Il risultato è una matrice di recupero di millenovecentottantasette coppie inter-dominio sopra soglia, delle quali milleseicentootto assenti dalla matrice precedente: un incremento che da solo giustifica il cantiere. La matrice integrata è conservata in formato interrogabile accanto a quella principale.</w:t>
      </w:r>
    </w:p>
    <w:p>
      <w:pPr>
        <w:spacing w:line="276" w:lineRule="auto" w:before="0" w:after="0"/>
        <w:ind w:firstLine="425"/>
        <w:jc w:val="both"/>
      </w:pPr>
      <w:r>
        <w:rPr>
          <w:rFonts w:ascii="Times New Roman" w:hAnsi="Times New Roman" w:cs="Times New Roman" w:eastAsia="Times New Roman"/>
          <w:b w:val="0"/>
          <w:sz w:val="24"/>
        </w:rPr>
        <w:t>I risultati salienti del recupero sono i seguenti. Primo: il quadrante vaticano-finanziario, prima del tutto assente dalla matrice, entra ora con la sua ossatura completa — Marcinkus in co-occorrenza con il Banco Ambrosiano, con Calvi, con Sindona, con la Banca Privata, con la Franklin e con Ortolani — popolando finalmente le coppie Economia per Religione e Religione per Massoneria che la Nota Metodologica indicava fra le più dense attese e che il sub-corpus a testo pulito non restituiva. Secondo: la coppia Ciancimino per ROS, con co-occorrenza cinquantadue, documenta nel corpus la presenza massiccia del canale del biennio millenovecentonovantadue, coerente con lo statuto duale già fissato nel Movimento Sesto della Struttura. Terzo: gli archi Anselmi per Massoneria, con centocinquantatré co-occorrenze, e Massoneria per Stragi, con centoquarantatré, confermano la funzione dei fascicoli parlamentari recuperati come giacimento del quadrante piduista. Quarto: entra la crisi di Sigonella, con le coppie Achille Lauro per Sigonella e Abu Abbas per Sigonella, saldando il Dominio 7 internazionale al Dominio 9. Quinto: si registrano le coppie De Mauro per Pecorelli, DINA per Occorsio e il rafforzamento di DINA per Delle Chiaie, che agganciano il versante Condor ai due omicidi giornalistico e giudiziario. Sesto, e meritevole di segnalazione alla sub-lacuna pendente: la coppia Kissinger per Safari Club compare nei fascicoli recuperati con co-occorrenza otto e informazione mutua puntuale pari a 9,0 — il valore più alto dell'intero recupero — e impone la verifica alla fonte di quali fascicoli parlamentari trattino congiuntamente i due termini, verifica iscritta alla sub-lacuna sulla composizione della lista dei partecipanti. Il profilo temporale del recupero è bimodale, con un polo storico sul biennio millenovecentosettantotto–settantanove e sul biennio millenovecentonovantadue–novantatré e un polo recentissimo sugli anni duemilaventidue–duemilaventisei, a indicare che parte dei fascicoli reintegrati appartiene alla documentazione parlamentare corrente. Restano ferme le due avvertenze di metodo: la co-occorrenza è associazione documentale e non prova di relazione, e l'effetto lampione si applica al recupero come al corpus principale.</w:t>
      </w:r>
    </w:p>
    <w:p>
      <w:pPr>
        <w:keepNext/>
        <w:spacing w:line="276" w:lineRule="auto" w:before="240" w:after="80"/>
        <w:jc w:val="left"/>
      </w:pPr>
      <w:r>
        <w:rPr>
          <w:rFonts w:ascii="Times New Roman" w:hAnsi="Times New Roman" w:cs="Times New Roman" w:eastAsia="Times New Roman"/>
          <w:b/>
          <w:sz w:val="28"/>
        </w:rPr>
        <w:t>Capitolo Secondo. Il canale Falcone–Mosca</w:t>
      </w:r>
    </w:p>
    <w:p>
      <w:pPr>
        <w:spacing w:line="276" w:lineRule="auto" w:before="0" w:after="0"/>
        <w:ind w:firstLine="425"/>
        <w:jc w:val="both"/>
      </w:pPr>
      <w:r>
        <w:rPr>
          <w:rFonts w:ascii="Times New Roman" w:hAnsi="Times New Roman" w:cs="Times New Roman" w:eastAsia="Times New Roman"/>
          <w:b w:val="0"/>
          <w:sz w:val="24"/>
        </w:rPr>
        <w:t>La terza lacuna della tavola è chiusa a livello di scheda monografica. L'oggetto è il canale di cooperazione giudiziaria fra Giovanni Falcone, direttore generale degli Affari Penali del Ministero di Grazia e Giustizia dal marzo millenovecentonovantuno su chiamata del ministro Martelli, con competenza sulle rogatorie internazionali, e Valentin Stepankov, primo procuratore generale della Federazione Russa, nominato nel millenovecentonovantuno e incaricato dal vertice del nuovo Stato di indagare sui fondi che il Partito Comunista dell'Unione Sovietica aveva trasferito all'estero. I fatti acquisiti al **(Livello A)** sono i seguenti: la programmazione di un viaggio di Falcone a Mosca tra la fine di maggio e i primi di giugno millenovecentonovantadue per coordinare le indagini sul trasferimento all'estero dei fondi del partito sovietico, riportata dal Corriere della Sera del ventisette maggio millenovecentonovantadue, confermata da Stepankov e attestata da quattro ministri dell'epoca — Martelli, Andreotti, Cirino Pomicino e Altissimo —; la missione a Roma di magistrati russi il quattro giugno millenovecentonovantadue, dodici giorni dopo Capaci, documentata dalla cronaca del Corriere; e la dichiarazione di Stepankov secondo cui, dopo la morte di Falcone, nessuna autorità italiana gli chiese più nulla. Sono classificati al **(Livello B)**: l'incontro romano fra i due magistrati nei primi mesi del millenovecentonovantadue con l'avvio della collaborazione e la trasmissione di carte riservate; l'incarico a Falcone di seguire il versante italiano, ricevuto secondo tre delle quattro testimonianze ministeriali dal presidente Cossiga fra la metà del millenovecentonovantuno e i primi mesi del millenovecentonovantadue; l'ordine di grandezza dei flussi ricostruiti dalle carte russe, circa novecentottantanove miliardi di lire di sovvenzioni al partito italiano fra il millenovecentocinquantuno e il millenovecentonovantuno; e la nota segretissima del Comitato centrale del ventitré agosto millenovecentonovanta sulla creazione delle strutture economiche invisibili del partito, citata nella fonte primaria di riferimento. La fonte primaria consolidata è il volume di Francesco Bigazzi e Valentin Stepankov, Il viaggio di Falcone a Mosca, Mondadori, duemilaquindici, con i contributi di Nordio e Tortorella.</w:t>
      </w:r>
    </w:p>
    <w:p>
      <w:pPr>
        <w:spacing w:line="276" w:lineRule="auto" w:before="0" w:after="0"/>
        <w:ind w:firstLine="425"/>
        <w:jc w:val="both"/>
      </w:pPr>
      <w:r>
        <w:rPr>
          <w:rFonts w:ascii="Times New Roman" w:hAnsi="Times New Roman" w:cs="Times New Roman" w:eastAsia="Times New Roman"/>
          <w:b w:val="0"/>
          <w:sz w:val="24"/>
        </w:rPr>
        <w:t>La disciplina probatoria impone tre delimitazioni. La prima: l'affermazione giornalistica coeva secondo cui i rubli in uscita dall'Unione raggiungevano anche le cosche siciliane, pubblicata da Repubblica il cinque giugno millenovecentonovantadue, resta al **(Livello C)** in assenza di riscontri documentali diretti nel materiale disponibile. La seconda: ogni lettura causale del canale rispetto alla strage di Capaci viene processata con la procedura di Heuer su tre ipotesi — il movente e l'esecuzione integralmente mafiosi, quali fissati dal giudicato definitivo **(Livello A)**; la convergenza facilitante di interessi esterni al blocco dell'inchiesta, senza ruolo nel mandato **(Livello C)**; il mandato esterno **(Livello C, privo di qualunque riscontro giudiziario)** — con la prima ipotesi come nettamente meno contraddetta, ferma restando la constatazione, autonoma dal movente, che la cooperazione italo-russa sui fondi si interruppe di fatto con la morte del suo terminale italiano **(Livello A/B)**. La terza: una parte cospicua della pubblicistica sul tema è militante e orientata; la scheda ne ha utilizzato esclusivamente il nucleo fattuale convergente, secondo il criterio di indipendenza genealogica. La sub-lacuna trasferita alla tavola è il reperimento delle carte trasmesse da Stepankov alle autorità italiane e la ricostruzione del loro destino processuale.</w:t>
      </w:r>
    </w:p>
    <w:p>
      <w:pPr>
        <w:keepNext/>
        <w:spacing w:line="276" w:lineRule="auto" w:before="240" w:after="80"/>
        <w:jc w:val="left"/>
      </w:pPr>
      <w:r>
        <w:rPr>
          <w:rFonts w:ascii="Times New Roman" w:hAnsi="Times New Roman" w:cs="Times New Roman" w:eastAsia="Times New Roman"/>
          <w:b/>
          <w:sz w:val="28"/>
        </w:rPr>
        <w:t>Capitolo Terzo. Il documento speculare statunitense</w:t>
      </w:r>
    </w:p>
    <w:p>
      <w:pPr>
        <w:spacing w:line="276" w:lineRule="auto" w:before="0" w:after="0"/>
        <w:ind w:firstLine="425"/>
        <w:jc w:val="both"/>
      </w:pPr>
      <w:r>
        <w:rPr>
          <w:rFonts w:ascii="Times New Roman" w:hAnsi="Times New Roman" w:cs="Times New Roman" w:eastAsia="Times New Roman"/>
          <w:b w:val="0"/>
          <w:sz w:val="24"/>
        </w:rPr>
        <w:t>La quarta lacuna della tavola — l'assenza, nel corpus, di un documento organico di parte statunitense sulle operazioni coperte in Italia, speculare alle acquisizioni già consolidate sul versante orientale — è chiusa a livello di identificazione e di acquisizione. Il criterio di simmetria richiedeva documentazione ufficiale, desecretata, prodotta dagli organi di direzione dell'azione coperta e non dalla memorialistica. Il pacchetto identificato risponde al criterio ed è integralmente di fonte Dipartimento di Stato **(Livello A)**. Il primo elemento è la sezione italiana del volume Foreign Relations of the United States, millenovecentosessantaquattro–sessantotto, volume dodicesimo, Europa Occidentale: i verbali del Comitato 303 — l'organo interministeriale di approvazione delle azioni coperte — dedicati al programma italiano, fra cui il documento centotredici, verbale della seduta del venticinque giugno millenovecentosessantacinque, che approva il programma per l'anno fiscale millenovecentosessantasei qualificandolo come male necessario e registra la definizione di vergogna annuale coniata da Bundy per il sussidio ricorrente ai partiti democratici italiani; il memorandum di Bundy al presidente Johnson del quattro agosto millenovecentosessantacinque, che quantifica la serie storica dell'assistenza millenovecentocinquantacinque–sessantacinque; e i verbali successivi sino al progressivo smantellamento del programma. Il secondo elemento, che per perimetro cronologico costituisce la sintesi speculare vera e propria, è il documento centottanta del volume quarantunesimo della serie millenovecentosessantanove–settantasei: il verbale della seduta del Comitato 303 dell'undici marzo millenovecentosessantanove — presenti Kissinger, Johnson, Packard e Helms — nella quale il capo delle operazioni della CIA Karamessines tenne un rendiconto dettagliato su origini, relazioni, livelli di finanziamento e risultati dell'intero programma di sostegno politico coperto ai partiti e alle organizzazioni sindacali italiane dal millenovecentoquarantotto al millenovecentosessantotto, dando atto della cessazione del programma alla fine dell'anno fiscale millenovecentosessantotto e della decisione unanime di non riprenderlo. Il terzo elemento è la nota metodologica degli storici del Dipartimento sulle azioni coperte, che ricostruisce la procedura di approvazione e riporta i dati della Commissione Church: centosessantatré azioni approvate sotto Kennedy, centoquarantadue sotto Johnson sino al febbraio millenovecentosessantasette, con la precisazione che solo il quattordici per cento dei progetti passava dall'esame del comitato.</w:t>
      </w:r>
    </w:p>
    <w:p>
      <w:pPr>
        <w:spacing w:line="276" w:lineRule="auto" w:before="0" w:after="0"/>
        <w:ind w:firstLine="425"/>
        <w:jc w:val="both"/>
      </w:pPr>
      <w:r>
        <w:rPr>
          <w:rFonts w:ascii="Times New Roman" w:hAnsi="Times New Roman" w:cs="Times New Roman" w:eastAsia="Times New Roman"/>
          <w:b w:val="0"/>
          <w:sz w:val="24"/>
        </w:rPr>
        <w:t>Tre testi del pacchetto sono stati scaricati in data odierna dalle fonti ufficiali e vengono consegnati insieme al presente documento per l'integrazione nel Project Knowledge: la compilazione della Federation of American Scientists sui documenti FRUS relativi all'azione coperta in Italia, il documento centottanta e il documento centotredici. Per il ciclo successivo alla cesura del millenovecentosessantotto, il raccordo è affidato a due complementi già inquadrati nella Struttura dell'Opera: la sezione italiana del rapporto della Commissione Pike del millenovecentosettantasei, per il ciclo di finanziamenti millenovecentosettanta–settantadue veicolato attraverso l'ambasciata, e la storiografia recente di fonte archivistica sulla cooperazione italo-statunitense nelle strutture di permanenza sino al millenovecentosettantasei. Il limite del pacchetto è dichiarato: le cifre puntuali dei finanziamenti restano in larga parte non desecretate nelle edizioni a stampa, sicché l'asimmetria residua fra il versante occidentale e quello orientale è ormai quantitativa, non più qualitativa: l'esistenza, la struttura di comando, la periodizzazione e la logica del programma sono documentate alla fonte. La sub-lacuna trasferita alla tavola è lo spoglio integrale dei due volumi con la schedatura di tutti i documenti italiani.</w:t>
      </w:r>
    </w:p>
    <w:p>
      <w:pPr>
        <w:keepNext/>
        <w:spacing w:line="276" w:lineRule="auto" w:before="240" w:after="80"/>
        <w:jc w:val="left"/>
      </w:pPr>
      <w:r>
        <w:rPr>
          <w:rFonts w:ascii="Times New Roman" w:hAnsi="Times New Roman" w:cs="Times New Roman" w:eastAsia="Times New Roman"/>
          <w:b/>
          <w:sz w:val="28"/>
        </w:rPr>
        <w:t>Colophon e tavola delle lacune aggiornata</w:t>
      </w:r>
    </w:p>
    <w:p>
      <w:pPr>
        <w:spacing w:line="276" w:lineRule="auto" w:before="0" w:after="0"/>
        <w:ind w:firstLine="425"/>
        <w:jc w:val="both"/>
      </w:pPr>
      <w:r>
        <w:rPr>
          <w:rFonts w:ascii="Times New Roman" w:hAnsi="Times New Roman" w:cs="Times New Roman" w:eastAsia="Times New Roman"/>
          <w:b w:val="0"/>
          <w:sz w:val="24"/>
        </w:rPr>
        <w:t>ITALIA NERA, Registro Analitico delle Reti Informali Transnazionali. Documento di chiusura di tre lacune, edizione del primo agosto duemilaventisei, allineata al Registro Integrale V63, generato secondo il Protocollo Zero-Token nello standard tipografico dell'opera. Con il presente documento e con la sezione monografica Aginter Press prodotta in pari data, la tavola delle nove lacune dichiarate nella Struttura dell'Opera si aggiorna come segue. Chiuse: il reintegro dei fascicoli a riconoscimento ottico degradato; la sezione Aginter; la scheda sul canale Falcone–Mosca; l'identificazione e acquisizione del documento speculare statunitense. Aperte: la ricerca 'Ndrangheta Renania Settentrionale-Vestfalia per reti russo-eurasiatiche; il chiarimento filologico sul secondo documento cronologico del corpus Moro; la verifica alla fonte sulla composizione del Safari Club, ora arricchita dal segnale Kissinger per Safari Club emerso dal recupero; il reintegro della Struttura V60 nel Project Knowledge; la scheda monografica sull'anomalia Mino–Pecorelli. Sotto-lacune trasferite in tavola dalle chiusure odierne: lo spoglio del fondo della polizia politica portoghese alla Torre do Tombo; l'identificazione del garante-informatore degli Affari Riservati; lo statuto del caso Cabral; il segmento spagnolo-latinoamericano post settantaquattro; la verifica del riferimento al tentato colpo di Stato algerino del millenovecentosessantasei; il destino processuale delle carte Stepankov; lo spoglio integrale dei volumi FRUS. Autore e direttore dell'opera: Luigi De Michele.</w:t>
      </w:r>
    </w:p>
    <w:p>
      <w:pPr>
        <w:pageBreakBefore w:val="0"/>
      </w:pPr>
      <w:r>
        <w:rPr>
          <w:rFonts w:ascii="Times New Roman" w:hAnsi="Times New Roman" w:cs="Times New Roman" w:eastAsia="Times New Roman"/>
          <w:sz w:val="24"/>
        </w:rPr>
        <w:br w:type="page"/>
      </w:r>
    </w:p>
    <w:p>
      <w:pPr>
        <w:spacing w:line="276" w:lineRule="auto" w:before="120" w:after="80"/>
        <w:jc w:val="center"/>
      </w:pPr>
      <w:r>
        <w:rPr>
          <w:rFonts w:ascii="Times New Roman" w:hAnsi="Times New Roman" w:cs="Times New Roman" w:eastAsia="Times New Roman"/>
          <w:b/>
          <w:sz w:val="40"/>
        </w:rPr>
        <w:t>ITALIA NERA</w:t>
      </w:r>
    </w:p>
    <w:p>
      <w:pPr>
        <w:spacing w:line="276" w:lineRule="auto" w:before="0" w:after="80"/>
        <w:jc w:val="center"/>
      </w:pPr>
      <w:r>
        <w:rPr>
          <w:rFonts w:ascii="Times New Roman" w:hAnsi="Times New Roman" w:cs="Times New Roman" w:eastAsia="Times New Roman"/>
          <w:b w:val="0"/>
          <w:sz w:val="26"/>
        </w:rPr>
        <w:t>Registro Analitico delle Reti Informali Transnazionali</w:t>
      </w:r>
    </w:p>
    <w:p>
      <w:pPr>
        <w:spacing w:line="276" w:lineRule="auto" w:before="0" w:after="0"/>
      </w:pPr>
      <w:r>
        <w:rPr>
          <w:rFonts w:ascii="Times New Roman" w:hAnsi="Times New Roman" w:cs="Times New Roman" w:eastAsia="Times New Roman"/>
          <w:b w:val="0"/>
          <w:sz w:val="24"/>
        </w:rPr>
      </w:r>
    </w:p>
    <w:p>
      <w:pPr>
        <w:spacing w:line="276" w:lineRule="auto" w:before="120" w:after="80"/>
        <w:jc w:val="center"/>
      </w:pPr>
      <w:r>
        <w:rPr>
          <w:rFonts w:ascii="Times New Roman" w:hAnsi="Times New Roman" w:cs="Times New Roman" w:eastAsia="Times New Roman"/>
          <w:b/>
          <w:sz w:val="40"/>
        </w:rPr>
        <w:t>L'ANOMALIA MINO–PECORELLI</w:t>
      </w:r>
    </w:p>
    <w:p>
      <w:pPr>
        <w:spacing w:line="276" w:lineRule="auto" w:before="0" w:after="80"/>
        <w:jc w:val="center"/>
      </w:pPr>
      <w:r>
        <w:rPr>
          <w:rFonts w:ascii="Times New Roman" w:hAnsi="Times New Roman" w:cs="Times New Roman" w:eastAsia="Times New Roman"/>
          <w:b w:val="0"/>
          <w:sz w:val="26"/>
        </w:rPr>
        <w:t>Scheda diagnostica e monografica — Chiusura di lacuna</w:t>
      </w:r>
    </w:p>
    <w:p>
      <w:pPr>
        <w:spacing w:line="276" w:lineRule="auto" w:before="0" w:after="80"/>
        <w:jc w:val="center"/>
      </w:pPr>
      <w:r>
        <w:rPr>
          <w:rFonts w:ascii="Times New Roman" w:hAnsi="Times New Roman" w:cs="Times New Roman" w:eastAsia="Times New Roman"/>
          <w:b w:val="0"/>
          <w:sz w:val="26"/>
        </w:rPr>
        <w:t>Edizione del primo agosto duemilaventisei, allineata al Registro Integrale V63</w:t>
      </w:r>
    </w:p>
    <w:p>
      <w:pPr>
        <w:spacing w:line="276" w:lineRule="auto" w:before="0" w:after="0"/>
      </w:pPr>
      <w:r>
        <w:rPr>
          <w:rFonts w:ascii="Times New Roman" w:hAnsi="Times New Roman" w:cs="Times New Roman" w:eastAsia="Times New Roman"/>
          <w:b w:val="0"/>
          <w:sz w:val="24"/>
        </w:rPr>
      </w:r>
    </w:p>
    <w:p>
      <w:pPr>
        <w:spacing w:line="276" w:lineRule="auto" w:before="0" w:after="80"/>
        <w:jc w:val="center"/>
      </w:pPr>
      <w:r>
        <w:rPr>
          <w:rFonts w:ascii="Times New Roman" w:hAnsi="Times New Roman" w:cs="Times New Roman" w:eastAsia="Times New Roman"/>
          <w:b w:val="0"/>
          <w:sz w:val="26"/>
        </w:rPr>
        <w:t>Luigi De Michele</w:t>
      </w:r>
    </w:p>
    <w:p>
      <w:pPr>
        <w:pageBreakBefore w:val="0"/>
      </w:pPr>
      <w:r>
        <w:rPr>
          <w:rFonts w:ascii="Times New Roman" w:hAnsi="Times New Roman" w:cs="Times New Roman" w:eastAsia="Times New Roman"/>
          <w:sz w:val="24"/>
        </w:rPr>
        <w:br w:type="page"/>
      </w:r>
    </w:p>
    <w:p>
      <w:pPr>
        <w:keepNext/>
        <w:spacing w:line="276" w:lineRule="auto" w:before="240" w:after="80"/>
        <w:jc w:val="left"/>
      </w:pPr>
      <w:r>
        <w:rPr>
          <w:rFonts w:ascii="Times New Roman" w:hAnsi="Times New Roman" w:cs="Times New Roman" w:eastAsia="Times New Roman"/>
          <w:b/>
          <w:sz w:val="28"/>
        </w:rPr>
        <w:t>Uno. Origine del segnale e dovere diagnostico</w:t>
      </w:r>
    </w:p>
    <w:p>
      <w:pPr>
        <w:spacing w:line="276" w:lineRule="auto" w:before="0" w:after="0"/>
        <w:ind w:firstLine="425"/>
        <w:jc w:val="both"/>
      </w:pPr>
      <w:r>
        <w:rPr>
          <w:rFonts w:ascii="Times New Roman" w:hAnsi="Times New Roman" w:cs="Times New Roman" w:eastAsia="Times New Roman"/>
          <w:b w:val="0"/>
          <w:sz w:val="24"/>
        </w:rPr>
        <w:t>La caratterizzazione computazionale del primo agosto aveva isolato, fra le co-occorrenze anomale della matrice, la coppia inter-dominio Mino per Pecorelli, con sessantanove co-occorrenze e informazione mutua puntuale pari a 7,95 — un valore che collocava l'associazione fra il comandante generale dell'Arma e il direttore di OP fra le più strette dell'intero corpus, e che aveva motivato l'apertura di una scheda monografica dedicata, iscritta fra le lacune della Struttura dell'Opera. Il reintegro dei fascicoli a riconoscimento ottico degradato aveva restituito segnali convergenti. La disciplina del progetto impone però, prima di ogni interpretazione, il tentativo di falsificazione del segnale stesso: il cognome del generale coincide con il nome proprio con cui il giornalista è universalmente noto, e l'estrattore di entità tratta Mino come parola chiave autonoma assegnata al Dominio 9. L'ipotesi da testare, dunque, è che la coppia sia in tutto o in parte un artefatto di tokenizzazione: ogni occorrenza della stringa Mino Pecorelli produrrebbe meccanicamente, nella stessa finestra, un'occorrenza di Mino e una di Pecorelli, generando una co-occorrenza inter-dominio spuria.</w:t>
      </w:r>
    </w:p>
    <w:p>
      <w:pPr>
        <w:keepNext/>
        <w:spacing w:line="276" w:lineRule="auto" w:before="240" w:after="80"/>
        <w:jc w:val="left"/>
      </w:pPr>
      <w:r>
        <w:rPr>
          <w:rFonts w:ascii="Times New Roman" w:hAnsi="Times New Roman" w:cs="Times New Roman" w:eastAsia="Times New Roman"/>
          <w:b/>
          <w:sz w:val="28"/>
        </w:rPr>
        <w:t>Due. La diagnosi computazionale</w:t>
      </w:r>
    </w:p>
    <w:p>
      <w:pPr>
        <w:spacing w:line="276" w:lineRule="auto" w:before="0" w:after="0"/>
        <w:ind w:firstLine="425"/>
        <w:jc w:val="both"/>
      </w:pPr>
      <w:r>
        <w:rPr>
          <w:rFonts w:ascii="Times New Roman" w:hAnsi="Times New Roman" w:cs="Times New Roman" w:eastAsia="Times New Roman"/>
          <w:b w:val="0"/>
          <w:sz w:val="24"/>
        </w:rPr>
        <w:t>La verifica è stata condotta sull'intero corpus integrato — i centocinquantuno file a testo pulito e i novantasei fascicoli recuperati — con scomposizione categoriale di tutte le duecentotto occorrenze del token. Il risultato è il seguente. Novantatré occorrenze, il quarantacinque per cento, appartengono alla stringa Mino Pecorelli e designano il giornalista. Ventotto occorrenze, il tredici per cento, sono precedute dal titolo o dal nome proprio — generale Mino, Enrico Mino — e designano con certezza il comandante dell'Arma. Ventuno occorrenze appartengono alla stringa Mino Martinazzoli, e altre ricadono nella forma tabellare Martinazzoli Fermo Mino degli indici delle audizioni sul caso Ustica: un secondo omonimo, il presidente della Commissione, che inquinava ulteriormente il segnale. Le rimanenti sessantasei occorrenze si distribuiscono fra riferimenti ellittici al generale — Miceli e Mino, Mino nei carabinieri — un commendator Mino estraneo a entrambi i quadranti, e residui tabellari. Il calcolo decisivo è quello della co-occorrenza corretta: le finestre di analisi che contengono simultaneamente un riferimento certo al generale e un riferimento al giornalista sono, nell'intero corpus, una sola; le finestre in cui il generale co-occorre con la sigla OP sono zero; le finestre in cui la coppia della matrice era generata dalla sola stringa Mino Pecorelli sono ottantotto. Il verdetto è netto: la coppia Mino per Pecorelli della caratterizzazione era, per oltre il novantacinque per cento, un artefatto di omonimia. Si registra pertanto l'emenda formale: la coppia viene espunta dalla matrice delle anomalie con annotazione diagnostica, e alla metodologia di processo si aggiunge la regola del filtro di omonimia per i nomi propri che coincidono con cognomi di nodi — con applicazione immediata ai casi Mino e Martinazzoli Fermo Mino.</w:t>
      </w:r>
    </w:p>
    <w:p>
      <w:pPr>
        <w:spacing w:line="276" w:lineRule="auto" w:before="0" w:after="0"/>
        <w:ind w:firstLine="425"/>
        <w:jc w:val="both"/>
      </w:pPr>
      <w:r>
        <w:rPr>
          <w:rFonts w:ascii="Times New Roman" w:hAnsi="Times New Roman" w:cs="Times New Roman" w:eastAsia="Times New Roman"/>
          <w:b w:val="0"/>
          <w:sz w:val="24"/>
        </w:rPr>
        <w:t>La lezione di metodo merita un capoverso autonomo, perché è la dimostrazione pratica del principio che governa l'opera: il Pollo di Popper si evita non soltanto rifiutando le tesi precostituite, ma sottoponendo a falsificazione i propri stessi segnali. La matrice aveva prodotto un falso positivo strutturale; la matrice stessa, interrogata con la domanda giusta, lo ha smontato. Un progetto che avesse trattato l'anomalia come conferma — il comandante dei carabinieri e il giornalista dei dossier, associati dal calcolo — avrebbe costruito un capitolo su un errore di tokenizzazione. La dichiarazione pubblica del falso positivo, con i numeri della diagnosi, vale più della scoperta che pretendeva di essere.</w:t>
      </w:r>
    </w:p>
    <w:p>
      <w:pPr>
        <w:keepNext/>
        <w:spacing w:line="276" w:lineRule="auto" w:before="240" w:after="80"/>
        <w:jc w:val="left"/>
      </w:pPr>
      <w:r>
        <w:rPr>
          <w:rFonts w:ascii="Times New Roman" w:hAnsi="Times New Roman" w:cs="Times New Roman" w:eastAsia="Times New Roman"/>
          <w:b/>
          <w:sz w:val="28"/>
        </w:rPr>
        <w:t>Tre. Il quadrante sostanziale: il nodo Mino nel corpus</w:t>
      </w:r>
    </w:p>
    <w:p>
      <w:pPr>
        <w:spacing w:line="276" w:lineRule="auto" w:before="0" w:after="0"/>
        <w:ind w:firstLine="425"/>
        <w:jc w:val="both"/>
      </w:pPr>
      <w:r>
        <w:rPr>
          <w:rFonts w:ascii="Times New Roman" w:hAnsi="Times New Roman" w:cs="Times New Roman" w:eastAsia="Times New Roman"/>
          <w:b w:val="0"/>
          <w:sz w:val="24"/>
        </w:rPr>
        <w:t>Smontato l'artefatto, la diagnosi ha però portato in superficie il quadrante sostanziale, che è più ricco dell'anomalia che pretendeva di segnalarlo — e che, per ironia del metodo, contiene davvero un arco Mino–Pecorelli, ma di natura relazionale e non testuale. La fonte principale è la cronologia ragionata degli atti della Commissione Stragi, che sotto il titolo di paragrafo I carabinieri tra Cefis e Gelli — titolo che da solo aggancia il nodo al quadrilatero Cefis già isolato dalla caratterizzazione — restituisce il profilo del generale Enrico Mino, comandante generale dell'Arma dall'otto febbraio millenovecentosettantatré, attraverso la storiografia specialistica ivi citata: notoriamente legato a Moro **(Livello B)**; frequentatore di Gelli **(Livello B)**; e, secondo la stessa fonte, colui che avrebbe presentato Maletti a Pecorelli **(Livello C, per la formula dubitativa della fonte stessa)** — un arco di brokeraggio che, se consolidato, farebbe del comandante dell'Arma l'intermediario fondativo della relazione fra il capo del reparto D del servizio e il giornalista dei dossier, cioè di uno degli accoppiamenti D3 per D8 più densi dell'intera matrice. La stessa fonte documenta l'incarico ricevuto dal cardinale Siri, nel millenovecentosettantacinque e nel millenovecentosettantasette, di condurre indagini sulla massoneria vaticana dopo la pubblicazione su Panorama dell'elenco dei centoquattordici porporati presunti massoni **(Livello B)** — un arco D9 per D5 per D4 di rarità assoluta nella tassonomia dell'opera: il vertice militare che investiga il dominio religioso su commissione del dominio religioso stesso, avendo per oggetto il dominio massonico. Completano il profilo lo scontro dell'agosto millenovecentosettantasette sulla successione al vertice — la preferenza per De Sena su Scolamiero sotto pressione del ministro Lattanzio, le polemiche del generale Ferrara, le dimissioni presentate e respinte — episodio che lo stesso Moro commenterà nel Memoriale come prima ammissione del privilegio politico nell'Arma **(Livello A per la sequenza, dagli atti)**.</w:t>
      </w:r>
    </w:p>
    <w:p>
      <w:pPr>
        <w:spacing w:line="276" w:lineRule="auto" w:before="0" w:after="0"/>
        <w:ind w:firstLine="425"/>
        <w:jc w:val="both"/>
      </w:pPr>
      <w:r>
        <w:rPr>
          <w:rFonts w:ascii="Times New Roman" w:hAnsi="Times New Roman" w:cs="Times New Roman" w:eastAsia="Times New Roman"/>
          <w:b w:val="0"/>
          <w:sz w:val="24"/>
        </w:rPr>
        <w:t>La morte chiude il profilo e apre il caso. Il trentuno ottobre millenovecentosettantasette l'elicottero AB-205 del comandante generale precipita sull'Aspromonte, in Calabria, uccidendo Mino e cinque ufficiali del seguito; la perizia tecnica dell'Aeronautica, depositata il diciotto novembre, attribuisce l'evento a un complesso di cause meteorologiche e di fattori di natura accidentale e professionale **(Livello A per l'esito ufficiale)**. Attorno a questo esito si stratificano i dubbi documentati nel corpus, che la scheda ordina per qualità della fonte. Primo: la testimonianza del generale Maletti alla Commissione Stragi, nell'audizione di Johannesburg del tre marzo millenovecentonovantasette — io conoscevo personalmente il generale Mino, ero suo amico; se ci sono stati dei dubbi, e credo che sussistano, sulla strana morte, avvenuta in una giornata serena in un terreno non particolarmente difficile, la cosa non è mai stata chiarita; è sembrato strano che l'elicottero sia esploso — **(Livello B come testimonianza qualificata dell'esistenza dei dubbi, non della loro fondatezza)**. Nella stessa audizione il presidente Pellegrino fissa la cornice che rende il caso rilevante per il Registro: i due referenti militari di Moro, Miceli e Mino, nel millenovecentosettantotto non c'erano più — l'uno travolto, l'altro morto — quattro mesi e mezzo prima di via Fani. Secondo: la rivelazione attribuita da Pannella, nel comizio bolognese del ventisette maggio millenovecentosettantanove, alle confidenze rese da Mino a esponenti radicali poco prima del sinistro circa un'imminente epurazione di alti ufficiali dell'Arma **(Livello C)**. Terzo: il lacerto memorialistico presente nel corpus, nel volume La verità negata, secondo cui Moro avrebbe detto subito, a pochi intimi, che Mino era stato ucciso, come Enrico Mattei **(Livello C, de relato di secondo grado)**. Quarto, e più tardo: l'accusa pubblica dell'ex presidente Leone, nell'aprile millenovecentottantacinque, secondo cui Mino avrebbe orchestrato insieme a Pecorelli e Miceli la campagna di stampa diffamatoria che lo travolse **(Livello B come dichiarazione documentata, Livello C nel merito)** — dichiarazione che restituisce l'arco Mino–Pecorelli nella sua forma sostanziale: non una co-occorrenza testuale, ma un triangolo di guerra informativa D9 per D8 per D3 puntato sul Quirinale.</w:t>
      </w:r>
    </w:p>
    <w:p>
      <w:pPr>
        <w:keepNext/>
        <w:spacing w:line="276" w:lineRule="auto" w:before="240" w:after="80"/>
        <w:jc w:val="left"/>
      </w:pPr>
      <w:r>
        <w:rPr>
          <w:rFonts w:ascii="Times New Roman" w:hAnsi="Times New Roman" w:cs="Times New Roman" w:eastAsia="Times New Roman"/>
          <w:b/>
          <w:sz w:val="28"/>
        </w:rPr>
        <w:t>Quattro. Il verdetto e le sotto-lacune</w:t>
      </w:r>
    </w:p>
    <w:p>
      <w:pPr>
        <w:spacing w:line="276" w:lineRule="auto" w:before="0" w:after="0"/>
        <w:ind w:firstLine="425"/>
        <w:jc w:val="both"/>
      </w:pPr>
      <w:r>
        <w:rPr>
          <w:rFonts w:ascii="Times New Roman" w:hAnsi="Times New Roman" w:cs="Times New Roman" w:eastAsia="Times New Roman"/>
          <w:b w:val="0"/>
          <w:sz w:val="24"/>
        </w:rPr>
        <w:t>Sulla morte del comandante generale la scheda applica la procedura delle ipotesi concorrenti. La prima ipotesi: incidente, secondo la perizia e la chiusura amministrativa **(Livello A per l'esito)**. La seconda: eliminazione mirata, sostenuta unicamente da fonti de relato di secondo grado e priva di qualunque riscontro tecnico o giudiziario **(Livello C)**. La terza: incidente reale su cui la posizione del morto — referente militare di Moro, frequentatore di Gelli, investigatore della massoneria vaticana, protagonista di uno scontro di successione a pochi mesi dalla scadenza — ha innestato una stratificazione interpretativa coeva e successiva. L'ipotesi meno contraddetta è la combinazione della prima e della terza; la seconda resta formulata con i suoi falsificatori, primo fra tutti l'acquisizione integrale del fascicolo d'inchiesta e della perizia. La sequenza temporale — trentuno ottobre millenovecentosettantasette, sedici marzo millenovecentosettantotto — resta una coincidenza disciplinata dal terzo pattern: dichiarata, datata, non saldata. Le sotto-lacune trasferite alla tavola generale sono quattro: lo spoglio delle annate di OP fra il millenovecentosettantasette e il millenovecentosettantanove, per verificare se e come Pecorelli trattò il caso Mino — la co-occorrenza corretta pressoché nulla nel corpus non prova nulla al riguardo, perché il corpus non contiene le annate del periodico: è l'effetto lampione nella sua forma pura; il consolidamento della fonte del lacerto moroteo su Mattei; l'acquisizione del fascicolo d'inchiesta sull'incidente; l'approfondimento dell'indagine commissionata da Siri sull'elenco dei centoquattordici. La lacuna della scheda Mino–Pecorelli è dichiarata chiusa con esito duale: l'anomalia computazionale è espunta come artefatto di omonimia, e il suo posto nella Sezione Beta è preso dal quadrante documentale reale — i carabinieri fra Cefis e Gelli, il brokeraggio verso Pecorelli, l'asse con Miceli, il triangolo denunciato da Leone.</w:t>
      </w:r>
    </w:p>
    <w:p>
      <w:pPr>
        <w:keepNext/>
        <w:spacing w:line="276" w:lineRule="auto" w:before="240" w:after="80"/>
        <w:jc w:val="left"/>
      </w:pPr>
      <w:r>
        <w:rPr>
          <w:rFonts w:ascii="Times New Roman" w:hAnsi="Times New Roman" w:cs="Times New Roman" w:eastAsia="Times New Roman"/>
          <w:b/>
          <w:sz w:val="28"/>
        </w:rPr>
        <w:t>Colophon</w:t>
      </w:r>
    </w:p>
    <w:p>
      <w:pPr>
        <w:spacing w:line="276" w:lineRule="auto" w:before="0" w:after="0"/>
        <w:ind w:firstLine="425"/>
        <w:jc w:val="both"/>
      </w:pPr>
      <w:r>
        <w:rPr>
          <w:rFonts w:ascii="Times New Roman" w:hAnsi="Times New Roman" w:cs="Times New Roman" w:eastAsia="Times New Roman"/>
          <w:b w:val="0"/>
          <w:sz w:val="24"/>
        </w:rPr>
        <w:t>ITALIA NERA, Registro Analitico delle Reti Informali Transnazionali. Scheda diagnostica e monografica sull'anomalia Mino–Pecorelli, edizione del primo agosto duemilaventisei, allineata al Registro Integrale V63, generata secondo il Protocollo Zero-Token nello standard tipografico dell'opera. La scheda registra un'emenda alla caratterizzazione computazionale del primo agosto — espunzione della coppia Mino per Pecorelli come artefatto di omonimia, con introduzione del filtro omonimico nella metodologia di processo — e riqualifica il nodo Mino sul quadrante documentale dei fascicoli parlamentari. Autore e direttore dell'opera: Luigi De Michele.</w:t>
      </w:r>
    </w:p>
    <w:p>
      <w:pPr>
        <w:pageBreakBefore w:val="0"/>
      </w:pPr>
      <w:r>
        <w:rPr>
          <w:rFonts w:ascii="Times New Roman" w:hAnsi="Times New Roman" w:cs="Times New Roman" w:eastAsia="Times New Roman"/>
          <w:sz w:val="24"/>
        </w:rPr>
        <w:br w:type="page"/>
      </w:r>
    </w:p>
    <w:p>
      <w:pPr>
        <w:spacing w:line="276" w:lineRule="auto" w:before="120" w:after="80"/>
        <w:jc w:val="center"/>
      </w:pPr>
      <w:r>
        <w:rPr>
          <w:rFonts w:ascii="Times New Roman" w:hAnsi="Times New Roman" w:cs="Times New Roman" w:eastAsia="Times New Roman"/>
          <w:b/>
          <w:sz w:val="40"/>
        </w:rPr>
        <w:t>ITALIA NERA</w:t>
      </w:r>
    </w:p>
    <w:p>
      <w:pPr>
        <w:spacing w:line="276" w:lineRule="auto" w:before="0" w:after="80"/>
        <w:jc w:val="center"/>
      </w:pPr>
      <w:r>
        <w:rPr>
          <w:rFonts w:ascii="Times New Roman" w:hAnsi="Times New Roman" w:cs="Times New Roman" w:eastAsia="Times New Roman"/>
          <w:b w:val="0"/>
          <w:sz w:val="26"/>
        </w:rPr>
        <w:t>Registro Analitico delle Reti Informali Transnazionali</w:t>
      </w:r>
    </w:p>
    <w:p>
      <w:pPr>
        <w:spacing w:line="276" w:lineRule="auto" w:before="0" w:after="0"/>
      </w:pPr>
      <w:r>
        <w:rPr>
          <w:rFonts w:ascii="Times New Roman" w:hAnsi="Times New Roman" w:cs="Times New Roman" w:eastAsia="Times New Roman"/>
          <w:b w:val="0"/>
          <w:sz w:val="24"/>
        </w:rPr>
      </w:r>
    </w:p>
    <w:p>
      <w:pPr>
        <w:spacing w:line="276" w:lineRule="auto" w:before="120" w:after="80"/>
        <w:jc w:val="center"/>
      </w:pPr>
      <w:r>
        <w:rPr>
          <w:rFonts w:ascii="Times New Roman" w:hAnsi="Times New Roman" w:cs="Times New Roman" w:eastAsia="Times New Roman"/>
          <w:b/>
          <w:sz w:val="40"/>
        </w:rPr>
        <w:t>DIAGNOSI DI CIRCOLARITÀ E VERIFICA SAFARI CLUB</w:t>
      </w:r>
    </w:p>
    <w:p>
      <w:pPr>
        <w:spacing w:line="276" w:lineRule="auto" w:before="0" w:after="80"/>
        <w:jc w:val="center"/>
      </w:pPr>
      <w:r>
        <w:rPr>
          <w:rFonts w:ascii="Times New Roman" w:hAnsi="Times New Roman" w:cs="Times New Roman" w:eastAsia="Times New Roman"/>
          <w:b w:val="0"/>
          <w:sz w:val="26"/>
        </w:rPr>
        <w:t>Rettifica del recupero OCR — Validazione della matrice principale — Chiusura del flag di verifica</w:t>
      </w:r>
    </w:p>
    <w:p>
      <w:pPr>
        <w:spacing w:line="276" w:lineRule="auto" w:before="0" w:after="80"/>
        <w:jc w:val="center"/>
      </w:pPr>
      <w:r>
        <w:rPr>
          <w:rFonts w:ascii="Times New Roman" w:hAnsi="Times New Roman" w:cs="Times New Roman" w:eastAsia="Times New Roman"/>
          <w:b w:val="0"/>
          <w:sz w:val="26"/>
        </w:rPr>
        <w:t>Edizione del primo agosto duemilaventisei, allineata al Registro Integrale V63</w:t>
      </w:r>
    </w:p>
    <w:p>
      <w:pPr>
        <w:spacing w:line="276" w:lineRule="auto" w:before="0" w:after="0"/>
      </w:pPr>
      <w:r>
        <w:rPr>
          <w:rFonts w:ascii="Times New Roman" w:hAnsi="Times New Roman" w:cs="Times New Roman" w:eastAsia="Times New Roman"/>
          <w:b w:val="0"/>
          <w:sz w:val="24"/>
        </w:rPr>
      </w:r>
    </w:p>
    <w:p>
      <w:pPr>
        <w:spacing w:line="276" w:lineRule="auto" w:before="0" w:after="80"/>
        <w:jc w:val="center"/>
      </w:pPr>
      <w:r>
        <w:rPr>
          <w:rFonts w:ascii="Times New Roman" w:hAnsi="Times New Roman" w:cs="Times New Roman" w:eastAsia="Times New Roman"/>
          <w:b w:val="0"/>
          <w:sz w:val="26"/>
        </w:rPr>
        <w:t>Luigi De Michele</w:t>
      </w:r>
    </w:p>
    <w:p>
      <w:pPr>
        <w:pageBreakBefore w:val="0"/>
      </w:pPr>
      <w:r>
        <w:rPr>
          <w:rFonts w:ascii="Times New Roman" w:hAnsi="Times New Roman" w:cs="Times New Roman" w:eastAsia="Times New Roman"/>
          <w:sz w:val="24"/>
        </w:rPr>
        <w:br w:type="page"/>
      </w:r>
    </w:p>
    <w:p>
      <w:pPr>
        <w:keepNext/>
        <w:spacing w:line="276" w:lineRule="auto" w:before="240" w:after="80"/>
        <w:jc w:val="left"/>
      </w:pPr>
      <w:r>
        <w:rPr>
          <w:rFonts w:ascii="Times New Roman" w:hAnsi="Times New Roman" w:cs="Times New Roman" w:eastAsia="Times New Roman"/>
          <w:b/>
          <w:sz w:val="28"/>
        </w:rPr>
        <w:t>Uno. Il segnale e la scoperta della circolarità</w:t>
      </w:r>
    </w:p>
    <w:p>
      <w:pPr>
        <w:spacing w:line="276" w:lineRule="auto" w:before="0" w:after="0"/>
        <w:ind w:firstLine="425"/>
        <w:jc w:val="both"/>
      </w:pPr>
      <w:r>
        <w:rPr>
          <w:rFonts w:ascii="Times New Roman" w:hAnsi="Times New Roman" w:cs="Times New Roman" w:eastAsia="Times New Roman"/>
          <w:b w:val="0"/>
          <w:sz w:val="24"/>
        </w:rPr>
        <w:t>La verifica sulla composizione del Safari Club era stata programmata partendo dalla localizzazione dei fascicoli che generavano la coppia Kissinger per Safari Club, il segnale a più alta informazione mutua dell'intero recupero. La localizzazione ha prodotto un esito inatteso e più importante del quesito che l'aveva motivata: la coppia non proviene da alcun fascicolo parlamentare, da alcuna sentenza, da alcuna fonte esterna. Proviene esclusivamente dai Registri V54 e V58 dell'opera stessa, che il filtro di qualità della caratterizzazione aveva classificato fra i novantasei file rumorosi e che il reintegro del primo agosto ha reimmesso nella matrice come se fossero fonti. Il vizio così scoperto ha un nome preciso: circolarità documentale. I prodotti interni del progetto — i Registri cumulativi, le sintesi analitiche, le indagini estese generate nelle sessioni precedenti — erano rientrati nel corpus di calcolo, e la matrice aveva restituito come segnali emergenti ciò che l'opera aveva già scritto. È la terza forma del Pollo di Popper incontrata dal progetto, dopo la tesi precostituita e l'artefatto di omonimia: l'eco autoreferenziale, l'opera che conferma sé stessa citandosi. La diagnosi che segue ne misura l'estensione, rettifica ciò che va rettificato e converte l'errore in una regola permanente di processo.</w:t>
      </w:r>
    </w:p>
    <w:p>
      <w:pPr>
        <w:keepNext/>
        <w:spacing w:line="276" w:lineRule="auto" w:before="240" w:after="80"/>
        <w:jc w:val="left"/>
      </w:pPr>
      <w:r>
        <w:rPr>
          <w:rFonts w:ascii="Times New Roman" w:hAnsi="Times New Roman" w:cs="Times New Roman" w:eastAsia="Times New Roman"/>
          <w:b/>
          <w:sz w:val="28"/>
        </w:rPr>
        <w:t>Due. La rettifica del recupero OCR</w:t>
      </w:r>
    </w:p>
    <w:p>
      <w:pPr>
        <w:spacing w:line="276" w:lineRule="auto" w:before="0" w:after="0"/>
        <w:ind w:firstLine="425"/>
        <w:jc w:val="both"/>
      </w:pPr>
      <w:r>
        <w:rPr>
          <w:rFonts w:ascii="Times New Roman" w:hAnsi="Times New Roman" w:cs="Times New Roman" w:eastAsia="Times New Roman"/>
          <w:b w:val="0"/>
          <w:sz w:val="24"/>
        </w:rPr>
        <w:t>Fra i novantasei fascicoli reintegrati figurano cinque prodotti interni: i Registri V54 e V58, il Registro Analitico dei Nodi V55, l'Analisi Estesa sull'eversione e la criminalità e l'Indagine Estesa in dieci capitoli sul caso Moro. Il ricalcolo del recupero al netto di questi cinque file ridimensiona drasticamente i numeri dichiarati: le parole recuperate da fonti esterne autentiche sono un milione ottocentosettantasettemilacinquantuno, le finestre undicimilaseicentottantaquattro, le coppie inter-dominio sopra soglia sessantasette, delle quali quattordici nuove — contro le millenovecentottantasette e milleseicentootto dichiarate nel documento di chiusura. Si registra pertanto la rettifica formale del Capitolo Primo di quel documento: tutti gli otto segnali salienti ivi elencati — il quadrante Marcinkus per Ambrosiano, Calvi, Sindona, Banca Privata, Franklin e Ortolani; la coppia Ciancimino per ROS; gli archi Anselmi per Massoneria e Massoneria per Stragi; le coppie di Sigonella; De Mauro per Pecorelli; DINA per Occorsio; Kissinger per Safari Club — provenivano dai prodotti interni e vengono espunti dal novero dei segnali emergenti dal corpus esterno. La distinzione da tenere ferma è epistemologica: molte di quelle associazioni restano storicamente vere e documentate nel Registro con le loro fonti proprie — l'arco fra Marcinkus e l'Ambrosiano è materia di Livello A della storiografia giudiziaria — ma la matrice non misura la verità: misura il corpus, e ciò che il corpus esterno effettivamente contiene. Dichiarare come scoperta della matrice ciò che è memoria dell'opera equivale a contare due volte la stessa evidenza. La chiusura della lacuna sul reintegro resta valida nel suo nucleo — la pulizia algoritmica e il recupero del testo utile dei fascicoli parlamentari autentici — con il delta ridimensionato ai valori netti qui dichiarati.</w:t>
      </w:r>
    </w:p>
    <w:p>
      <w:pPr>
        <w:keepNext/>
        <w:spacing w:line="276" w:lineRule="auto" w:before="240" w:after="80"/>
        <w:jc w:val="left"/>
      </w:pPr>
      <w:r>
        <w:rPr>
          <w:rFonts w:ascii="Times New Roman" w:hAnsi="Times New Roman" w:cs="Times New Roman" w:eastAsia="Times New Roman"/>
          <w:b/>
          <w:sz w:val="28"/>
        </w:rPr>
        <w:t>Tre. La validazione della matrice principale</w:t>
      </w:r>
    </w:p>
    <w:p>
      <w:pPr>
        <w:spacing w:line="276" w:lineRule="auto" w:before="0" w:after="0"/>
        <w:ind w:firstLine="425"/>
        <w:jc w:val="both"/>
      </w:pPr>
      <w:r>
        <w:rPr>
          <w:rFonts w:ascii="Times New Roman" w:hAnsi="Times New Roman" w:cs="Times New Roman" w:eastAsia="Times New Roman"/>
          <w:b w:val="0"/>
          <w:sz w:val="24"/>
        </w:rPr>
        <w:t>La diagnosi è stata estesa alla matrice principale, nella quale i prodotti interni identificati sono ventitré su duecentoquarantasette file: i Registri cumulativi, i sei registri di corpus, il Volume Zero nelle sue sette parti, le note metodologiche, il repertorio sulle parole sentinella, i dossier e le indagini generate in sessione. Il ricalcolo sulle sole duecentoventiquattro fonti esterne restituisce novecentoventitré coppie inter-dominio nette e un esito confortante: tutti i segnali portanti della caratterizzazione del primo agosto sopravvivono sul corpus esterno puro, e ne escono rafforzati. La coppia Andreotti per Miceli sale a ottantotto co-occorrenze nette e quella Andreotti per Maletti a ottantasette; il quadrilatero Cefis tiene su tutti i lati — trentotto co-occorrenze con Fanfani a informazione mutua 9,51, ventotto con Maletti, trenta con Gelli; l'arco Giovannone per Arafat segna venti co-occorrenze a informazione mutua 10,8, il valore più puro della matrice netta; reggono il cluster del Piano Solo con De Lorenzo per SIFAR a trentuno, l'asse Ortolani per Calvi, Gelli per SISDE, e i magistrati sui fronti — Occorsio per Concutelli, Casson per Peteano, Imposimato per Morucci a quarantasette. La caratterizzazione è dunque validata nel suo impianto: i suoi segnali erano radicati nei fascicoli parlamentari, nelle sentenze e nelle fonti documentali, non nell'eco dei prodotti interni. Le matrici di riferimento del progetto diventano da oggi le versioni nette — la matrice principale depurata e il recupero depurato — conservate accanto alle versioni integrali a fini di confronto diagnostico.</w:t>
      </w:r>
    </w:p>
    <w:p>
      <w:pPr>
        <w:spacing w:line="276" w:lineRule="auto" w:before="0" w:after="0"/>
        <w:ind w:firstLine="425"/>
        <w:jc w:val="both"/>
      </w:pPr>
      <w:r>
        <w:rPr>
          <w:rFonts w:ascii="Times New Roman" w:hAnsi="Times New Roman" w:cs="Times New Roman" w:eastAsia="Times New Roman"/>
          <w:b w:val="0"/>
          <w:sz w:val="24"/>
        </w:rPr>
        <w:t>L'errore viene convertito in norma. Si iscrive nella metodologia di processo la regola permanente dell'esclusione: i prodotti dell'opera non sono fonti dell'opera, e nessun file generato dal progetto — registri, sintesi, indagini, schede, note — partecipa al calcolo delle matrici, delle frequenze e delle co-occorrenze, quale che sia la directory in cui risiede. La lista di esclusione, definita per prefissi dichiarati e aggiornata a ogni nuovo prodotto, si affianca al filtro delle sigle e al filtro di omonimia introdotto con la scheda Mino–Pecorelli, componendo il triplo presidio diagnostico della pipeline.</w:t>
      </w:r>
    </w:p>
    <w:p>
      <w:pPr>
        <w:keepNext/>
        <w:spacing w:line="276" w:lineRule="auto" w:before="240" w:after="80"/>
        <w:jc w:val="left"/>
      </w:pPr>
      <w:r>
        <w:rPr>
          <w:rFonts w:ascii="Times New Roman" w:hAnsi="Times New Roman" w:cs="Times New Roman" w:eastAsia="Times New Roman"/>
          <w:b/>
          <w:sz w:val="28"/>
        </w:rPr>
        <w:t>Quattro. La verifica Safari Club</w:t>
      </w:r>
    </w:p>
    <w:p>
      <w:pPr>
        <w:spacing w:line="276" w:lineRule="auto" w:before="0" w:after="0"/>
        <w:ind w:firstLine="425"/>
        <w:jc w:val="both"/>
      </w:pPr>
      <w:r>
        <w:rPr>
          <w:rFonts w:ascii="Times New Roman" w:hAnsi="Times New Roman" w:cs="Times New Roman" w:eastAsia="Times New Roman"/>
          <w:b w:val="0"/>
          <w:sz w:val="24"/>
        </w:rPr>
        <w:t>Sgomberato il campo dal segnale spurio, resta il quesito di merito, che la constatazione della sua origine trasforma: il corpus esterno non contiene alcuna fonte sul Safari Club, e la lacuna di corpus viene dichiarata. La verifica della composizione è stata dunque condotta su fonti esterne al progetto, e approda a un esito di **(Livello A)** per convergenza di due fonti indipendenti di natura diversa: la documentazione confiscata a Teheran dopo la rivoluzione iraniana ed esaminata dal giornalista egiziano Mohamed Heikal, e la conferma pubblica resa dal principe Turki al-Faisal, già capo dell'intelligence saudita, nel discorso statunitense del duemiladue. Il patto fu siglato nel millenovecentosettantasei dai vertici di cinque servizi — la Francia di Alexandre de Marenches per lo SDECE, che ne fu l'iniziatore e ne coniò il nome dal resort keniota del primo incontro; l'Arabia Saudita di Kamal Adham; l'Egitto di Kamal Hassan Ali; il Marocco di Ahmed Dlimi; l'Iran di Nematollah Nassiri per la SAVAK — con l'Algeria invitata e rinunciataria, e prevedeva un centro operativo al Cairo attivo dal primo settembre millenovecentosettantasei, con segretariato, ala di pianificazione e ala operativa. La funzione dichiarata da Turki è la chiave di lettura: compensare la paralisi congressuale dell'intelligence statunitense dell'era post-Watergate e post-Church con un dispositivo multilaterale anticomunista, operante in Africa — dal Zaire al Corno — e poi sul crinale afghano, sino all'atrofizzazione seguita alla rivoluzione iraniana e al ritiro di de Marenches nel millenovecentottantadue. La posizione statunitense è di non appartenenza formale con coordinamento di ambienti dell'Agenzia **(Livello B)**; la tesi memorialistica di una struttura parallela raccolta attorno a quadri estromessi **(Livello C)**; il canale finanziario attribuito alla Bank of Credit and Commerce International **(Livello C nel dettaglio, con la coincidenza temporale della fondazione come dato)**.</w:t>
      </w:r>
    </w:p>
    <w:p>
      <w:pPr>
        <w:spacing w:line="276" w:lineRule="auto" w:before="0" w:after="0"/>
        <w:ind w:firstLine="425"/>
        <w:jc w:val="both"/>
      </w:pPr>
      <w:r>
        <w:rPr>
          <w:rFonts w:ascii="Times New Roman" w:hAnsi="Times New Roman" w:cs="Times New Roman" w:eastAsia="Times New Roman"/>
          <w:b w:val="0"/>
          <w:sz w:val="24"/>
        </w:rPr>
        <w:t>Ne discende l'emenda al Registro che il flag di verifica esigeva. La dizione ricorrente nei Registri V54 e V58 — il Safari Club di Kissinger e Marenches — è impropria: nessuna delle fonti primarie colloca Kissinger fra i fondatori o i membri del club, che è opera di de Marenches e dei quattro omologhi; l'associazione sostenibile è la coincidenza di mandato — il patto nasce negli ultimi mesi della sua segreteria di Stato — e una consapevolezza plausibile ma non documentata nel materiale disponibile **(Livello C)**. La dizione viene pertanto emendata in ogni futura occorrenza nella forma: il Safari Club di de Marenches. Resta iscritto in sub-lacuna il riscontro su fonti esterne dell'aggancio che i Registri operano fra il club e il sottosistema turco-centrasiatico — il tripode dei traffici, il nodo Kintex e la rotta balcanica — aggancio che allo stato è tesi interna dell'opera priva di riscontro nel corpus esterno. Il flag di verifica sulla composizione del Safari Club è chiuso.</w:t>
      </w:r>
    </w:p>
    <w:p>
      <w:pPr>
        <w:keepNext/>
        <w:spacing w:line="276" w:lineRule="auto" w:before="240" w:after="80"/>
        <w:jc w:val="left"/>
      </w:pPr>
      <w:r>
        <w:rPr>
          <w:rFonts w:ascii="Times New Roman" w:hAnsi="Times New Roman" w:cs="Times New Roman" w:eastAsia="Times New Roman"/>
          <w:b/>
          <w:sz w:val="28"/>
        </w:rPr>
        <w:t>Colophon e tavola aggiornata</w:t>
      </w:r>
    </w:p>
    <w:p>
      <w:pPr>
        <w:spacing w:line="276" w:lineRule="auto" w:before="0" w:after="0"/>
        <w:ind w:firstLine="425"/>
        <w:jc w:val="both"/>
      </w:pPr>
      <w:r>
        <w:rPr>
          <w:rFonts w:ascii="Times New Roman" w:hAnsi="Times New Roman" w:cs="Times New Roman" w:eastAsia="Times New Roman"/>
          <w:b w:val="0"/>
          <w:sz w:val="24"/>
        </w:rPr>
        <w:t>ITALIA NERA, Registro Analitico delle Reti Informali Transnazionali. Documento di diagnosi e verifica, edizione del primo agosto duemilaventisei, allineata al Registro Integrale V63, generato secondo il Protocollo Zero-Token nello standard tipografico dell'opera. Il documento registra: la scoperta e la misurazione della circolarità documentale nel reintegro OCR; la rettifica formale del Capitolo Primo del documento di chiusura lacune, con i valori netti del recupero; la validazione della matrice principale sul corpus esterno puro; la regola permanente di esclusione dei prodotti interni; la chiusura del flag di verifica sul Safari Club con emenda della dizione dei Registri e declassamento dell'associazione kissingeriana al Livello C. Restano aperte le lacune sulla 'Ndrangheta renana, sul chiarimento filologico del corpus Moro e sul reintegro della Struttura V60 nel Project Knowledge, oltre alle sub-lacune in tavola, cui si aggiunge il riscontro esterno del quadrante turco-centrasiatico. Autore e direttore dell'opera: Luigi De Michele.</w:t>
      </w:r>
    </w:p>
    <w:p>
      <w:pPr>
        <w:pageBreakBefore w:val="0"/>
      </w:pPr>
      <w:r>
        <w:rPr>
          <w:rFonts w:ascii="Times New Roman" w:hAnsi="Times New Roman" w:cs="Times New Roman" w:eastAsia="Times New Roman"/>
          <w:sz w:val="24"/>
        </w:rPr>
        <w:br w:type="page"/>
      </w:r>
    </w:p>
    <w:p>
      <w:pPr>
        <w:spacing w:line="276" w:lineRule="auto" w:before="120" w:after="80"/>
        <w:jc w:val="center"/>
      </w:pPr>
      <w:r>
        <w:rPr>
          <w:rFonts w:ascii="Times New Roman" w:hAnsi="Times New Roman" w:cs="Times New Roman" w:eastAsia="Times New Roman"/>
          <w:b/>
          <w:sz w:val="40"/>
        </w:rPr>
        <w:t>ITALIA NERA</w:t>
      </w:r>
    </w:p>
    <w:p>
      <w:pPr>
        <w:spacing w:line="276" w:lineRule="auto" w:before="0" w:after="80"/>
        <w:jc w:val="center"/>
      </w:pPr>
      <w:r>
        <w:rPr>
          <w:rFonts w:ascii="Times New Roman" w:hAnsi="Times New Roman" w:cs="Times New Roman" w:eastAsia="Times New Roman"/>
          <w:b w:val="0"/>
          <w:sz w:val="26"/>
        </w:rPr>
        <w:t>Registro Analitico delle Reti Informali Transnazionali</w:t>
      </w:r>
    </w:p>
    <w:p>
      <w:pPr>
        <w:spacing w:line="276" w:lineRule="auto" w:before="0" w:after="0"/>
      </w:pPr>
      <w:r>
        <w:rPr>
          <w:rFonts w:ascii="Times New Roman" w:hAnsi="Times New Roman" w:cs="Times New Roman" w:eastAsia="Times New Roman"/>
          <w:b w:val="0"/>
          <w:sz w:val="24"/>
        </w:rPr>
      </w:r>
    </w:p>
    <w:p>
      <w:pPr>
        <w:spacing w:line="276" w:lineRule="auto" w:before="120" w:after="80"/>
        <w:jc w:val="center"/>
      </w:pPr>
      <w:r>
        <w:rPr>
          <w:rFonts w:ascii="Times New Roman" w:hAnsi="Times New Roman" w:cs="Times New Roman" w:eastAsia="Times New Roman"/>
          <w:b/>
          <w:sz w:val="40"/>
        </w:rPr>
        <w:t>'NDRANGHETA RENANA E RETI RUSSO-EURASIATICHE</w:t>
      </w:r>
    </w:p>
    <w:p>
      <w:pPr>
        <w:spacing w:line="276" w:lineRule="auto" w:before="0" w:after="80"/>
        <w:jc w:val="center"/>
      </w:pPr>
      <w:r>
        <w:rPr>
          <w:rFonts w:ascii="Times New Roman" w:hAnsi="Times New Roman" w:cs="Times New Roman" w:eastAsia="Times New Roman"/>
          <w:b w:val="0"/>
          <w:sz w:val="26"/>
        </w:rPr>
        <w:t>Chiusura della quinta lacuna del dossier Nordrhein-Westfalen</w:t>
      </w:r>
    </w:p>
    <w:p>
      <w:pPr>
        <w:spacing w:line="276" w:lineRule="auto" w:before="0" w:after="80"/>
        <w:jc w:val="center"/>
      </w:pPr>
      <w:r>
        <w:rPr>
          <w:rFonts w:ascii="Times New Roman" w:hAnsi="Times New Roman" w:cs="Times New Roman" w:eastAsia="Times New Roman"/>
          <w:b w:val="0"/>
          <w:sz w:val="26"/>
        </w:rPr>
        <w:t>Edizione del primo agosto duemilaventisei, allineata al Registro Integrale V63</w:t>
      </w:r>
    </w:p>
    <w:p>
      <w:pPr>
        <w:spacing w:line="276" w:lineRule="auto" w:before="0" w:after="0"/>
      </w:pPr>
      <w:r>
        <w:rPr>
          <w:rFonts w:ascii="Times New Roman" w:hAnsi="Times New Roman" w:cs="Times New Roman" w:eastAsia="Times New Roman"/>
          <w:b w:val="0"/>
          <w:sz w:val="24"/>
        </w:rPr>
      </w:r>
    </w:p>
    <w:p>
      <w:pPr>
        <w:spacing w:line="276" w:lineRule="auto" w:before="0" w:after="80"/>
        <w:jc w:val="center"/>
      </w:pPr>
      <w:r>
        <w:rPr>
          <w:rFonts w:ascii="Times New Roman" w:hAnsi="Times New Roman" w:cs="Times New Roman" w:eastAsia="Times New Roman"/>
          <w:b w:val="0"/>
          <w:sz w:val="26"/>
        </w:rPr>
        <w:t>Luigi De Michele</w:t>
      </w:r>
    </w:p>
    <w:p>
      <w:pPr>
        <w:pageBreakBefore w:val="0"/>
      </w:pPr>
      <w:r>
        <w:rPr>
          <w:rFonts w:ascii="Times New Roman" w:hAnsi="Times New Roman" w:cs="Times New Roman" w:eastAsia="Times New Roman"/>
          <w:sz w:val="24"/>
        </w:rPr>
        <w:br w:type="page"/>
      </w:r>
    </w:p>
    <w:p>
      <w:pPr>
        <w:keepNext/>
        <w:spacing w:line="276" w:lineRule="auto" w:before="240" w:after="80"/>
        <w:jc w:val="left"/>
      </w:pPr>
      <w:r>
        <w:rPr>
          <w:rFonts w:ascii="Times New Roman" w:hAnsi="Times New Roman" w:cs="Times New Roman" w:eastAsia="Times New Roman"/>
          <w:b/>
          <w:sz w:val="28"/>
        </w:rPr>
        <w:t>Uno. Statuto della lacuna e i due mondi nel bacino renano</w:t>
      </w:r>
    </w:p>
    <w:p>
      <w:pPr>
        <w:spacing w:line="276" w:lineRule="auto" w:before="0" w:after="0"/>
        <w:ind w:firstLine="425"/>
        <w:jc w:val="both"/>
      </w:pPr>
      <w:r>
        <w:rPr>
          <w:rFonts w:ascii="Times New Roman" w:hAnsi="Times New Roman" w:cs="Times New Roman" w:eastAsia="Times New Roman"/>
          <w:b w:val="0"/>
          <w:sz w:val="24"/>
        </w:rPr>
        <w:t>La quinta lacuna del dossier renano chiedeva di verificare l'incrocio fra i due mondi che il corpus documenta come coabitanti in Germania senza documentarne l'intersezione: la proiezione 'ndranghetista nel Nordrhein-Westfalen e le reti criminali russo-eurasiatiche. Il primo mondo è materia consolidata del Registro **(Livello A)**: la strage di Duisburg del quindici agosto duemilasette — sei morti della faida di San Luca davanti al ristorante Da Bruno — come rivelatore del radicamento; l'asse Colonia–Düsseldorf come insediamento storico delle ndrine; Wesseling con il ristorante-hub del riciclaggio e delle auto cariche di cocaina instradate verso Milano; le stime del Bundeskriminalamt fra mille e tremila affiliati; e la sequenza delle operazioni — Stige del gennaio duemiladiciotto contro la filiera cirotana dei Farao-Marincola con esecuzioni in quattro Länder fra cui il Nordrhein-Westfalen, Pollino del dicembre duemiladiciotto con novanta fermi, Eureka del maggio duemilaventitré con ventiquattro arresti in Germania su centotto complessivi, a carico delle cosche di San Luca e Africo. Il secondo mondo è la categoria che il rapporto federale denomina reti russo-eurasiatiche: la componente dei vory v zakone a prevalenza storica georgiana, internazionalizzata dai primi anni Novanta; le bande predatorie e i circuiti di riciclaggio russofoni; un bacino di reclutamento che la ricerca specialistica tedesca quantifica in circa cinquemila detenuti russofoni, fra l'otto e il dieci per cento della popolazione carceraria federale **(Livello B)**. La prima constatazione della verifica è geografica, e va dichiarata perché delimita tutto il resto: l'hub tedesco delle reti russo-eurasiatiche è identificato dalle fonti di monitoraggio in Berlino, non nel bacino renano, e le statistiche federali sulla criminalità organizzata del duemilaventitré collocano ai vertici delle nazionalità straniere turchi, serbi, polacchi e albanesi — non i russofoni. I due mondi coabitano nella stessa federazione, ma i loro epicentri territoriali non coincidono **(Livello A per il dato statistico e di monitoraggio)**.</w:t>
      </w:r>
    </w:p>
    <w:p>
      <w:pPr>
        <w:keepNext/>
        <w:spacing w:line="276" w:lineRule="auto" w:before="240" w:after="80"/>
        <w:jc w:val="left"/>
      </w:pPr>
      <w:r>
        <w:rPr>
          <w:rFonts w:ascii="Times New Roman" w:hAnsi="Times New Roman" w:cs="Times New Roman" w:eastAsia="Times New Roman"/>
          <w:b/>
          <w:sz w:val="28"/>
        </w:rPr>
        <w:t>Due. I punti di contatto documentati</w:t>
      </w:r>
    </w:p>
    <w:p>
      <w:pPr>
        <w:spacing w:line="276" w:lineRule="auto" w:before="0" w:after="0"/>
        <w:ind w:firstLine="425"/>
        <w:jc w:val="both"/>
      </w:pPr>
      <w:r>
        <w:rPr>
          <w:rFonts w:ascii="Times New Roman" w:hAnsi="Times New Roman" w:cs="Times New Roman" w:eastAsia="Times New Roman"/>
          <w:b w:val="0"/>
          <w:sz w:val="24"/>
        </w:rPr>
        <w:t>L'intersezione esiste, ma la sua natura è di sistema più che di territorio, e la verifica la restituisce su quattro punti. Il primo è il modello transazionale, fissato dalla ricerca specialistica europea sulle reti criminali russe in Europa sulla base di fonti investigative: i gruppi russo-eurasiatici intrattengono con le organizzazioni italiane rapporti commerciali estesi senza riuscire a penetrarne i territori, e la formula raccolta da un investigatore italiano a proposito della 'Ndrangheta — trattano con i russi, ma non fanno loro favori — condensa la struttura dell'arco: cooperazione di mercato, non alleanza; scambio, non integrazione; e un confine invalicabile davanti alle attività che sconfinerebbero nella sfera della sicurezza e brucerebbero le coperture politiche **(Livello B)**. Il secondo punto è l'asse storico: dagli anni Novanta le relazioni fra le cosche e i circuiti post-sovietici sul doppio binario della droga e delle armi sono materia di indagine, con Gioia Tauro come snodo — l'inchiesta Export del luglio duemilasette della Procura di Palmi, con il sequestro di centotrentacinque container di rifiuti diretti anche in Russia, e il procedimento Maestro, definitivo, sull'egemonia della cosca Molè sui traffici dello scalo **(Livello A per le singole risultanze)** — e con il precedente balcanico come matrice: gli approvvigionamenti di armi ed esplosivo a basso costo nel Montenegro post-bellico ricostruiti dalle indagini reggine, e il baratto armi ex jugoslave contro cocaina documentato sul versante pugliese **(Livello A per le indagini richiamate dalla fonte qualificata)**. Il terzo punto è l'operazione Eureka: la più recente radiografia della filiera San Luca–Germania — criptofonini, riciclaggio in ristoranti, gelaterie e immobili, e la capacità di compravendita di armi da guerra — con la precisazione di rigore che il canale armiero ivi documentato guardava al Sudamerica, non all'Eurasia: Eureka prova la capacità armiera della filiera renano-calabrese, non il suo terminale orientale **(Livello A per l'operazione, con la delimitazione dichiarata)**. Il quarto punto è prospettico e appartiene al presente: l'allarme, formulato dalla magistratura antimafia italiana sul precedente bosniaco, per il riversamento post-bellico degli arsenali ucraini nei circuiti criminali europei — il canale che, se si aprisse, farebbe del mercato tedesco delle armi il punto di saldatura fra la domanda 'ndranghetista e l'offerta eurasiatica **(Livello C, ipotesi prospettica con falsificatori temporali)**.</w:t>
      </w:r>
    </w:p>
    <w:p>
      <w:pPr>
        <w:keepNext/>
        <w:spacing w:line="276" w:lineRule="auto" w:before="240" w:after="80"/>
        <w:jc w:val="left"/>
      </w:pPr>
      <w:r>
        <w:rPr>
          <w:rFonts w:ascii="Times New Roman" w:hAnsi="Times New Roman" w:cs="Times New Roman" w:eastAsia="Times New Roman"/>
          <w:b/>
          <w:sz w:val="28"/>
        </w:rPr>
        <w:t>Tre. Il vettore ibrido e il bacino renano</w:t>
      </w:r>
    </w:p>
    <w:p>
      <w:pPr>
        <w:spacing w:line="276" w:lineRule="auto" w:before="0" w:after="0"/>
        <w:ind w:firstLine="425"/>
        <w:jc w:val="both"/>
      </w:pPr>
      <w:r>
        <w:rPr>
          <w:rFonts w:ascii="Times New Roman" w:hAnsi="Times New Roman" w:cs="Times New Roman" w:eastAsia="Times New Roman"/>
          <w:b w:val="0"/>
          <w:sz w:val="24"/>
        </w:rPr>
        <w:t>Sopra il piano criminale ordinario corre, dal duemilaventidue, il piano ibrido che il Registro tratta nei corpora russi: l'impiego di reti criminali come procuratori dello Stato russo per sabotaggio, interferenza ed evasione delle sanzioni, documentato dalla ricerca specialistica europea e segnalato dagli osservatori tedeschi come intersezione crescente fra criminalità organizzata e aggressione statuale **(Livello B)**. Per il bacino renano questo piano ha due implicazioni. La prima è che l'eventuale incrocio fra la filiera 'ndranghetista e i circuiti russofoni non va cercato soltanto nel mercato — droga, armi, riciclaggio — ma nella zona in cui i servizi di un'organizzazione possono essere comprati da uno Stato: ed è esattamente la zona in cui, per la formula transazionale documentata, la 'Ndrangheta rifiuta di entrare, perché i favori alla sfera della sicurezza brucerebbero le coperture. La seconda implicazione riguarda l'infrastruttura: il bacino Reno-Ruhr, con il porto interno di Duisburg terminale europeo delle rotte logistiche eurasiatiche, costituisce un ambiente in cui la convergenza può avvenire per piattaforma interposta — gli scali di Rotterdam e Anversa a monte, i broker balcanici, i circuiti dei criptofonini, i canali finanziari a debole vigilanza che la ricerca tedesca stessa denuncia con il dato del due per cento di patrimoni illeciti effettivamente confiscati — senza che i due mondi debbano mai incontrarsi in un locale **(Livello B per l'ambiente, C per ogni convergenza specifica non documentata)**.</w:t>
      </w:r>
    </w:p>
    <w:p>
      <w:pPr>
        <w:keepNext/>
        <w:spacing w:line="276" w:lineRule="auto" w:before="240" w:after="80"/>
        <w:jc w:val="left"/>
      </w:pPr>
      <w:r>
        <w:rPr>
          <w:rFonts w:ascii="Times New Roman" w:hAnsi="Times New Roman" w:cs="Times New Roman" w:eastAsia="Times New Roman"/>
          <w:b/>
          <w:sz w:val="28"/>
        </w:rPr>
        <w:t>Quattro. Il verdetto e la chiusura della lacuna</w:t>
      </w:r>
    </w:p>
    <w:p>
      <w:pPr>
        <w:spacing w:line="276" w:lineRule="auto" w:before="0" w:after="0"/>
        <w:ind w:firstLine="425"/>
        <w:jc w:val="both"/>
      </w:pPr>
      <w:r>
        <w:rPr>
          <w:rFonts w:ascii="Times New Roman" w:hAnsi="Times New Roman" w:cs="Times New Roman" w:eastAsia="Times New Roman"/>
          <w:b w:val="0"/>
          <w:sz w:val="24"/>
        </w:rPr>
        <w:t>La procedura delle ipotesi concorrenti chiude la verifica su tre formulazioni. La prima: integrazione strutturale — una società stabile fra la 'Ndrangheta renana e le reti russo-eurasiatiche su suolo tedesco. Allo stato non è documentata da alcuna operazione giudiziaria italo-tedesca, è contraddetta dalla geografia degli epicentri e dalla statistica federale, e resta al **(Livello C)**, con falsificatore designato in una futura risultanza giudiziaria che attesti un locale misto o una società criminale congiunta. La seconda: coesistenza territoriale con transazioni di mercato — compravendite episodiche di droga, armi e servizi di riciclaggio secondo il modello transazionale documentato. È l'ipotesi meno contraddetta, coerente con la formula investigativa, con l'asse storico degli anni Novanta e con la logistica del bacino, e viene assunta al **(Livello B)**. La terza: convergenza per piattaforma interposta, senza contatto diretto — complementare alla seconda, sostenuta dagli elementi infrastrutturali di Eureka, e mantenuta al **(Livello B/C)** secondo il segmento. La quinta lacuna del dossier renano è dunque chiusa con un esito negativo-positivo che il metodo dell'opera considera un risultato pieno: negativo, perché l'integrazione strutturale che la domanda sottintendeva non trova riscontro — e dichiararlo vale quanto una scoperta, contro la tentazione narrativa della saldatura universale; positivo, perché il modello transazionale, l'asse storico armi-droga, la capacità armiera della filiera San Luca–Germania e il vettore ibrido post duemilaventidue compongono un quadro d'intersezione di sistema, classificato voce per voce. Le sub-lacune trasferite alla tavola sono quattro: il monitoraggio dei filoni tedeschi di Eureka per eventuali terminali russofoni; la schedatura del porto di Duisburg come terminale eurasiatico e del rischio di convergenza logistica; la raccolta casistica sull'evasione delle sanzioni con servizi criminali italiani; l'acquisizione dei rapporti dei Landeskriminalämter sulle bande predatorie georgiane nel Nordrhein-Westfalen.</w:t>
      </w:r>
    </w:p>
    <w:p>
      <w:pPr>
        <w:keepNext/>
        <w:spacing w:line="276" w:lineRule="auto" w:before="240" w:after="80"/>
        <w:jc w:val="left"/>
      </w:pPr>
      <w:r>
        <w:rPr>
          <w:rFonts w:ascii="Times New Roman" w:hAnsi="Times New Roman" w:cs="Times New Roman" w:eastAsia="Times New Roman"/>
          <w:b/>
          <w:sz w:val="28"/>
        </w:rPr>
        <w:t>Colophon e tavola finale della giornata</w:t>
      </w:r>
    </w:p>
    <w:p>
      <w:pPr>
        <w:spacing w:line="276" w:lineRule="auto" w:before="0" w:after="0"/>
        <w:ind w:firstLine="425"/>
        <w:jc w:val="both"/>
      </w:pPr>
      <w:r>
        <w:rPr>
          <w:rFonts w:ascii="Times New Roman" w:hAnsi="Times New Roman" w:cs="Times New Roman" w:eastAsia="Times New Roman"/>
          <w:b w:val="0"/>
          <w:sz w:val="24"/>
        </w:rPr>
        <w:t>ITALIA NERA, Registro Analitico delle Reti Informali Transnazionali. Scheda di chiusura della quinta lacuna del dossier Nordrhein-Westfalen, edizione del primo agosto duemilaventisei, allineata al Registro Integrale V63, generata secondo il Protocollo Zero-Token nello standard tipografico dell'opera. Con la presente chiusura, la tavola delle nove lacune dichiarate nella Struttura dell'Opera registra otto chiusure nella giornata odierna — il reintegro dei fascicoli OCR con la successiva diagnosi di circolarità e i valori netti; la sezione Aginter Press; la scheda sul canale Falcone–Mosca; l'identificazione e acquisizione del documento speculare statunitense; la scheda diagnostica e monografica Mino–Pecorelli; la verifica Safari Club con emenda; il chiarimento filologico sul corpus Moro con convenzione; la presente verifica renana — e una sola voce aperta, il reintegro della Struttura V60 nel Project Knowledge, che è operazione di caricamento riservata all'autore. Le sub-lacune censite in tavola costituiscono il programma di lavoro delle prossime sessioni. Autore e direttore dell'opera: Luigi De Michele.</w:t>
      </w:r>
    </w:p>
    <w:p>
      <w:pPr>
        <w:pageBreakBefore w:val="0"/>
      </w:pPr>
      <w:r>
        <w:rPr>
          <w:rFonts w:ascii="Times New Roman" w:hAnsi="Times New Roman" w:cs="Times New Roman" w:eastAsia="Times New Roman"/>
          <w:sz w:val="24"/>
        </w:rPr>
        <w:br w:type="page"/>
      </w:r>
    </w:p>
    <w:p>
      <w:pPr>
        <w:spacing w:line="276" w:lineRule="auto" w:before="120" w:after="80"/>
        <w:jc w:val="center"/>
      </w:pPr>
      <w:r>
        <w:rPr>
          <w:rFonts w:ascii="Times New Roman" w:hAnsi="Times New Roman" w:cs="Times New Roman" w:eastAsia="Times New Roman"/>
          <w:b/>
          <w:sz w:val="40"/>
        </w:rPr>
        <w:t>ITALIA NERA</w:t>
      </w:r>
    </w:p>
    <w:p>
      <w:pPr>
        <w:spacing w:line="276" w:lineRule="auto" w:before="0" w:after="80"/>
        <w:jc w:val="center"/>
      </w:pPr>
      <w:r>
        <w:rPr>
          <w:rFonts w:ascii="Times New Roman" w:hAnsi="Times New Roman" w:cs="Times New Roman" w:eastAsia="Times New Roman"/>
          <w:b w:val="0"/>
          <w:sz w:val="26"/>
        </w:rPr>
        <w:t>Registro Analitico delle Reti Informali Transnazionali</w:t>
      </w:r>
    </w:p>
    <w:p>
      <w:pPr>
        <w:spacing w:line="276" w:lineRule="auto" w:before="0" w:after="0"/>
      </w:pPr>
      <w:r>
        <w:rPr>
          <w:rFonts w:ascii="Times New Roman" w:hAnsi="Times New Roman" w:cs="Times New Roman" w:eastAsia="Times New Roman"/>
          <w:b w:val="0"/>
          <w:sz w:val="24"/>
        </w:rPr>
      </w:r>
    </w:p>
    <w:p>
      <w:pPr>
        <w:spacing w:line="276" w:lineRule="auto" w:before="120" w:after="80"/>
        <w:jc w:val="center"/>
      </w:pPr>
      <w:r>
        <w:rPr>
          <w:rFonts w:ascii="Times New Roman" w:hAnsi="Times New Roman" w:cs="Times New Roman" w:eastAsia="Times New Roman"/>
          <w:b/>
          <w:sz w:val="40"/>
        </w:rPr>
        <w:t>LA LINEA DEI PARACADUTISTI</w:t>
      </w:r>
    </w:p>
    <w:p>
      <w:pPr>
        <w:spacing w:line="276" w:lineRule="auto" w:before="0" w:after="80"/>
        <w:jc w:val="center"/>
      </w:pPr>
      <w:r>
        <w:rPr>
          <w:rFonts w:ascii="Times New Roman" w:hAnsi="Times New Roman" w:cs="Times New Roman" w:eastAsia="Times New Roman"/>
          <w:b w:val="0"/>
          <w:sz w:val="26"/>
        </w:rPr>
        <w:t>Folgore, Nembo, la P2 e le riemersioni simboliche, con il caso onomastico Vannacci</w:t>
      </w:r>
    </w:p>
    <w:p>
      <w:pPr>
        <w:spacing w:line="276" w:lineRule="auto" w:before="0" w:after="80"/>
        <w:jc w:val="center"/>
      </w:pPr>
      <w:r>
        <w:rPr>
          <w:rFonts w:ascii="Times New Roman" w:hAnsi="Times New Roman" w:cs="Times New Roman" w:eastAsia="Times New Roman"/>
          <w:b w:val="0"/>
          <w:sz w:val="26"/>
        </w:rPr>
        <w:t>Edizione del primo agosto duemilaventisei, allineata al Registro Integrale V63</w:t>
      </w:r>
    </w:p>
    <w:p>
      <w:pPr>
        <w:spacing w:line="276" w:lineRule="auto" w:before="0" w:after="0"/>
      </w:pPr>
      <w:r>
        <w:rPr>
          <w:rFonts w:ascii="Times New Roman" w:hAnsi="Times New Roman" w:cs="Times New Roman" w:eastAsia="Times New Roman"/>
          <w:b w:val="0"/>
          <w:sz w:val="24"/>
        </w:rPr>
      </w:r>
    </w:p>
    <w:p>
      <w:pPr>
        <w:spacing w:line="276" w:lineRule="auto" w:before="0" w:after="80"/>
        <w:jc w:val="center"/>
      </w:pPr>
      <w:r>
        <w:rPr>
          <w:rFonts w:ascii="Times New Roman" w:hAnsi="Times New Roman" w:cs="Times New Roman" w:eastAsia="Times New Roman"/>
          <w:b w:val="0"/>
          <w:sz w:val="26"/>
        </w:rPr>
        <w:t>Luigi De Michele</w:t>
      </w:r>
    </w:p>
    <w:p>
      <w:pPr>
        <w:pageBreakBefore w:val="0"/>
      </w:pPr>
      <w:r>
        <w:rPr>
          <w:rFonts w:ascii="Times New Roman" w:hAnsi="Times New Roman" w:cs="Times New Roman" w:eastAsia="Times New Roman"/>
          <w:sz w:val="24"/>
        </w:rPr>
        <w:br w:type="page"/>
      </w:r>
    </w:p>
    <w:p>
      <w:pPr>
        <w:keepNext/>
        <w:spacing w:line="276" w:lineRule="auto" w:before="240" w:after="80"/>
        <w:jc w:val="left"/>
      </w:pPr>
      <w:r>
        <w:rPr>
          <w:rFonts w:ascii="Times New Roman" w:hAnsi="Times New Roman" w:cs="Times New Roman" w:eastAsia="Times New Roman"/>
          <w:b/>
          <w:sz w:val="28"/>
        </w:rPr>
        <w:t>Uno. Statuto della scheda e disciplina sui viventi</w:t>
      </w:r>
    </w:p>
    <w:p>
      <w:pPr>
        <w:spacing w:line="276" w:lineRule="auto" w:before="0" w:after="0"/>
        <w:ind w:firstLine="425"/>
        <w:jc w:val="both"/>
      </w:pPr>
      <w:r>
        <w:rPr>
          <w:rFonts w:ascii="Times New Roman" w:hAnsi="Times New Roman" w:cs="Times New Roman" w:eastAsia="Times New Roman"/>
          <w:b w:val="0"/>
          <w:sz w:val="24"/>
        </w:rPr>
        <w:t>La commessa chiede di percorrere una filiera del Dominio Nove che attraversa ottant'anni: i reparti paracadutisti Folgore e Nembo, la penetrazione piduista dei vertici militari, le figure di Licio Gelli, Giulio Andreotti, Bettino Craxi e Silvio Berlusconi, il vettore internazionale kissingeriano, l'operatività di Stefano Delle Chiaie, e due portatori dello stesso cognome — Wanda Vannacci e Roberto Vannacci — collocati alle estremità opposte dell'arco temporale. La scheda si apre dichiarando due discipline. La prima riguarda i viventi: per le persone in vita valgono esclusivamente i fatti pubblici documentati — biografie ufficiali, atti parlamentari, cronache verificate — e nessuna inferenza associativa; dove la scheda censisce simboli e non condotte, lo dice espressamente. La seconda riguarda l'onomastica: la giornata odierna ha introdotto nel metodo il filtro omonimico dopo la diagnosi dell'artefatto Mino, e il caso Vannacci-Vannacci ne costituisce il primo banco di prova in avanti — la coincidenza di cognome è un dato da classificare, non un legame da suggerire, e la scheda la processerà come tale nel capitolo sesto **(regola di metodo)**.</w:t>
      </w:r>
    </w:p>
    <w:p>
      <w:pPr>
        <w:keepNext/>
        <w:spacing w:line="276" w:lineRule="auto" w:before="240" w:after="80"/>
        <w:jc w:val="left"/>
      </w:pPr>
      <w:r>
        <w:rPr>
          <w:rFonts w:ascii="Times New Roman" w:hAnsi="Times New Roman" w:cs="Times New Roman" w:eastAsia="Times New Roman"/>
          <w:b/>
          <w:sz w:val="28"/>
        </w:rPr>
        <w:t>Due. La matrice storica: una divisa, due linee</w:t>
      </w:r>
    </w:p>
    <w:p>
      <w:pPr>
        <w:spacing w:line="276" w:lineRule="auto" w:before="0" w:after="0"/>
        <w:ind w:firstLine="425"/>
        <w:jc w:val="both"/>
      </w:pPr>
      <w:r>
        <w:rPr>
          <w:rFonts w:ascii="Times New Roman" w:hAnsi="Times New Roman" w:cs="Times New Roman" w:eastAsia="Times New Roman"/>
          <w:b w:val="0"/>
          <w:sz w:val="24"/>
        </w:rPr>
        <w:t>La Folgore entra nel mito nazionale a El Alamein, fra il luglio e il novembre millenovecentoquarantadue, con la resistenza della divisione paracadutisti annientata sulle posizioni; il Nembo nasce come sua gemmazione. L'otto settembre millenovecentoquarantatré taglia in due questa materia come taglia in due l'esercito: in Sardegna, il dieci settembre, paracadutisti del dodicesimo battaglione Nembo che rifiutano l'armistizio e passano con i tedeschi uccidono il tenente colonnello Alberto Bechi Luserna, capo di stato maggiore della divisione, accorso a fermarne la defezione **(Livello A, storiografia consolidata)**. Da quel giorno corrono due linee distinte che il Registro impone di non confondere. La linea istituzionale: il Nembo combatte nel Corpo Italiano di Liberazione e poi nel Gruppo di Combattimento Folgore della guerra di liberazione, e da questa discendenza la Repubblica ricostituisce il paracadutismo militare, fino alla Brigata Folgore rinata negli anni Sessanta con il centottantatreesimo reggimento Nembo nei ranghi **(Livello A)**. La linea repubblichina: le aliquote passate con l'occupante confluiscono nelle formazioni paracadutiste della Repubblica Sociale, che riusa i nomi — un reggimento Folgore fra i suoi reparti — mentre la Decima MAS di Junio Valerio Borghese inquadra il battaglione Nuotatori Paracadutisti **(Livello A)**. La posta del dopoguerra non è la continuità dei reparti, che appartiene alla sola linea istituzionale, ma la proprietà dei simboli: El Alamein, il basco, i nomi di battaglia diventano un patrimonio conteso che l'associazionismo reducistico, il neofascismo e la politica si disputeranno per decenni. È su questa distinzione — reparti da una parte, simboli dall'altra — che si regge l'intera analisi delle riemersioni.</w:t>
      </w:r>
    </w:p>
    <w:p>
      <w:pPr>
        <w:keepNext/>
        <w:spacing w:line="276" w:lineRule="auto" w:before="240" w:after="80"/>
        <w:jc w:val="left"/>
      </w:pPr>
      <w:r>
        <w:rPr>
          <w:rFonts w:ascii="Times New Roman" w:hAnsi="Times New Roman" w:cs="Times New Roman" w:eastAsia="Times New Roman"/>
          <w:b/>
          <w:sz w:val="28"/>
        </w:rPr>
        <w:t>Tre. La penetrazione piduista del Dominio Nove e il quadrante Borghese-Delle Chiaie</w:t>
      </w:r>
    </w:p>
    <w:p>
      <w:pPr>
        <w:spacing w:line="276" w:lineRule="auto" w:before="0" w:after="0"/>
        <w:ind w:firstLine="425"/>
        <w:jc w:val="both"/>
      </w:pPr>
      <w:r>
        <w:rPr>
          <w:rFonts w:ascii="Times New Roman" w:hAnsi="Times New Roman" w:cs="Times New Roman" w:eastAsia="Times New Roman"/>
          <w:b w:val="0"/>
          <w:sz w:val="24"/>
        </w:rPr>
        <w:t>Il punto di saldatura fra la filiera militare e il sistema gelliano è misurato dalla Relazione Anselmi sugli elenchi di Castiglion Fibocchi, che il corpus conserva integralmente: nel settore Forze Armate figurano cinquantadue ufficiali dei carabinieri, nove dell'Aeronautica, ventinove della Marina, cinquanta dell'Esercito, trentasette della Guardia di Finanza e sei della Pubblica Sicurezza, per un totale di centonovantacinque ufficiali, dei quali novantadue con grado di generale o colonnello — dodici generali dei carabinieri, otto ammiragli, ventidue generali dell'Esercito, cinque della Guardia di Finanza, quattro dell'Aeronautica **(Livello A, Relazione Anselmi)**. La relazione nomina la mappa del potere militare più qualificato: l'ammiraglio Torrisi capo di stato maggiore della Marina e poi della Difesa, il generale Grassini alla direzione del SISDE, il generale Santovito alla direzione del SISMI, i generali Picchiotti e Palumbo ai vertici dell'Arma, il generale Miceli già direttore del SID, il generale Musumeci segretario generale del SISMI, i generali Giudice e Giannini comandanti generali della Guardia di Finanza — e registra la debolezza delle inchieste disciplinari, chiuse per lo più con il rimprovero in un terzo dei casi e con proscioglimenti fondati sul semplice diniego dell'interessato **(Livello A)**. Il Venerabile stesso porta nella filiera la propria biografia repubblichina: volontario in Spagna e poi ufficiale di collegamento con i comandi germanici a Pistoia negli anni della Repubblica Sociale **(Livello A, materia della Relazione e del corpus)**. Il quadrante operativo della linea simbolica repubblichina ha invece il suo epicentro nella notte fra il sette e l'otto dicembre millenovecentosettanta: il tentativo insurrezionale del comandante della Decima MAS Junio Valerio Borghese, con l'ingresso di militanti di Avanguardia Nazionale — l'organizzazione di Stefano Delle Chiaie — nell'armeria del Viminale, è ricostruito nei suoi fatti materiali dalle istruttorie e dagli atti parlamentari **(Livello B per la dinamica, A per l'accertamento dell'accadimento)**, mentre l'esito giudiziario definitivo del processo per insurrezione fu di assoluzione **(Livello A, e il Registro riporta entrambi i piani senza confonderli)**. Da Borghese in avanti, la parola Decima smette di designare un reparto e diventa un significante politico disponibile: è questa disponibilità, non una catena di comando, ciò che la scheda segue fino al presente.</w:t>
      </w:r>
    </w:p>
    <w:p>
      <w:pPr>
        <w:keepNext/>
        <w:spacing w:line="276" w:lineRule="auto" w:before="240" w:after="80"/>
        <w:jc w:val="left"/>
      </w:pPr>
      <w:r>
        <w:rPr>
          <w:rFonts w:ascii="Times New Roman" w:hAnsi="Times New Roman" w:cs="Times New Roman" w:eastAsia="Times New Roman"/>
          <w:b/>
          <w:sz w:val="28"/>
        </w:rPr>
        <w:t>Quattro. Le sponde politiche della stagione piduista</w:t>
      </w:r>
    </w:p>
    <w:p>
      <w:pPr>
        <w:spacing w:line="276" w:lineRule="auto" w:before="0" w:after="0"/>
        <w:ind w:firstLine="425"/>
        <w:jc w:val="both"/>
      </w:pPr>
      <w:r>
        <w:rPr>
          <w:rFonts w:ascii="Times New Roman" w:hAnsi="Times New Roman" w:cs="Times New Roman" w:eastAsia="Times New Roman"/>
          <w:b w:val="0"/>
          <w:sz w:val="24"/>
        </w:rPr>
        <w:t>Le tre figure politiche della commessa si dispongono attorno alla loggia secondo tre modalità diverse, che il Registro tiene distinte. Giulio Andreotti appartiene alla cornice: vertice di governo ricorrente dell'intera stagione, è l'uomo che nell'ottobre millenovecentonovanta rivela al Parlamento l'esistenza della rete Gladio, consegnando alla Repubblica l'ammissione istituzionale della struttura stay-behind che aveva reclutato nei bacini militari e reducistici — atto che il corpus conserva nel Report Andreotti e che costituisce il perimetro dentro cui la penetrazione piduista dei vertici in divisa va letta **(Livello A per la rivelazione e i documenti)**. Bettino Craxi appartiene al canale finanziario: il conto Protezione presso una banca elvetica, alimentato con sette milioni di dollari provenienti dal Banco Ambrosiano di Roberto Calvi e ricondotto dalle indagini sul crack al finanziamento dell'area socialista, è l'arco documentato che collega il sistema Gelli-Ortolani-Calvi alla politica di governo degli anni Ottanta **(Livello B nella attribuzione soggettiva, A nell'esistenza del conto e del trasferimento)**. Silvio Berlusconi appartiene agli elenchi: la tessera della Loggia Propaganda Due numero milleottocentosedici è materia della Lista sequestrata e della schedatura del Registro, che ne censisce la posizione sui quattro domini dell'impero mediatico, della politica di governo, dell'affiliazione massonica e dell'impresa, con l'arco ulteriore che collega la sua traiettoria al Piano di Rinascita Democratica sul controllo della stampa **(Livello A per l'iscrizione, B per la lettura dell'arco programmatico)**.</w:t>
      </w:r>
    </w:p>
    <w:p>
      <w:pPr>
        <w:keepNext/>
        <w:spacing w:line="276" w:lineRule="auto" w:before="240" w:after="80"/>
        <w:jc w:val="left"/>
      </w:pPr>
      <w:r>
        <w:rPr>
          <w:rFonts w:ascii="Times New Roman" w:hAnsi="Times New Roman" w:cs="Times New Roman" w:eastAsia="Times New Roman"/>
          <w:b/>
          <w:sz w:val="28"/>
        </w:rPr>
        <w:t>Cinque. Il vettore internazionale: Kissinger</w:t>
      </w:r>
    </w:p>
    <w:p>
      <w:pPr>
        <w:spacing w:line="276" w:lineRule="auto" w:before="0" w:after="0"/>
        <w:ind w:firstLine="425"/>
        <w:jc w:val="both"/>
      </w:pPr>
      <w:r>
        <w:rPr>
          <w:rFonts w:ascii="Times New Roman" w:hAnsi="Times New Roman" w:cs="Times New Roman" w:eastAsia="Times New Roman"/>
          <w:b w:val="0"/>
          <w:sz w:val="24"/>
        </w:rPr>
        <w:t>Il piano atlantico della filiera passa per tre punti classificati separatamente. Il primo è istituzionale ed è stato acquisito stamane con il documento centottanta del volume quarantunesimo delle Foreign Relations: Henry Kissinger presiede la riunione del 303 Committee dell'undici marzo millenovecentosessantanove in cui viene ripercorso l'intero programma di azione coperta statunitense in Italia dal millenovecentoquarantotto — la sua posizione di supervisore dell'apparato coperto verso l'Italia è dunque documentale **(Livello A)**. Il secondo è testimoniale: l'avvertimento rivolto ad Aldo Moro durante il viaggio americano del settembre millenovecentosettantaquattro — la richiesta di abbandonare il disegno di allargamento della maggioranza, con la minaccia che l'avrebbe pagata cara — è attestato dalle deposizioni convergenti di Eleonora Moro e di Corrado Guerzoni nelle sedi giudiziarie e parlamentari, che il corpus moroteo conserva; resta de relato quanto alla scena, riscontrato quanto alla convergenza dei dichiaranti **(Livello B)**. Il terzo è associativo e va tenuto al suo grado: la proiezione atlantica di Gelli — culminata nella presenza all'insediamento presidenziale di Reagan — è documentata come frequentazione di ambienti **(Livello B)**, mentre ogni lettura che saldi direttamente il Venerabile all'ex segretario di Stato in un medesimo disegno resta ipotesi non riscontrata, e la scheda la mantiene al **(Livello C)**, in coerenza con l'emenda odierna sul Safari Club che ha già depurato il Registro da una associazione kissingeriana impropria.</w:t>
      </w:r>
    </w:p>
    <w:p>
      <w:pPr>
        <w:keepNext/>
        <w:spacing w:line="276" w:lineRule="auto" w:before="240" w:after="80"/>
        <w:jc w:val="left"/>
      </w:pPr>
      <w:r>
        <w:rPr>
          <w:rFonts w:ascii="Times New Roman" w:hAnsi="Times New Roman" w:cs="Times New Roman" w:eastAsia="Times New Roman"/>
          <w:b/>
          <w:sz w:val="28"/>
        </w:rPr>
        <w:t>Sei. Il caso onomastico Vannacci-Vannacci</w:t>
      </w:r>
    </w:p>
    <w:p>
      <w:pPr>
        <w:spacing w:line="276" w:lineRule="auto" w:before="0" w:after="0"/>
        <w:ind w:firstLine="425"/>
        <w:jc w:val="both"/>
      </w:pPr>
      <w:r>
        <w:rPr>
          <w:rFonts w:ascii="Times New Roman" w:hAnsi="Times New Roman" w:cs="Times New Roman" w:eastAsia="Times New Roman"/>
          <w:b w:val="0"/>
          <w:sz w:val="24"/>
        </w:rPr>
        <w:t>La commessa accosta due nomi che il filtro omonimico impone di processare formalmente. Il primo è Wanda Vannacci: pistoiese, sposa di Licio Gelli dal millenovecentoquarantaquattro, scomparsa il quattordici giugno millenovecentonovantatré a sessantasette anni, è la donna cui il Venerabile intitolò nel millenovecentosessantotto la villa aretina acquistata dai Lebole — Villa Wanda, teatro domestico dell'intera vicenda gelliana fino alla morte del padrone di casa **(Livello A, cronaca e biografistica consolidate)**. Il secondo è Roberto Vannacci: nato alla Spezia il venti ottobre millenovecentosessantotto, generale di divisione, già comandante del nono reggimento d'assalto paracadutisti Col Moschin e della Brigata paracadutisti Folgore, con impieghi dal Ruanda all'Afghanistan; autore nel duemilaventitré del volume che ne ha avviato la carriera pubblica, eletto al Parlamento europeo nel luglio duemilaventiquattro, aderente alla Lega e sua vicesegreteria nel duemilaventicinque, uscito dal partito il tre febbraio duemilaventisei per fondare Futuro Nazionale, di cui è presidente dal sei febbraio; il suo percorso pubblico registra le evocazioni della Decima in comizio, un manifesto di partito la cui sigla e i cui richiami sono stati letti dalla stampa in continuità con il repertorio simbolico del Ventennio e con la sigla del Fronte Nazionale borghesiano, l'appartenenza al gruppo europeo delle Nazioni Sovrane accanto ad Alternative für Deutschland, e la procedura di verifica sulla conformità ai valori dell'Unione attivata dal Parlamento europeo nel luglio duemilaventisei con quattrocentoquattordici voti **(Livello A per i fatti biografici e istituzionali; le letture di stampa sul repertorio simbolico restano B)**. Sul nesso fra i due portatori del cognome la scheda pronuncia il verdetto del filtro: nessuna fonte del corpus né della verifica odierna documenta una parentela fra Wanda Vannacci in Gelli e il generale Roberto Vannacci; la coincidenza di cognome toscano è allo stato una co-occorrenza onomastica priva di arco, e ogni affermazione di legame familiare sarebbe pura ipotesi di **(Livello C)**, con falsificatore designato negli atti anagrafici e genealogici — che nessuna fonte nota ha prodotto. Il Registro censisce dunque il caso come omonimia non risolta in legame, esattamente come stamane ha espunto la coppia Mino. Quanto alla posizione del generale nella filiera, la classificazione è quella annunciata: arco di Riemersione Carsica simbolica — la ricomparsa nel discorso politico contemporaneo, per bocca di un ufficiale della linea istituzionale, dei significanti della linea repubblichina — e la scheda dichiara espressamente che l'arco è simbolico e non associativo: nessun elemento documentato collega la persona a strutture criminali, eversive o piduiste, e la materia censita è la circolazione dei simboli nel campo politico **(Livello A per le occorrenze simboliche, B per la loro lettura)**.</w:t>
      </w:r>
    </w:p>
    <w:p>
      <w:pPr>
        <w:keepNext/>
        <w:spacing w:line="276" w:lineRule="auto" w:before="240" w:after="80"/>
        <w:jc w:val="left"/>
      </w:pPr>
      <w:r>
        <w:rPr>
          <w:rFonts w:ascii="Times New Roman" w:hAnsi="Times New Roman" w:cs="Times New Roman" w:eastAsia="Times New Roman"/>
          <w:b/>
          <w:sz w:val="28"/>
        </w:rPr>
        <w:t>Sette. Il verdetto delle ipotesi concorrenti e le sub-lacune</w:t>
      </w:r>
    </w:p>
    <w:p>
      <w:pPr>
        <w:spacing w:line="276" w:lineRule="auto" w:before="0" w:after="0"/>
        <w:ind w:firstLine="425"/>
        <w:jc w:val="both"/>
      </w:pPr>
      <w:r>
        <w:rPr>
          <w:rFonts w:ascii="Times New Roman" w:hAnsi="Times New Roman" w:cs="Times New Roman" w:eastAsia="Times New Roman"/>
          <w:b w:val="0"/>
          <w:sz w:val="24"/>
        </w:rPr>
        <w:t>Sulla linea complessiva la procedura delle ipotesi concorrenti discrimina tre formulazioni. La prima — una continuità organizzativa unica che dalla Repubblica Sociale corra attraverso la P2 fino al presente — è contraddetta dalla dualità documentata delle linee, istituzionale e repubblichina, e dalla natura assolutoria di snodi giudiziari decisivi: resta al **(Livello C)**. La seconda — una continuità simbolico-reticolare per segmenti distinti, con snodi documentati e non sovrapponibili: il segmento piduista dei vertici militari misurato dalla Anselmi, il segmento golpista borghesiano con la manovalanza di Avanguardia Nazionale, il segmento contemporaneo della riemersione dei significanti — è l'ipotesi meno contraddetta dall'insieme delle evidenze e viene assunta al **(Livello B)**. La terza — la riduzione dell'intera materia a coincidenze onomastiche e retoriche — è contraddetta dai segmenti documentati, ma governa correttamente il caso Vannacci-Vannacci, dove allo stato la coincidenza è l'unico dato. Le sub-lacune trasferite alla tavola sono quattro: lo spoglio degli elenchi di Castiglion Fibocchi alla ricerca di ufficiali provenienti dai reparti paracadutisti, per dare base prosopografica al segmento che questa scheda ha trattato per vertici; la ricostruzione dell'associazionismo reducistico della Decima e della Folgore nel dopoguerra come cinghia di trasmissione simbolica; l'esito degli esposti sull'evocazione della Decima nella campagna del duemilaventiquattro, che la verifica odierna non ha acquisito; l'evoluzione della procedura europea di verifica sul gruppo delle Nazioni Sovrane.</w:t>
      </w:r>
    </w:p>
    <w:p>
      <w:pPr>
        <w:keepNext/>
        <w:spacing w:line="276" w:lineRule="auto" w:before="240" w:after="80"/>
        <w:jc w:val="left"/>
      </w:pPr>
      <w:r>
        <w:rPr>
          <w:rFonts w:ascii="Times New Roman" w:hAnsi="Times New Roman" w:cs="Times New Roman" w:eastAsia="Times New Roman"/>
          <w:b/>
          <w:sz w:val="28"/>
        </w:rPr>
        <w:t>Colophon</w:t>
      </w:r>
    </w:p>
    <w:p>
      <w:pPr>
        <w:spacing w:line="276" w:lineRule="auto" w:before="0" w:after="0"/>
        <w:ind w:firstLine="425"/>
        <w:jc w:val="both"/>
      </w:pPr>
      <w:r>
        <w:rPr>
          <w:rFonts w:ascii="Times New Roman" w:hAnsi="Times New Roman" w:cs="Times New Roman" w:eastAsia="Times New Roman"/>
          <w:b w:val="0"/>
          <w:sz w:val="24"/>
        </w:rPr>
        <w:t>ITALIA NERA, Registro Analitico delle Reti Informali Transnazionali. Scheda di filiera del Dominio Nove sulla linea dei paracadutisti e le riemersioni simboliche, con il caso onomastico Vannacci, edizione del primo agosto duemilaventisei, allineata al Registro Integrale V63, generata secondo il Protocollo Zero-Token nello standard tipografico dell'opera. La scheda applica la disciplina sui viventi e il filtro omonimico introdotto nella presente giornata, e trasferisce le proprie sub-lacune alla tavola generale. Autore e direttore dell'opera: Luigi De Michele.</w:t>
      </w:r>
    </w:p>
    <w:p>
      <w:pPr>
        <w:pageBreakBefore w:val="0"/>
      </w:pPr>
      <w:r>
        <w:rPr>
          <w:rFonts w:ascii="Times New Roman" w:hAnsi="Times New Roman" w:cs="Times New Roman" w:eastAsia="Times New Roman"/>
          <w:sz w:val="24"/>
        </w:rPr>
        <w:br w:type="page"/>
      </w:r>
    </w:p>
    <w:p>
      <w:pPr>
        <w:spacing w:line="276" w:lineRule="auto" w:before="120" w:after="80"/>
        <w:jc w:val="center"/>
      </w:pPr>
      <w:r>
        <w:rPr>
          <w:rFonts w:ascii="Times New Roman" w:hAnsi="Times New Roman" w:cs="Times New Roman" w:eastAsia="Times New Roman"/>
          <w:b/>
          <w:sz w:val="40"/>
        </w:rPr>
        <w:t>ITALIA NERA</w:t>
      </w:r>
    </w:p>
    <w:p>
      <w:pPr>
        <w:spacing w:line="276" w:lineRule="auto" w:before="0" w:after="80"/>
        <w:jc w:val="center"/>
      </w:pPr>
      <w:r>
        <w:rPr>
          <w:rFonts w:ascii="Times New Roman" w:hAnsi="Times New Roman" w:cs="Times New Roman" w:eastAsia="Times New Roman"/>
          <w:b w:val="0"/>
          <w:sz w:val="26"/>
        </w:rPr>
        <w:t>Registro Analitico delle Reti Informali Transnazionali</w:t>
      </w:r>
    </w:p>
    <w:p>
      <w:pPr>
        <w:spacing w:line="276" w:lineRule="auto" w:before="0" w:after="0"/>
      </w:pPr>
      <w:r>
        <w:rPr>
          <w:rFonts w:ascii="Times New Roman" w:hAnsi="Times New Roman" w:cs="Times New Roman" w:eastAsia="Times New Roman"/>
          <w:b w:val="0"/>
          <w:sz w:val="24"/>
        </w:rPr>
      </w:r>
    </w:p>
    <w:p>
      <w:pPr>
        <w:spacing w:line="276" w:lineRule="auto" w:before="120" w:after="80"/>
        <w:jc w:val="center"/>
      </w:pPr>
      <w:r>
        <w:rPr>
          <w:rFonts w:ascii="Times New Roman" w:hAnsi="Times New Roman" w:cs="Times New Roman" w:eastAsia="Times New Roman"/>
          <w:b/>
          <w:sz w:val="40"/>
        </w:rPr>
        <w:t>APPENDICE PROSOPOGRAFICA E REDUCISTICA</w:t>
      </w:r>
    </w:p>
    <w:p>
      <w:pPr>
        <w:spacing w:line="276" w:lineRule="auto" w:before="0" w:after="80"/>
        <w:jc w:val="center"/>
      </w:pPr>
      <w:r>
        <w:rPr>
          <w:rFonts w:ascii="Times New Roman" w:hAnsi="Times New Roman" w:cs="Times New Roman" w:eastAsia="Times New Roman"/>
          <w:b w:val="0"/>
          <w:sz w:val="26"/>
        </w:rPr>
        <w:t>I paracadutisti fra il golpe, la Loggia e la memoria — chiusura delle prime due sub-lacune della scheda sulla linea dei paracadutisti</w:t>
      </w:r>
    </w:p>
    <w:p>
      <w:pPr>
        <w:spacing w:line="276" w:lineRule="auto" w:before="0" w:after="80"/>
        <w:jc w:val="center"/>
      </w:pPr>
      <w:r>
        <w:rPr>
          <w:rFonts w:ascii="Times New Roman" w:hAnsi="Times New Roman" w:cs="Times New Roman" w:eastAsia="Times New Roman"/>
          <w:b w:val="0"/>
          <w:sz w:val="26"/>
        </w:rPr>
        <w:t>Edizione del primo agosto duemilaventisei, allineata al Registro Integrale V63</w:t>
      </w:r>
    </w:p>
    <w:p>
      <w:pPr>
        <w:spacing w:line="276" w:lineRule="auto" w:before="0" w:after="0"/>
      </w:pPr>
      <w:r>
        <w:rPr>
          <w:rFonts w:ascii="Times New Roman" w:hAnsi="Times New Roman" w:cs="Times New Roman" w:eastAsia="Times New Roman"/>
          <w:b w:val="0"/>
          <w:sz w:val="24"/>
        </w:rPr>
      </w:r>
    </w:p>
    <w:p>
      <w:pPr>
        <w:spacing w:line="276" w:lineRule="auto" w:before="0" w:after="80"/>
        <w:jc w:val="center"/>
      </w:pPr>
      <w:r>
        <w:rPr>
          <w:rFonts w:ascii="Times New Roman" w:hAnsi="Times New Roman" w:cs="Times New Roman" w:eastAsia="Times New Roman"/>
          <w:b w:val="0"/>
          <w:sz w:val="26"/>
        </w:rPr>
        <w:t>Luigi De Michele</w:t>
      </w:r>
    </w:p>
    <w:p>
      <w:pPr>
        <w:pageBreakBefore w:val="0"/>
      </w:pPr>
      <w:r>
        <w:rPr>
          <w:rFonts w:ascii="Times New Roman" w:hAnsi="Times New Roman" w:cs="Times New Roman" w:eastAsia="Times New Roman"/>
          <w:sz w:val="24"/>
        </w:rPr>
        <w:br w:type="page"/>
      </w:r>
    </w:p>
    <w:p>
      <w:pPr>
        <w:keepNext/>
        <w:spacing w:line="276" w:lineRule="auto" w:before="240" w:after="80"/>
        <w:jc w:val="left"/>
      </w:pPr>
      <w:r>
        <w:rPr>
          <w:rFonts w:ascii="Times New Roman" w:hAnsi="Times New Roman" w:cs="Times New Roman" w:eastAsia="Times New Roman"/>
          <w:b/>
          <w:sz w:val="28"/>
        </w:rPr>
        <w:t>Uno. Oggetto, metodo e limite dichiarato</w:t>
      </w:r>
    </w:p>
    <w:p>
      <w:pPr>
        <w:spacing w:line="276" w:lineRule="auto" w:before="0" w:after="0"/>
        <w:ind w:firstLine="425"/>
        <w:jc w:val="both"/>
      </w:pPr>
      <w:r>
        <w:rPr>
          <w:rFonts w:ascii="Times New Roman" w:hAnsi="Times New Roman" w:cs="Times New Roman" w:eastAsia="Times New Roman"/>
          <w:b w:val="0"/>
          <w:sz w:val="24"/>
        </w:rPr>
        <w:t>L'appendice affronta le prime due sub-lacune trasferite in tavola dalla scheda sulla linea dei paracadutisti: la prosopografia del segmento paracadutista nelle trame eversive e negli elenchi piduisti, e la ricostruzione del reducismo come cinghia di trasmissione simbolica fra la linea repubblichina e il presente. Il metodo è quello dello spoglio per figure documentate, e il suo limite va dichiarato in apertura: gli allegati nominativi integrali delle liste di Castiglion Fibocchi non sono presenti nel corpus in forma interrogabile, sicché lo spoglio procede attraverso le figure che la Relazione Anselmi e gli atti della Commissione stragi nominano espressamente, non attraverso la scansione dei novecentosessantadue nominativi; la sub-lacuna prosopografica esce da questa appendice ridotta al suo nucleo documentale, non azzerata **(limite di metodo dichiarato)**.</w:t>
      </w:r>
    </w:p>
    <w:p>
      <w:pPr>
        <w:keepNext/>
        <w:spacing w:line="276" w:lineRule="auto" w:before="240" w:after="80"/>
        <w:jc w:val="left"/>
      </w:pPr>
      <w:r>
        <w:rPr>
          <w:rFonts w:ascii="Times New Roman" w:hAnsi="Times New Roman" w:cs="Times New Roman" w:eastAsia="Times New Roman"/>
          <w:b/>
          <w:sz w:val="28"/>
        </w:rPr>
        <w:t>Due. La notte di Tora Tora come radiografia del segmento paracadutista</w:t>
      </w:r>
    </w:p>
    <w:p>
      <w:pPr>
        <w:spacing w:line="276" w:lineRule="auto" w:before="0" w:after="0"/>
        <w:ind w:firstLine="425"/>
        <w:jc w:val="both"/>
      </w:pPr>
      <w:r>
        <w:rPr>
          <w:rFonts w:ascii="Times New Roman" w:hAnsi="Times New Roman" w:cs="Times New Roman" w:eastAsia="Times New Roman"/>
          <w:b w:val="0"/>
          <w:sz w:val="24"/>
        </w:rPr>
        <w:t>La ricostruzione della Commissione stragi, che il corpus conserva, restituisce la notte fra il sette e l'otto dicembre millenovecentosettanta come la radiografia più nitida del segmento che questa appendice insegue, perché vi compaiono, in un solo quadro operativo, tutte le componenti della filiera. Sandro Saccucci, qualificato negli atti come tenente dei paracadutisti e stretto collaboratore di Borghese, vi figura con tre incarichi simultanei: la distribuzione delle armi ai congiurati radunati nella palestra di via Eleniana, che sarebbe avvenuta a suo ordine per mano del generale Ricci; la direzione personale del gruppo incaricato di arrestare gli uomini politici; la designazione ad assumere il comando del Servizio informazioni difesa a insurrezione compiuta **(Livello A, atti della Commissione)**. Attorno a lui il dispositivo: il generale Casero e il colonnello Lo Vecchio, garanti dell'appoggio del capo di stato maggiore dell'Aeronautica Fanali, destinati all'occupazione del Ministero della difesa; il maggiore Berti — già condannato per apologia di collaborazionismo e nondimeno giunto ad alti gradi del Corpo forestale — alla testa della colonna di allievi forestali attestata presso gli studi RAI di via Teulada; il colonnello Spiazzi, dei Nuclei per la Difesa dello Stato, in movimento sui sobborghi milanesi verso Sesto San Giovanni; i militanti di Avanguardia Nazionale comandati da Stefano Delle Chiaie — con le presenze indicate di Pierluigi Concutelli e Guido Paglia — dentro il Viminale a impossessarsi di armi e munizioni con la complicità di funzionari **(Livello A per l'insieme della ricostruzione parlamentare)**. Poi il contrordine impartito da Borghese in persona, mai spiegato nemmeno ai collaboratori più fidati; il paese tenuto all'oscuro fino allo scoop di Paese Sera del diciassette marzo millenovecentosettantuno; gli arresti di Orlandini, Rosa, Lo Vecchio, De Rosa e dell'ex tenente Saccucci; e la parabola giudiziaria — centoquarantadue incriminati ridotti a settantotto dopo l'istruttoria, l'assoluzione globale fra il millenovecentosettantotto e il novembre millenovecentottantaquattro — che la Commissione giudica espressamente non giustificata dalle acquisizioni documentali, respingendo la vulgata del golpe da operetta **(Livello A per gli esiti processuali, che il Registro riporta accanto alla valutazione parlamentare senza confonderli)**.</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