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cs="Times New Roman" w:eastAsia="Times New Roman"/>
          <w:b/>
          <w:sz w:val="40"/>
        </w:rPr>
        <w:t>ITALIA NERA</w:t>
      </w:r>
    </w:p>
    <w:p>
      <w:pPr>
        <w:spacing w:after="80"/>
        <w:jc w:val="center"/>
      </w:pPr>
      <w:r>
        <w:rPr>
          <w:rFonts w:ascii="Times New Roman" w:hAnsi="Times New Roman" w:cs="Times New Roman" w:eastAsia="Times New Roman"/>
          <w:b w:val="0"/>
          <w:sz w:val="26"/>
        </w:rPr>
        <w:t>Registro Analitico delle Reti Informali Transnazionali</w:t>
      </w:r>
    </w:p>
    <w:p/>
    <w:p>
      <w:pPr>
        <w:spacing w:before="120" w:after="80"/>
        <w:jc w:val="center"/>
      </w:pPr>
      <w:r>
        <w:rPr>
          <w:rFonts w:ascii="Times New Roman" w:hAnsi="Times New Roman" w:cs="Times New Roman" w:eastAsia="Times New Roman"/>
          <w:b/>
          <w:sz w:val="40"/>
        </w:rPr>
        <w:t>SCHEDA DIAGNOSTICA COMPUTAZIONALE</w:t>
      </w:r>
    </w:p>
    <w:p>
      <w:pPr>
        <w:spacing w:after="80"/>
        <w:jc w:val="center"/>
      </w:pPr>
      <w:r>
        <w:rPr>
          <w:rFonts w:ascii="Times New Roman" w:hAnsi="Times New Roman" w:cs="Times New Roman" w:eastAsia="Times New Roman"/>
          <w:b w:val="0"/>
          <w:sz w:val="26"/>
        </w:rPr>
        <w:t>Segnali cross-dominio dell'estrazione a Mutua Informazione Puntuale sul corpus</w:t>
      </w:r>
    </w:p>
    <w:p>
      <w:pPr>
        <w:spacing w:after="80"/>
        <w:jc w:val="center"/>
      </w:pPr>
      <w:r>
        <w:rPr>
          <w:rFonts w:ascii="Times New Roman" w:hAnsi="Times New Roman" w:cs="Times New Roman" w:eastAsia="Times New Roman"/>
          <w:b w:val="0"/>
          <w:sz w:val="26"/>
        </w:rPr>
        <w:t>Edizione del primo agosto duemilaventisei, allineata al Registro Integrale V63</w:t>
      </w:r>
    </w:p>
    <w:p>
      <w:pPr>
        <w:spacing w:after="80"/>
        <w:jc w:val="center"/>
      </w:pPr>
      <w:r>
        <w:rPr>
          <w:rFonts w:ascii="Times New Roman" w:hAnsi="Times New Roman" w:cs="Times New Roman" w:eastAsia="Times New Roman"/>
          <w:b w:val="0"/>
          <w:sz w:val="26"/>
        </w:rPr>
        <w:t>Luigi De Michele</w:t>
      </w:r>
    </w:p>
    <w:p/>
    <w:p>
      <w:pPr>
        <w:keepNext/>
        <w:spacing w:before="240" w:after="80"/>
        <w:jc w:val="left"/>
      </w:pPr>
      <w:r>
        <w:rPr>
          <w:rFonts w:ascii="Times New Roman" w:hAnsi="Times New Roman" w:cs="Times New Roman" w:eastAsia="Times New Roman"/>
          <w:b/>
          <w:sz w:val="28"/>
        </w:rPr>
        <w:t>Uno. Statuto della scheda, lo strumento e la disciplina epistemica</w:t>
      </w:r>
    </w:p>
    <w:p>
      <w:pPr>
        <w:spacing w:line="276" w:lineRule="auto" w:before="0" w:after="0"/>
        <w:ind w:firstLine="425"/>
        <w:jc w:val="both"/>
      </w:pPr>
      <w:r>
        <w:rPr>
          <w:rFonts w:ascii="Times New Roman" w:hAnsi="Times New Roman" w:cs="Times New Roman" w:eastAsia="Times New Roman"/>
          <w:b w:val="0"/>
          <w:sz w:val="24"/>
        </w:rPr>
        <w:t>Questa scheda registra l'esito di una passata di estrazione automatica condotta sull'intero corpus testuale del Registro allo scopo, dichiarato nella Metodologia, di far emergere dal basso le co-occorrenze anomale fra entità appartenenti a domini di potere distinti. Lo strumento è la Mutua Informazione Puntuale, che misura quanto la frequenza con cui due entità compaiono nella stessa finestra di centosessanta parole ecceda la frequenza attesa se le due comparse fossero indipendenti. Un valore elevato non dice che fra i due nodi esista una relazione: dice che la loro vicinanza testuale è statisticamente improbabile, e quindi merita di essere guardata.</w:t>
      </w:r>
    </w:p>
    <w:p>
      <w:pPr>
        <w:spacing w:line="276" w:lineRule="auto" w:before="0" w:after="0"/>
        <w:ind w:firstLine="425"/>
        <w:jc w:val="both"/>
      </w:pPr>
      <w:r>
        <w:rPr>
          <w:rFonts w:ascii="Times New Roman" w:hAnsi="Times New Roman" w:cs="Times New Roman" w:eastAsia="Times New Roman"/>
          <w:b w:val="0"/>
          <w:sz w:val="24"/>
        </w:rPr>
        <w:t xml:space="preserve">Ne discende la regola di lettura che governa l'intera scheda, e che va enunciata prima di ogni risultato per non incorrere nel Pollo di Popper. La co-occorrenza in finestra è, di per sé, un indizio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una coincidenza da verificare, non una prova. Il suo valore è duplice e opposto a seconda dei casi. Dove il segnale riscopre un nesso già documentato da tre fonti indipendenti, esso non aggiunge conoscenza ma valida il metodo, dimostrando che la macchina, cieca rispetto alle tesi, ritrova ciò che il diritto ha già accertato. Dove invece il segnale illumina un accostamento poco battuto, esso non conclude nulla e si limita a produrre una pista, che sale di livello soltanto se la triangolazione documentale la conferma. La macchina, in altre parole, è un cane da tartufo, non un giudice.</w:t>
      </w:r>
    </w:p>
    <w:p>
      <w:pPr>
        <w:keepNext/>
        <w:spacing w:before="240" w:after="80"/>
        <w:jc w:val="left"/>
      </w:pPr>
      <w:r>
        <w:rPr>
          <w:rFonts w:ascii="Times New Roman" w:hAnsi="Times New Roman" w:cs="Times New Roman" w:eastAsia="Times New Roman"/>
          <w:b/>
          <w:sz w:val="28"/>
        </w:rPr>
        <w:t>Due. Il perimetro computazionale e l'esclusione dei registri auto-referenziali</w:t>
      </w:r>
    </w:p>
    <w:p>
      <w:pPr>
        <w:spacing w:line="276" w:lineRule="auto" w:before="0" w:after="0"/>
        <w:ind w:firstLine="425"/>
        <w:jc w:val="both"/>
      </w:pPr>
      <w:r>
        <w:rPr>
          <w:rFonts w:ascii="Times New Roman" w:hAnsi="Times New Roman" w:cs="Times New Roman" w:eastAsia="Times New Roman"/>
          <w:b w:val="0"/>
          <w:sz w:val="24"/>
        </w:rPr>
        <w:t>La passata ha analizzato centocinquantuno file di testo, per quattro milioni e settecentocinquantaquattromila parole distribuite in ventottomilacinquecentotrentacinque finestre, generando ventiseimilanovecentonovantadue coppie con co-occorrenza pari o superiore a sei. Un filtro di rumore, tarato sulla densità di sigle di due lettere estranee al vocabolario, ha preventivamente scartato i file binari e degradati, e con essi cinque documenti che meritano una nota, perché la loro esclusione non è un difetto ma un accorgimento metodologico.</w:t>
      </w:r>
    </w:p>
    <w:p>
      <w:pPr>
        <w:spacing w:line="276" w:lineRule="auto" w:before="0" w:after="0"/>
        <w:ind w:firstLine="425"/>
        <w:jc w:val="both"/>
      </w:pPr>
      <w:r>
        <w:rPr>
          <w:rFonts w:ascii="Times New Roman" w:hAnsi="Times New Roman" w:cs="Times New Roman" w:eastAsia="Times New Roman"/>
          <w:b w:val="0"/>
          <w:sz w:val="24"/>
        </w:rPr>
        <w:t>I cinque esclusi sono i grandi registri cumulativi dell'opera stessa, le edizioni omnicomprensive V54, V55 e V58 e i due estratti maggiori. Essi sono stati scartati perché saturi delle sigle di dominio da D1 a D9, che il filtro legge come densità anomala di bigrammi maiuscoli. L'effetto è provvidenziale: tenendo fuori la sintesi che l'opera ha già prodotto su sé stessa, la passata scopre i pattern nel corpus distribuito delle fonti anziché rispecchiare le proprie conclusioni pregresse. La riprova è nella classifica delle sigle, che nell'aggregato pulito è dominata da entità reali — la legge, il Partito Comunista, le Brigate Rosse, il SID, la CIA — e non più dai codici di dominio del Registro. È l'estrazione bottom-up nella sua forma più rigorosa: le premesse dell'analista sono state materialmente rimosse dal campione.</w:t>
      </w:r>
    </w:p>
    <w:p>
      <w:pPr>
        <w:keepNext/>
        <w:spacing w:before="240" w:after="80"/>
        <w:jc w:val="left"/>
      </w:pPr>
      <w:r>
        <w:rPr>
          <w:rFonts w:ascii="Times New Roman" w:hAnsi="Times New Roman" w:cs="Times New Roman" w:eastAsia="Times New Roman"/>
          <w:b/>
          <w:sz w:val="28"/>
        </w:rPr>
        <w:t>Tre. La firma temporale bimodale</w:t>
      </w:r>
    </w:p>
    <w:p>
      <w:pPr>
        <w:spacing w:line="276" w:lineRule="auto" w:before="0" w:after="0"/>
        <w:ind w:firstLine="425"/>
        <w:jc w:val="both"/>
      </w:pPr>
      <w:r>
        <w:rPr>
          <w:rFonts w:ascii="Times New Roman" w:hAnsi="Times New Roman" w:cs="Times New Roman" w:eastAsia="Times New Roman"/>
          <w:b w:val="0"/>
          <w:sz w:val="24"/>
        </w:rPr>
        <w:t xml:space="preserve">La distribuzione degli anni citati è bimodale e conferma l'architettura concentrica dell'opera. Il massimo principale è denso e compatto sugli anni della strategia della tensione, con i vertici del millenovecentosettantaquattro, del settantotto, del settantatré, del settantacinque e del millenovecentottanta, ossia l'arco che va dal golpe strisciante alle stragi. Un secondo addensamento, più recente, risale verso il presente. La lettura corretta non è di continuità ma di ricorsività carsica: due stagioni che il corpus tratta come speculari per struttura,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che la scheda annota e non dà per dimostrata, mantenendo attivo il falsificatore.</w:t>
      </w:r>
    </w:p>
    <w:p>
      <w:pPr>
        <w:keepNext/>
        <w:spacing w:before="240" w:after="80"/>
        <w:jc w:val="left"/>
      </w:pPr>
      <w:r>
        <w:rPr>
          <w:rFonts w:ascii="Times New Roman" w:hAnsi="Times New Roman" w:cs="Times New Roman" w:eastAsia="Times New Roman"/>
          <w:b/>
          <w:sz w:val="28"/>
        </w:rPr>
        <w:t>Quattro. Le convergenze documentate ritrovate: la validazione del metodo</w:t>
      </w:r>
    </w:p>
    <w:p>
      <w:pPr>
        <w:spacing w:line="276" w:lineRule="auto" w:before="0" w:after="0"/>
        <w:ind w:firstLine="425"/>
        <w:jc w:val="both"/>
      </w:pPr>
      <w:r>
        <w:rPr>
          <w:rFonts w:ascii="Times New Roman" w:hAnsi="Times New Roman" w:cs="Times New Roman" w:eastAsia="Times New Roman"/>
          <w:b w:val="0"/>
          <w:sz w:val="24"/>
        </w:rPr>
        <w:t xml:space="preserve">Il primo esito è la riscoperta cieca di nessi che il diritto ha già accertato, e vale come collaudo. Il triangolo finanza-Vaticano-massoneria si accende con nettezza: Calvi con Ortolani, il Banco Ambrosiano con Ortolani, Gelli con Sindona. Sono legami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sorretti da sentenze, atti parlamentari e documentazione bancaria; qui la Mutua Informazione non scopre ma certifica che l'estrazione da quasi cinque milioni di parole ritrova ciò che deve. Lo stesso vale per l'asse golpista, dove Giorgio De Lorenzo, il Piano Solo e il SIFAR si stringono in un unico grappolo, con il Piano Solo agganciato ad Antonio Segni, e per la riemersione del centro Gladio di Capo Marrargiu accanto alla stessa parola Gladio.</w:t>
      </w:r>
    </w:p>
    <w:p>
      <w:pPr>
        <w:spacing w:line="276" w:lineRule="auto" w:before="0" w:after="0"/>
        <w:ind w:firstLine="425"/>
        <w:jc w:val="both"/>
      </w:pPr>
      <w:r>
        <w:rPr>
          <w:rFonts w:ascii="Times New Roman" w:hAnsi="Times New Roman" w:cs="Times New Roman" w:eastAsia="Times New Roman"/>
          <w:b w:val="0"/>
          <w:sz w:val="24"/>
        </w:rPr>
        <w:t xml:space="preserve">Altrettanto netto è l'ancoraggio del potere politico all'apparato informativo: Andreotti attratto tanto da Vito Miceli quanto da Gianadelio Maletti sono co-occorrenze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riscontrate dagli atti giudiziari sul SID. Il quadrante Borghese-Miceli, cuore del tentato golpe del millenovecentsettanta, riemerge con la medesima forza. In tutti questi casi la scheda non avanza tesi: prende atto che lo strumento, privato delle premesse, converge sui nodi canonici della Repubblica occulta, e ne trae la sola conclusione lecita, cioè che il dizionario di dominio è ben tarato e il metodo affidabile.</w:t>
      </w:r>
    </w:p>
    <w:p>
      <w:pPr>
        <w:keepNext/>
        <w:spacing w:before="240" w:after="80"/>
        <w:jc w:val="left"/>
      </w:pPr>
      <w:r>
        <w:rPr>
          <w:rFonts w:ascii="Times New Roman" w:hAnsi="Times New Roman" w:cs="Times New Roman" w:eastAsia="Times New Roman"/>
          <w:b/>
          <w:sz w:val="28"/>
        </w:rPr>
        <w:t>Cinque. Il grappolo Giovannone e il lodo Moro</w:t>
      </w:r>
    </w:p>
    <w:p>
      <w:pPr>
        <w:spacing w:line="276" w:lineRule="auto" w:before="0" w:after="0"/>
        <w:ind w:firstLine="425"/>
        <w:jc w:val="both"/>
      </w:pPr>
      <w:r>
        <w:rPr>
          <w:rFonts w:ascii="Times New Roman" w:hAnsi="Times New Roman" w:cs="Times New Roman" w:eastAsia="Times New Roman"/>
          <w:b w:val="0"/>
          <w:sz w:val="24"/>
        </w:rPr>
        <w:t>Dove il segnale illumina un accostamento meno battuto, la scheda produce piste da verificare. La più coesa ruota attorno a un solo ufficiale del SID, Stefano Giovannone, che la macchina lega simultaneamente ad Arafat, all'OLP, al Fronte Popolare per la Liberazione della Palestina, a Wadi Haddad e ad Abu Nidal. La densità di questo grappolo attorno a un unico nodo-cerniera è precisamente ciò che la Metodologia chiama alta betweenness: un intermediario la cui rimozione disconnetterebbe il dominio dell'intelligence dal dominio del terrorismo internazionale. Il complesso è la traccia computazionale del cosiddetto lodo Moro, l'accordo di non belligeranza fra apparati italiani e organizzazioni palestinesi.</w:t>
      </w:r>
    </w:p>
    <w:p>
      <w:pPr>
        <w:spacing w:line="276" w:lineRule="auto" w:before="0" w:after="0"/>
        <w:ind w:firstLine="425"/>
        <w:jc w:val="both"/>
      </w:pPr>
      <w:r>
        <w:rPr>
          <w:rFonts w:ascii="Times New Roman" w:hAnsi="Times New Roman" w:cs="Times New Roman" w:eastAsia="Times New Roman"/>
          <w:b w:val="0"/>
          <w:sz w:val="24"/>
        </w:rPr>
        <w:t xml:space="preserve">Il nesso, allo stato,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sorretto da testimonianze convergenti e da documentazione parlamentare, ma non ancora dalla triangolazione piena su ogni singolo arco. I legami più laterali del grappolo, in particolare quelli che toccano Abu Nidal, restano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vanno portati al vaglio delle tre fonti prima di qualsiasi promozione. La scheda li registra come pista aperta, agganciata alla monografia sul Safari Club e a quella araba, e non come fatto acquisito.</w:t>
      </w:r>
    </w:p>
    <w:p>
      <w:pPr>
        <w:keepNext/>
        <w:spacing w:before="240" w:after="80"/>
        <w:jc w:val="left"/>
      </w:pPr>
      <w:r>
        <w:rPr>
          <w:rFonts w:ascii="Times New Roman" w:hAnsi="Times New Roman" w:cs="Times New Roman" w:eastAsia="Times New Roman"/>
          <w:b/>
          <w:sz w:val="28"/>
        </w:rPr>
        <w:t>Sei. Il sistema Cefis come nodo di intermediazione emergente</w:t>
      </w:r>
    </w:p>
    <w:p>
      <w:pPr>
        <w:spacing w:line="276" w:lineRule="auto" w:before="0" w:after="0"/>
        <w:ind w:firstLine="425"/>
        <w:jc w:val="both"/>
      </w:pPr>
      <w:r>
        <w:rPr>
          <w:rFonts w:ascii="Times New Roman" w:hAnsi="Times New Roman" w:cs="Times New Roman" w:eastAsia="Times New Roman"/>
          <w:b w:val="0"/>
          <w:sz w:val="24"/>
        </w:rPr>
        <w:t>L'esito più interessante dell'aggregato pulito è la promozione di Eugenio Cefis a nodo di intermediazione di primo piano. La macchina lo lega, attraverso domini diversi, a Fanfani nel dominio politico, a Gelli nella massoneria, a Maletti nell'intelligence, a Montanelli nel dominio dei media e a Sindona nella finanza. Un nodo che tocca contemporaneamente cinque domini con archi tutti anomali è, per definizione della scheda Hub Analysis, un candidato ad altissima centralità relazionale, indipendentemente dalla sua visibilità pubblica.</w:t>
      </w:r>
    </w:p>
    <w:p>
      <w:pPr>
        <w:spacing w:line="276" w:lineRule="auto" w:before="0" w:after="0"/>
        <w:ind w:firstLine="425"/>
        <w:jc w:val="both"/>
      </w:pPr>
      <w:r>
        <w:rPr>
          <w:rFonts w:ascii="Times New Roman" w:hAnsi="Times New Roman" w:cs="Times New Roman" w:eastAsia="Times New Roman"/>
          <w:b w:val="0"/>
          <w:sz w:val="24"/>
        </w:rPr>
        <w:t xml:space="preserve">Il segnale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nella sua forma aggregata e chiede cautela, perché la co-occorrenza non discrimina fra collusione, strumentalizzazione e semplice contiguità cronologica. Ma la sua struttura a stella, che irradia verso i vertici di cinque sistemi distinti, è isomorfa a quella già documentata per Gelli e per la rete stay-behind, e come tale rientra nel Pattern dell'isomorfismo di rete. Il sistema Cefis va perciò iscritto fra le sotto-lacune diagnostiche da istruire con una scheda dedicata, dove ciascuno dei cinque archi sia sottoposto alla classificazione Savona riga per riga.</w:t>
      </w:r>
    </w:p>
    <w:p>
      <w:pPr>
        <w:keepNext/>
        <w:spacing w:before="240" w:after="80"/>
        <w:jc w:val="left"/>
      </w:pPr>
      <w:r>
        <w:rPr>
          <w:rFonts w:ascii="Times New Roman" w:hAnsi="Times New Roman" w:cs="Times New Roman" w:eastAsia="Times New Roman"/>
          <w:b/>
          <w:sz w:val="28"/>
        </w:rPr>
        <w:t>Sette. I tre giacimenti codificati e i loro archi ora mappati</w:t>
      </w:r>
    </w:p>
    <w:p>
      <w:pPr>
        <w:spacing w:line="276" w:lineRule="auto" w:before="0" w:after="0"/>
        <w:ind w:firstLine="425"/>
        <w:jc w:val="both"/>
      </w:pPr>
      <w:r>
        <w:rPr>
          <w:rFonts w:ascii="Times New Roman" w:hAnsi="Times New Roman" w:cs="Times New Roman" w:eastAsia="Times New Roman"/>
          <w:b w:val="0"/>
          <w:sz w:val="24"/>
        </w:rPr>
        <w:t xml:space="preserve">In esecuzione della decisione di codifica, tre giacimenti prima invisibili al dizionario sono stati promossi a domini e restituiti alla rete come archi mappati anziché come rumore residuo. Il primo è il maccartismo hollywoodiano, precedente statunitense del meccanismo di epurazione: iscritte Hollywood e le organizzazioni della sua industria al dominio dei media, e il comitato per le attività antiamericane al dominio politico, la macchina restituisce l'arco portante del meccanismo, Partito Comunista con Hollywood, con quattrocentotrentatré co-occorrenze, e Hollywood con le attività antiamericane. È il documento speculare della repressione,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nella storiografia statunitense, ora agganciabile al capitolo sul documento speculare USA.</w:t>
      </w:r>
    </w:p>
    <w:p>
      <w:pPr>
        <w:spacing w:line="276" w:lineRule="auto" w:before="0" w:after="0"/>
        <w:ind w:firstLine="425"/>
        <w:jc w:val="both"/>
      </w:pPr>
      <w:r>
        <w:rPr>
          <w:rFonts w:ascii="Times New Roman" w:hAnsi="Times New Roman" w:cs="Times New Roman" w:eastAsia="Times New Roman"/>
          <w:b w:val="0"/>
          <w:sz w:val="24"/>
        </w:rPr>
        <w:t xml:space="preserve">Il secondo giacimento è quello dei comitati clandestini della NATO. Iscritti all'intelligence l'Allied Clandestine Committee e il Clandestine Planning Committee, la macchina li lega fra loro e poi a SHAPE, a SACEUR e allo stesso centro Gladio di Capo Marrargiu, con valori di Mutua Informazione fra i più alti dell'intera passata. È l'ossatura di comando della rete stay-behind che affiora come struttura, nesso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nella relazione parlamentare sul Gladio. Il terzo giacimento è il fronte narcotrafficante messicano: iscritti alla criminalità organizzata il cartello Jalisco Nueva Generación, quello di Sinaloa e Los Zetas, la macchina ne ricostruisce la guerra interna con cento co-occorrenze fra i due cartelli maggiori. La codifica ha inoltre prodotto un dividendo non previsto: l'iscrizione dell'FBI all'intelligence ha convertito decine di coppie orfane in un asse documentato fra polizia federale e mafia, dall'inchiesta Pizza Connection alle famiglie newyorkesi fino alla collaborazione con Falcone.</w:t>
      </w:r>
    </w:p>
    <w:p>
      <w:pPr>
        <w:keepNext/>
        <w:spacing w:before="240" w:after="80"/>
        <w:jc w:val="left"/>
      </w:pPr>
      <w:r>
        <w:rPr>
          <w:rFonts w:ascii="Times New Roman" w:hAnsi="Times New Roman" w:cs="Times New Roman" w:eastAsia="Times New Roman"/>
          <w:b/>
          <w:sz w:val="28"/>
        </w:rPr>
        <w:t>Otto. I nuovi giacimenti emersi e le sotto-lacune per la prossima iterazione</w:t>
      </w:r>
    </w:p>
    <w:p>
      <w:pPr>
        <w:spacing w:line="276" w:lineRule="auto" w:before="0" w:after="0"/>
        <w:ind w:firstLine="425"/>
        <w:jc w:val="both"/>
      </w:pPr>
      <w:r>
        <w:rPr>
          <w:rFonts w:ascii="Times New Roman" w:hAnsi="Times New Roman" w:cs="Times New Roman" w:eastAsia="Times New Roman"/>
          <w:b w:val="0"/>
          <w:sz w:val="24"/>
        </w:rPr>
        <w:t>La passata sull'aggregato pulito ha fatto affiorare, oltre ai tre codificati, altrettanti giacimenti fuori-seme che chiedono di essere iscritti nella prossima iterazione. Il primo è la compagnia militare privata russa Wagner, legata alla propria emanazione africana Africa Corps con trentacinque co-occorrenze e Mutua Informazione altissima: è il fronte mercenario contemporaneo, e va mappato come vettore dell'apparato russo. Il secondo è l'International Democrat Union, l'alleanza globale dei partiti conservatori, che ricorre densamente nel quadrante recente e va iscritta al dominio politico come cerniera del riallineamento internazionale della destra. Il terzo è la Hollywood Anti-Nazi League, che estende all'indietro il giacimento maccartista.</w:t>
      </w:r>
    </w:p>
    <w:p>
      <w:pPr>
        <w:spacing w:line="276" w:lineRule="auto" w:before="0" w:after="0"/>
        <w:ind w:firstLine="425"/>
        <w:jc w:val="both"/>
      </w:pPr>
      <w:r>
        <w:rPr>
          <w:rFonts w:ascii="Times New Roman" w:hAnsi="Times New Roman" w:cs="Times New Roman" w:eastAsia="Times New Roman"/>
          <w:b w:val="0"/>
          <w:sz w:val="24"/>
        </w:rPr>
        <w:t xml:space="preserve">A queste si aggiunge la riemersione di Giorgio Conforto, la cui co-occorrenza con sé stesso nelle diverse grafie segnala un nodo già noto al Registro, e la comparsa di residui di tabella elettorale — seggi, percentuali, preferenze — che non sono rumore ma la spia di un giacimento di dati sul rendimento dei partiti populisti europei, da trattare come serie strutturata e non come prosa. Tutte queste voci sono registrate come sotto-lacune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aperte e non chiuse, in attesa della codifica e del rilancio dell'estrazione.</w:t>
      </w:r>
    </w:p>
    <w:p>
      <w:pPr>
        <w:keepNext/>
        <w:spacing w:before="240" w:after="80"/>
        <w:jc w:val="left"/>
      </w:pPr>
      <w:r>
        <w:rPr>
          <w:rFonts w:ascii="Times New Roman" w:hAnsi="Times New Roman" w:cs="Times New Roman" w:eastAsia="Times New Roman"/>
          <w:b/>
          <w:sz w:val="28"/>
        </w:rPr>
        <w:t>Nove. Verdetto e limiti dichiarati</w:t>
      </w:r>
    </w:p>
    <w:p>
      <w:pPr>
        <w:spacing w:line="276" w:lineRule="auto" w:before="0" w:after="0"/>
        <w:ind w:firstLine="425"/>
        <w:jc w:val="both"/>
      </w:pPr>
      <w:r>
        <w:rPr>
          <w:rFonts w:ascii="Times New Roman" w:hAnsi="Times New Roman" w:cs="Times New Roman" w:eastAsia="Times New Roman"/>
          <w:b w:val="0"/>
          <w:sz w:val="24"/>
        </w:rPr>
        <w:t>Il verdetto della scheda è duplice. Sul piano del metodo, la passata è riuscita: privata delle proprie premesse mediante l'esclusione dei registri auto-referenziali, la macchina ha ritrovato per via cieca i nodi canonici accertati dal diritto, il che vale come collaudo del dizionario e della procedura. Sul piano del contenuto, essa non ha prodotto alcuna prova nuova, come per sua natura non poteva, ma ha localizzato tre ordini di piste — il grappolo Giovannone, il sistema Cefis e i giacimenti fuori-seme — che salgono di livello soltanto attraverso la triangolazione documentale.</w:t>
      </w:r>
    </w:p>
    <w:p>
      <w:pPr>
        <w:spacing w:line="276" w:lineRule="auto" w:before="0" w:after="0"/>
        <w:ind w:firstLine="425"/>
        <w:jc w:val="both"/>
      </w:pPr>
      <w:r>
        <w:rPr>
          <w:rFonts w:ascii="Times New Roman" w:hAnsi="Times New Roman" w:cs="Times New Roman" w:eastAsia="Times New Roman"/>
          <w:b w:val="0"/>
          <w:sz w:val="24"/>
        </w:rPr>
        <w:t xml:space="preserve">I limiti vanno dichiarati con la stessa franchezza. La co-occorrenza in finestra non discrimina la direzione né la natura del legame, e resta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finché non intervengano le fonti. L'apparente centralità del dominio della magistratura è in parte un artefatto di provenienza, poiché il corpus è edificato su sentenze e relazioni, e il dominio che documenta appare centrale anche solo perché documenta: è il rischio del Pollo di Popper nella sua forma più sottile, e la scheda lo nomina per neutralizzarlo. Ogni segnale qui registrato è pertanto un'ipotesi falsificabile, corredata dall'indicazione di ciò che servirebbe a confutarla, in conformità con lo standard probatorio dell'opera.</w:t>
      </w:r>
    </w:p>
    <w:p/>
    <w:p>
      <w:pPr>
        <w:spacing w:line="276" w:lineRule="auto" w:before="0" w:after="0"/>
        <w:ind w:firstLine="425"/>
        <w:jc w:val="both"/>
      </w:pPr>
      <w:r>
        <w:rPr>
          <w:rFonts w:ascii="Times New Roman" w:hAnsi="Times New Roman" w:cs="Times New Roman" w:eastAsia="Times New Roman"/>
          <w:b w:val="0"/>
          <w:sz w:val="24"/>
        </w:rPr>
        <w:t>Luigi De Michele</w:t>
      </w:r>
    </w:p>
    <w:p>
      <w:pPr>
        <w:spacing w:line="276" w:lineRule="auto" w:before="0" w:after="0"/>
        <w:ind w:firstLine="425"/>
        <w:jc w:val="both"/>
      </w:pPr>
      <w:r>
        <w:rPr>
          <w:rFonts w:ascii="Times New Roman" w:hAnsi="Times New Roman" w:cs="Times New Roman" w:eastAsia="Times New Roman"/>
          <w:b w:val="0"/>
          <w:sz w:val="24"/>
        </w:rPr>
        <w:t>Colophon. Scheda prodotta il primo agosto duemilaventisei come esito della passata di estrazione a Mutua Informazione Puntuale sul corpus del Registro, con dizionario di dominio esteso a trecentotrentacinque entità su dieci domini. Perimetro: centocinquantuno file validi, quattro milioni e settecentocinquantaquattromila parole, ventottomilacinquecentotrentacinque finestre, ventiseimilanovecentonovantadue coppie. Standard probatorio Savona applicato riga per riga. Lacune diagnostiche aperte: sistema Cefis; grappolo Giovannone nei suoi archi laterali; giacimenti Wagner, International Democrat Union e Hollywood Anti-Nazi League da codificare; serie elettorale populista europea da strutturare.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