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276" w:lineRule="auto" w:before="0" w:after="80"/>
        <w:ind w:firstLine="0"/>
        <w:jc w:val="center"/>
      </w:pPr>
      <w:r>
        <w:rPr>
          <w:rFonts w:ascii="Times New Roman" w:hAnsi="Times New Roman" w:cs="Times New Roman" w:eastAsia="Times New Roman"/>
          <w:b/>
          <w:sz w:val="24"/>
        </w:rPr>
        <w:t>DOSSIER</w:t>
      </w:r>
    </w:p>
    <w:p>
      <w:pPr>
        <w:spacing w:line="276" w:lineRule="auto" w:before="0" w:after="80"/>
        <w:ind w:firstLine="0"/>
        <w:jc w:val="center"/>
      </w:pPr>
      <w:r>
        <w:rPr>
          <w:rFonts w:ascii="Times New Roman" w:hAnsi="Times New Roman" w:cs="Times New Roman" w:eastAsia="Times New Roman"/>
          <w:b/>
          <w:sz w:val="24"/>
        </w:rPr>
        <w:t>I MAESTRI COSMICI DELLA AETHERIUS SOCIETY</w:t>
      </w:r>
    </w:p>
    <w:p>
      <w:pPr>
        <w:spacing w:line="276" w:lineRule="auto" w:before="0" w:after="80"/>
        <w:ind w:firstLine="0"/>
        <w:jc w:val="center"/>
      </w:pPr>
      <w:r>
        <w:rPr>
          <w:rFonts w:ascii="Times New Roman" w:hAnsi="Times New Roman" w:cs="Times New Roman" w:eastAsia="Times New Roman"/>
          <w:b/>
          <w:sz w:val="24"/>
        </w:rPr>
        <w:t>E DIECI TESTIMONIANZE REALI</w:t>
      </w:r>
    </w:p>
    <w:p/>
    <w:p>
      <w:pPr>
        <w:spacing w:line="276" w:lineRule="auto" w:before="0" w:after="80"/>
        <w:ind w:firstLine="0"/>
        <w:jc w:val="center"/>
      </w:pPr>
      <w:r>
        <w:rPr>
          <w:rFonts w:ascii="Times New Roman" w:hAnsi="Times New Roman" w:cs="Times New Roman" w:eastAsia="Times New Roman"/>
          <w:b w:val="0"/>
          <w:sz w:val="24"/>
        </w:rPr>
        <w:t>Cinque voci interne, tre dallo studio accademico, due dal fronte critico</w:t>
      </w:r>
    </w:p>
    <w:p>
      <w:pPr>
        <w:spacing w:line="276" w:lineRule="auto" w:before="0" w:after="80"/>
        <w:ind w:firstLine="0"/>
        <w:jc w:val="center"/>
      </w:pPr>
      <w:r>
        <w:rPr>
          <w:rFonts w:ascii="Times New Roman" w:hAnsi="Times New Roman" w:cs="Times New Roman" w:eastAsia="Times New Roman"/>
          <w:b w:val="0"/>
          <w:sz w:val="24"/>
        </w:rPr>
        <w:t>Con classificazione probatoria per ciascuna scheda</w:t>
      </w:r>
    </w:p>
    <w:p/>
    <w:p/>
    <w:p>
      <w:pPr>
        <w:spacing w:line="276" w:lineRule="auto" w:before="0" w:after="80"/>
        <w:ind w:firstLine="0"/>
        <w:jc w:val="center"/>
      </w:pPr>
      <w:r>
        <w:rPr>
          <w:rFonts w:ascii="Times New Roman" w:hAnsi="Times New Roman" w:cs="Times New Roman" w:eastAsia="Times New Roman"/>
          <w:b w:val="0"/>
          <w:sz w:val="24"/>
        </w:rPr>
        <w:t>Agosto 2026</w:t>
      </w:r>
    </w:p>
    <w:p>
      <w:r>
        <w:br w:type="page"/>
      </w:r>
    </w:p>
    <w:p>
      <w:pPr>
        <w:spacing w:line="276" w:lineRule="auto" w:before="320" w:after="160"/>
        <w:ind w:firstLine="0"/>
        <w:jc w:val="both"/>
      </w:pPr>
      <w:r>
        <w:rPr>
          <w:rFonts w:ascii="Times New Roman" w:hAnsi="Times New Roman" w:cs="Times New Roman" w:eastAsia="Times New Roman"/>
          <w:b/>
          <w:sz w:val="24"/>
        </w:rPr>
        <w:t>Avvertenza metodologica</w:t>
      </w:r>
    </w:p>
    <w:p>
      <w:pPr>
        <w:spacing w:line="276" w:lineRule="auto" w:before="0" w:after="120"/>
        <w:ind w:firstLine="425"/>
        <w:jc w:val="both"/>
      </w:pPr>
      <w:r>
        <w:rPr>
          <w:rFonts w:ascii="Times New Roman" w:hAnsi="Times New Roman" w:cs="Times New Roman" w:eastAsia="Times New Roman"/>
          <w:b w:val="0"/>
          <w:sz w:val="24"/>
        </w:rPr>
        <w:t xml:space="preserve">Il presente dossier applica una scala probatoria a tre livelli mutuata dal sistema di triangolazione delle fonti. Il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designa quanto risulta da almeno tre fonti indipendenti di natura eterogenea, oppure da un atto documentale di natura pubblica e verificabile. Il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designa quanto risulta da due fonti indipendenti oppure da una singola fonte di alta affidabilita, tipicamente accademica sottoposta a revisione paritaria. Il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designa quanto poggia su una fonte unica, autoprodotta o non verificabile in modo indipendente.</w:t>
      </w:r>
    </w:p>
    <w:p>
      <w:pPr>
        <w:spacing w:line="276" w:lineRule="auto" w:before="0" w:after="120"/>
        <w:ind w:firstLine="425"/>
        <w:jc w:val="both"/>
      </w:pPr>
      <w:r>
        <w:rPr>
          <w:rFonts w:ascii="Times New Roman" w:hAnsi="Times New Roman" w:cs="Times New Roman" w:eastAsia="Times New Roman"/>
          <w:b w:val="0"/>
          <w:sz w:val="24"/>
        </w:rPr>
        <w:t xml:space="preserve">Su questo materiale la scala va applicata con una distinzione che altrove non sarebbe necessaria, e che costituisce il presupposto di leggibilita dell'intero dossier. Per ogni testimonianza vanno separati due oggetti probatori distinti. Il primo e l'esistenza della testimonianza, cioe il fatto accertabile che una determinata persona abbia dichiarato una determinata cosa in una determinata data e sede: questo oggetto e quasi sempre collocabile al livello A o al livello B, perche il libro esiste, la registrazione esiste, il documento d'archivio esiste. Il secondo e la veridicita del contenuto dichiarato, cioe l'effettiva avvenuta comunicazione con intelligenze extraterrestri: questo oggetto resta stabilmente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non e suscettibile di elevazione, perche non esiste alcuna procedura che possa confermarlo o smentirlo per via indipendente.</w:t>
      </w:r>
    </w:p>
    <w:p>
      <w:pPr>
        <w:spacing w:line="276" w:lineRule="auto" w:before="0" w:after="120"/>
        <w:ind w:firstLine="425"/>
        <w:jc w:val="both"/>
      </w:pPr>
      <w:r>
        <w:rPr>
          <w:rFonts w:ascii="Times New Roman" w:hAnsi="Times New Roman" w:cs="Times New Roman" w:eastAsia="Times New Roman"/>
          <w:b w:val="0"/>
          <w:sz w:val="24"/>
        </w:rPr>
        <w:t>La confusione fra i due oggetti e il difetto ricorrente della letteratura ufologica, tanto apologetica quanto denigratoria: la prima tratta l'esistenza della testimonianza come prova del contenuto, la seconda tratta l'inverificabilita del contenuto come motivo per ignorare l'esistenza della testimonianza. Il dossier tiene i due piani separati in ogni scheda.</w:t>
      </w:r>
    </w:p>
    <w:p>
      <w:pPr>
        <w:spacing w:line="276" w:lineRule="auto" w:before="0" w:after="120"/>
        <w:ind w:firstLine="425"/>
        <w:jc w:val="both"/>
      </w:pPr>
      <w:r>
        <w:rPr>
          <w:rFonts w:ascii="Times New Roman" w:hAnsi="Times New Roman" w:cs="Times New Roman" w:eastAsia="Times New Roman"/>
          <w:b w:val="0"/>
          <w:sz w:val="24"/>
        </w:rPr>
        <w:t>Va infine registrata una lacuna di metodo che non e stato possibile colmare. Le testimonianze interne provengono in modo pressoche integrale dall'apparato editoriale della societa stessa, che pubblica i libri dei propri dirigenti, cura le riviste in cui compaiono, gestisce i podcast e i siti che li ospitano. Non esiste, per questo campo, un archivio di deposizioni raccolte da terzi con procedura neutrale. La genealogia delle fonti interne, se si applica la regola del collasso delle catene, si riduce quindi a una sola catena editoriale, e nessun accumulo di titoli puo elevarla oltre il livello che le compete.</w:t>
      </w:r>
    </w:p>
    <w:p>
      <w:r>
        <w:br w:type="page"/>
      </w:r>
    </w:p>
    <w:p>
      <w:pPr>
        <w:spacing w:line="276" w:lineRule="auto" w:before="320" w:after="160"/>
        <w:ind w:firstLine="0"/>
        <w:jc w:val="both"/>
      </w:pPr>
      <w:r>
        <w:rPr>
          <w:rFonts w:ascii="Times New Roman" w:hAnsi="Times New Roman" w:cs="Times New Roman" w:eastAsia="Times New Roman"/>
          <w:b/>
          <w:sz w:val="24"/>
        </w:rPr>
        <w:t>Parte prima. I Maestri Cosmici</w:t>
      </w:r>
    </w:p>
    <w:p>
      <w:pPr>
        <w:spacing w:line="276" w:lineRule="auto" w:before="0" w:after="120"/>
        <w:ind w:firstLine="425"/>
        <w:jc w:val="both"/>
      </w:pPr>
      <w:r>
        <w:rPr>
          <w:rFonts w:ascii="Times New Roman" w:hAnsi="Times New Roman" w:cs="Times New Roman" w:eastAsia="Times New Roman"/>
          <w:b w:val="0"/>
          <w:sz w:val="24"/>
        </w:rPr>
        <w:t>La categoria dei Maestri Cosmici costituisce il fulcro dottrinale dell'intero sistema di George King e la sua differenza specifica rispetto al contattismo americano coevo. Adamski e Bethurum raccontavano incontri con individui fisici, provvisti di nome, di corpo e di veicolo. King sostiene invece un rapporto con intelligenze che risiedono su piani materiali superiori dei pianeti del sistema solare, non percepibili con i sensi ordinari, e che a suo dire lo raggiungono per rapporto mentale. Il contatto e telepatico e verticale, non fisico e orizzontale. Questa scelta ha una conseguenza rilevante e probabilmente calcolata: sottrae il sistema alla verifica fotografica che ha distrutto la reputazione dei contattisti americani.</w:t>
      </w:r>
    </w:p>
    <w:p>
      <w:pPr>
        <w:spacing w:line="276" w:lineRule="auto" w:before="0" w:after="120"/>
        <w:ind w:firstLine="425"/>
        <w:jc w:val="both"/>
      </w:pPr>
      <w:r>
        <w:rPr>
          <w:rFonts w:ascii="Times New Roman" w:hAnsi="Times New Roman" w:cs="Times New Roman" w:eastAsia="Times New Roman"/>
          <w:b w:val="0"/>
          <w:sz w:val="24"/>
        </w:rPr>
        <w:t>Il Maestro eponimo e Aetherius, descritto come intelligenza proveniente da un piano superiore di Venere. Il nome e dichiarato pseudonimo e viene ricondotto a una radice greca con il significato di viaggiatore attraverso gli eteri dello spazio. E questo Maestro che l'otto maggio del millenovecentocinquantaquattro avrebbe rivolto a King, nel suo appartamento londinese, la frase che nella societa e chiamata semplicemente il Comando: preparati, devi diventare la voce del Parlamento Interplanetario. Pochi giorni dopo, secondo il racconto istituzionale, un maestro di yoga di fama mondiale, in tutto e per tutto fisico, sarebbe entrato e uscito attraverso una porta chiusa a chiave senza aprirla, impartendo a King esercizi specifici per stabilire il rapporto mentale.</w:t>
      </w:r>
    </w:p>
    <w:p>
      <w:pPr>
        <w:spacing w:line="276" w:lineRule="auto" w:before="0" w:after="120"/>
        <w:ind w:firstLine="425"/>
        <w:jc w:val="both"/>
      </w:pPr>
      <w:r>
        <w:rPr>
          <w:rFonts w:ascii="Times New Roman" w:hAnsi="Times New Roman" w:cs="Times New Roman" w:eastAsia="Times New Roman"/>
          <w:b w:val="0"/>
          <w:sz w:val="24"/>
        </w:rPr>
        <w:t>Il secondo Maestro per rilievo e Mars Sector 6, presentato come proveniente da un piano materiale superiore di Marte, responsabile del Satellite Numero Tre e talmente avanzato da essere ormai un Signore del Karma. La societa attribuisce a lui il testo delle Nove Liberta, pubblicato nel millenovecentosessantatre, e ne descrive il tono come imperativo e definito. Accanto compare Jupiter 92, e soprattutto il Maestro Gesu, che nel sistema non e il figlio unigenito ma un Maestro Cosmico proveniente da un piano superiore di Venere, incarnatosi duemila anni fa per assistere l'umanita; a lui e attribuita la dettatura delle Dodici Benedizioni nel millenovecentocinquantotto, che costituiscono il testo liturgico centrale della societa.</w:t>
      </w:r>
    </w:p>
    <w:p>
      <w:pPr>
        <w:spacing w:line="276" w:lineRule="auto" w:before="0" w:after="120"/>
        <w:ind w:firstLine="425"/>
        <w:jc w:val="both"/>
      </w:pPr>
      <w:r>
        <w:rPr>
          <w:rFonts w:ascii="Times New Roman" w:hAnsi="Times New Roman" w:cs="Times New Roman" w:eastAsia="Times New Roman"/>
          <w:b w:val="0"/>
          <w:sz w:val="24"/>
        </w:rPr>
        <w:t>Il sistema comprende inoltre una gerarchia terrestre distinta da quella cosmica. La Gerarchia Spirituale della Terra include Saint Goo-Ling, il conte di Saint-Germain, il Signore Maitreya e Swami Vivekananda, e coincide in larga misura con la Grande Fratellanza Bianca della tradizione teosofica: e il punto in cui l'innesto sulla teosofia diventa esplicito e riconoscibile. Sopra tutti sta il Logos della Terra, cioe il pianeta stesso inteso come Dea vivente, e il Signore Babaji, che nel racconto interno concede a King il permesso di eseguire Operazione Sunbeam.</w:t>
      </w:r>
    </w:p>
    <w:p>
      <w:pPr>
        <w:spacing w:line="276" w:lineRule="auto" w:before="0" w:after="120"/>
        <w:ind w:firstLine="425"/>
        <w:jc w:val="both"/>
      </w:pPr>
      <w:r>
        <w:rPr>
          <w:rFonts w:ascii="Times New Roman" w:hAnsi="Times New Roman" w:cs="Times New Roman" w:eastAsia="Times New Roman"/>
          <w:b w:val="0"/>
          <w:sz w:val="24"/>
        </w:rPr>
        <w:t>Attorno a questa popolazione ruotano tre dispositivi. Il primo e il Satellite Numero Tre, veicolo che entrerebbe periodicamente in orbita terrestre per irradiare energia: i periodi di orbita coincidono con le finestre chiamate spiritual pushes, durante le quali ogni azione spirituale sarebbe amplificata di un fattore dichiarato. Il secondo e la dottrina di Maldek, pianeta un tempo esistente fra Marte e Giove, distrutto da una guerra globale e ridotto alla fascia degli asteroidi: l'umanita terrestre discenderebbe dai suoi abitanti, il che fornisce al sistema una spiegazione della violenza umana e una datazione, oltre diciotto milioni e seicentomila anni, che ricorre come costante numerica in tutti i testi. Il terzo sono le montagne caricate durante Operazione Starlight fra il millenovecentocinquantotto e il millenovecentosessantuno, descritte come batterie spirituali inesauribili.</w:t>
      </w:r>
    </w:p>
    <w:p>
      <w:pPr>
        <w:spacing w:line="276" w:lineRule="auto" w:before="0" w:after="120"/>
        <w:ind w:firstLine="425"/>
        <w:jc w:val="both"/>
      </w:pPr>
      <w:r>
        <w:rPr>
          <w:rFonts w:ascii="Times New Roman" w:hAnsi="Times New Roman" w:cs="Times New Roman" w:eastAsia="Times New Roman"/>
          <w:b w:val="0"/>
          <w:sz w:val="24"/>
        </w:rPr>
        <w:t>Sul piano dell'analisi storico-religiosa il quadro e leggibile con precisione. La struttura e teosofica nella sostanza e ufologica nel lessico: dove Blavatsky poneva i Mahatma in Tibet, King pone i Maestri su Venere e Marte; dove i teosofi parlavano di piani sottili, King parla di piani materiali superiori dei pianeti. La sostituzione non e casuale e risponde alla congiuntura: negli anni immediatamente successivi al millenovecentoquarantasette lo spazio esterno diventa il luogo culturalmente disponibile per collocare l'alterita superiore, come il Tibet lo era stato nell'Ottocento e come il deserto lo era stato nella tarda antichita. Mikael Rothstein ha descritto per questo la societa come religione sincretica fondata primariamente sulla teosofia, con componenti millenaristiche, new age e ufologiche.</w:t>
      </w:r>
    </w:p>
    <w:p>
      <w:pPr>
        <w:spacing w:line="276" w:lineRule="auto" w:before="0" w:after="120"/>
        <w:ind w:firstLine="425"/>
        <w:jc w:val="both"/>
      </w:pPr>
      <w:r>
        <w:rPr>
          <w:rFonts w:ascii="Times New Roman" w:hAnsi="Times New Roman" w:cs="Times New Roman" w:eastAsia="Times New Roman"/>
          <w:b w:val="0"/>
          <w:sz w:val="24"/>
        </w:rPr>
        <w:t>Una notazione ulteriore riguarda la funzione del pantheon. I Maestri non chiedono adorazione e non promettono salvezza individuale: assegnano compiti. L'intero apparato rituale della societa consiste nell'esecuzione di missioni, e i Maestri figurano come coordinatori operativi piu che come divinita. Questa impostazione, che Roy Wallis ha inquadrato definendo King un mistagogo, cioe dispensatore di una salvezza per via magica, spiega la longevita istituzionale del gruppo meglio del contenuto delle credenze: un pantheon che assegna lavoro produce organizzazione, un pantheon che promette arrivi produce attesa e, alla scadenza, dissoluzione.</w:t>
      </w:r>
    </w:p>
    <w:p>
      <w:r>
        <w:br w:type="page"/>
      </w:r>
    </w:p>
    <w:p>
      <w:pPr>
        <w:spacing w:line="276" w:lineRule="auto" w:before="320" w:after="160"/>
        <w:ind w:firstLine="0"/>
        <w:jc w:val="both"/>
      </w:pPr>
      <w:r>
        <w:rPr>
          <w:rFonts w:ascii="Times New Roman" w:hAnsi="Times New Roman" w:cs="Times New Roman" w:eastAsia="Times New Roman"/>
          <w:b/>
          <w:sz w:val="24"/>
        </w:rPr>
        <w:t>Parte seconda. Dieci testimonianze</w:t>
      </w:r>
    </w:p>
    <w:p>
      <w:pPr>
        <w:spacing w:line="276" w:lineRule="auto" w:before="320" w:after="160"/>
        <w:ind w:firstLine="0"/>
        <w:jc w:val="both"/>
      </w:pPr>
      <w:r>
        <w:rPr>
          <w:rFonts w:ascii="Times New Roman" w:hAnsi="Times New Roman" w:cs="Times New Roman" w:eastAsia="Times New Roman"/>
          <w:b/>
          <w:sz w:val="24"/>
        </w:rPr>
        <w:t>Sezione interna. Testimonianza uno: George King</w:t>
      </w:r>
    </w:p>
    <w:p>
      <w:pPr>
        <w:spacing w:line="276" w:lineRule="auto" w:before="0" w:after="120"/>
        <w:ind w:firstLine="425"/>
        <w:jc w:val="both"/>
      </w:pPr>
      <w:r>
        <w:rPr>
          <w:rFonts w:ascii="Times New Roman" w:hAnsi="Times New Roman" w:cs="Times New Roman" w:eastAsia="Times New Roman"/>
          <w:b w:val="0"/>
          <w:sz w:val="24"/>
        </w:rPr>
        <w:t>Ruolo: fondatore della Aetherius Society, che si attribuisce la qualifica di canale mentale terrestre primario, Primary Terrestrial Mental Channel. Nato presso Wellington, nello Shropshire, il ventitre gennaio del millenovecentodiciannove, morto nel millenovecentonovantasette. Prima del contatto risulta impiegato come autista di taxi a Londra e praticante intensivo di yoga.</w:t>
      </w:r>
    </w:p>
    <w:p>
      <w:pPr>
        <w:spacing w:line="276" w:lineRule="auto" w:before="0" w:after="120"/>
        <w:ind w:firstLine="425"/>
        <w:jc w:val="both"/>
      </w:pPr>
      <w:r>
        <w:rPr>
          <w:rFonts w:ascii="Times New Roman" w:hAnsi="Times New Roman" w:cs="Times New Roman" w:eastAsia="Times New Roman"/>
          <w:b w:val="0"/>
          <w:sz w:val="24"/>
        </w:rPr>
        <w:t>Fonte: George King, Operation Sunbeam: God's Magic in Action, Aetherius Society, Hollywood, edizione del 1979, prima pubblicazione 1958; e inoltre The Nine Freedoms, 1963, You Are Responsible!, 1961, The Twelve Blessings, 1962, Life on the Planets, 1958. Fonte secondaria di controllo: il programma televisivo prodotto dalla BBC nel 1959, di circa trentadue minuti, in cui King espone in prima persona la propria esperienza.</w:t>
      </w:r>
    </w:p>
    <w:p>
      <w:pPr>
        <w:spacing w:line="276" w:lineRule="auto" w:before="0" w:after="120"/>
        <w:ind w:firstLine="425"/>
        <w:jc w:val="both"/>
      </w:pPr>
      <w:r>
        <w:rPr>
          <w:rFonts w:ascii="Times New Roman" w:hAnsi="Times New Roman" w:cs="Times New Roman" w:eastAsia="Times New Roman"/>
          <w:b w:val="0"/>
          <w:sz w:val="24"/>
        </w:rPr>
        <w:t>Contenuto della testimonianza: King dichiara di avere ricevuto il Comando l'otto maggio del millenovecentocinquantaquattro, di intrattenere da allora un rapporto telepatico stabile con intelligenze extraterrestri, di essere designato da queste come canale mentale numero uno, di avere incontrato individui provenienti da Marte, da Venere e da Saturno. Nel programma della BBC, alla richiesta di una prova, risponde indicando la testimonianza della propria madre. Per Sunbeam dichiara di avere ricevuto la concessione dal Signore Babaji e di avere progettato personalmente le apparecchiature di irradiazione.</w:t>
      </w:r>
    </w:p>
    <w:p>
      <w:pPr>
        <w:spacing w:line="276" w:lineRule="auto" w:before="0" w:after="120"/>
        <w:ind w:firstLine="425"/>
        <w:jc w:val="both"/>
      </w:pPr>
      <w:r>
        <w:rPr>
          <w:rFonts w:ascii="Times New Roman" w:hAnsi="Times New Roman" w:cs="Times New Roman" w:eastAsia="Times New Roman"/>
          <w:b w:val="0"/>
          <w:sz w:val="24"/>
        </w:rPr>
        <w:t xml:space="preserve">Classificazione. Esistenza della testimonianza: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poiche i volumi sono depositati e catalogati, il filmato e conservato negli archivi della BBC ed e stato riversato in rete, e le date di pubblicazione sono verificabili in modo indipendente. Veridicita del contenuto: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irrimediabile, trattandosi di dichiarazione autoreferenziale su esperienza interiore non ripetibile. Va segnalato un elemento di autolimitazione probatoria significativo: la prova invocata da King in televisione, la parola della madre, e la piu debole che potesse addurre, e la circostanza che non ne abbia addotte altre e essa stessa un dato.</w:t>
      </w:r>
    </w:p>
    <w:p>
      <w:pPr>
        <w:spacing w:line="276" w:lineRule="auto" w:before="320" w:after="160"/>
        <w:ind w:firstLine="0"/>
        <w:jc w:val="both"/>
      </w:pPr>
      <w:r>
        <w:rPr>
          <w:rFonts w:ascii="Times New Roman" w:hAnsi="Times New Roman" w:cs="Times New Roman" w:eastAsia="Times New Roman"/>
          <w:b/>
          <w:sz w:val="24"/>
        </w:rPr>
        <w:t>Sezione interna. Testimonianza due: Brian Keneipp</w:t>
      </w:r>
    </w:p>
    <w:p>
      <w:pPr>
        <w:spacing w:line="276" w:lineRule="auto" w:before="0" w:after="120"/>
        <w:ind w:firstLine="425"/>
        <w:jc w:val="both"/>
      </w:pPr>
      <w:r>
        <w:rPr>
          <w:rFonts w:ascii="Times New Roman" w:hAnsi="Times New Roman" w:cs="Times New Roman" w:eastAsia="Times New Roman"/>
          <w:b w:val="0"/>
          <w:sz w:val="24"/>
        </w:rPr>
        <w:t>Ruolo: aiutante personale di King per oltre venti anni, con permanenza continuativa al suo fianco negli ultimi dieci; oggi segretario esecutivo della societa per l'America e vescovo delle Aetherius Churches, oltre che condirettore della rivista Cosmic Voice. Dichiara formazione scientifica e di gestione d'impresa.</w:t>
      </w:r>
    </w:p>
    <w:p>
      <w:pPr>
        <w:spacing w:line="276" w:lineRule="auto" w:before="0" w:after="120"/>
        <w:ind w:firstLine="425"/>
        <w:jc w:val="both"/>
      </w:pPr>
      <w:r>
        <w:rPr>
          <w:rFonts w:ascii="Times New Roman" w:hAnsi="Times New Roman" w:cs="Times New Roman" w:eastAsia="Times New Roman"/>
          <w:b w:val="0"/>
          <w:sz w:val="24"/>
        </w:rPr>
        <w:t>Fonte: Brian C. Keneipp, Operation Earth Light: A Glimpse into the World of the Ascended Masters, Aetherius Society, Hollywood, 2000, ISBN 0937249173; e, in coautoria con Richard Lawrence, The King Who Came to Earth: A Biography, 2019. Fonte complementare: il podcast pubblicato dalla societa il diciotto giugno del 2013, della durata di un'ora, dedicato a Operation Earth Light.</w:t>
      </w:r>
    </w:p>
    <w:p>
      <w:pPr>
        <w:spacing w:line="276" w:lineRule="auto" w:before="0" w:after="120"/>
        <w:ind w:firstLine="425"/>
        <w:jc w:val="both"/>
      </w:pPr>
      <w:r>
        <w:rPr>
          <w:rFonts w:ascii="Times New Roman" w:hAnsi="Times New Roman" w:cs="Times New Roman" w:eastAsia="Times New Roman"/>
          <w:b w:val="0"/>
          <w:sz w:val="24"/>
        </w:rPr>
        <w:t>Contenuto della testimonianza: Keneipp dichiara di avere assistito di persona alle sedute di trasmissione e di riferire, nel volume del 2000, il contenuto di trascrizioni di comunicazioni fra King e i Maestri Ascesi fino a quel momento non pubblicate. Il libro contiene inoltre un resoconto in prima persona qualificato come testimonianza oculare di due antichi ritiri dei Maestri, la spiegazione della sacrificalita della Madre Terra e la datazione della storia umana a oltre diciotto milioni di anni.</w:t>
      </w:r>
    </w:p>
    <w:p>
      <w:pPr>
        <w:spacing w:line="276" w:lineRule="auto" w:before="0" w:after="120"/>
        <w:ind w:firstLine="425"/>
        <w:jc w:val="both"/>
      </w:pPr>
      <w:r>
        <w:rPr>
          <w:rFonts w:ascii="Times New Roman" w:hAnsi="Times New Roman" w:cs="Times New Roman" w:eastAsia="Times New Roman"/>
          <w:b w:val="0"/>
          <w:sz w:val="24"/>
        </w:rPr>
        <w:t xml:space="preserve">Classificazione. Esistenza della testimonianza: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Veridicita del contenuto relativo alle sedute, cioe il fatto che King entrasse in trance e pronunciasse i testi attribuiti ai Maestri in presenza di testimoni: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poiche il fatto e attestato in modo convergente da fonti interne diverse, da registrazioni audio conservate e da osservatori esterni in occasione delle sedute pubbliche; si tratta di un fatto osservabile e distinto dalla sua interpretazione. Veridicita dell'origine extraterrestre dei contenuti pronunciati: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Va registrato il limite strutturale che il testimone e stato per vent'anni in posizione di dipendenza dal soggetto testimoniato e ne dirige oggi l'organizzazione.</w:t>
      </w:r>
    </w:p>
    <w:p>
      <w:pPr>
        <w:spacing w:line="276" w:lineRule="auto" w:before="320" w:after="160"/>
        <w:ind w:firstLine="0"/>
        <w:jc w:val="both"/>
      </w:pPr>
      <w:r>
        <w:rPr>
          <w:rFonts w:ascii="Times New Roman" w:hAnsi="Times New Roman" w:cs="Times New Roman" w:eastAsia="Times New Roman"/>
          <w:b/>
          <w:sz w:val="24"/>
        </w:rPr>
        <w:t>Sezione interna. Testimonianza tre: Richard Lawrence</w:t>
      </w:r>
    </w:p>
    <w:p>
      <w:pPr>
        <w:spacing w:line="276" w:lineRule="auto" w:before="0" w:after="120"/>
        <w:ind w:firstLine="425"/>
        <w:jc w:val="both"/>
      </w:pPr>
      <w:r>
        <w:rPr>
          <w:rFonts w:ascii="Times New Roman" w:hAnsi="Times New Roman" w:cs="Times New Roman" w:eastAsia="Times New Roman"/>
          <w:b w:val="0"/>
          <w:sz w:val="24"/>
        </w:rPr>
        <w:t>Ruolo: segretario esecutivo della societa per l'Europa e l'Africa, con sede a Londra, vescovo anziano delle Aetherius Churches, condirettore di Cosmic Voice; discepolo diretto di King. Autore di una dozzina di volumi e figura mediatica ricorrente, presentato dalla stampa britannica come guru degli ufo.</w:t>
      </w:r>
    </w:p>
    <w:p>
      <w:pPr>
        <w:spacing w:line="276" w:lineRule="auto" w:before="0" w:after="120"/>
        <w:ind w:firstLine="425"/>
        <w:jc w:val="both"/>
      </w:pPr>
      <w:r>
        <w:rPr>
          <w:rFonts w:ascii="Times New Roman" w:hAnsi="Times New Roman" w:cs="Times New Roman" w:eastAsia="Times New Roman"/>
          <w:b w:val="0"/>
          <w:sz w:val="24"/>
        </w:rPr>
        <w:t>Fonte: George King con Richard Lawrence, Contacts with the Gods from Space: Pathway to the New Millennium, Aetherius Society, 1996; Richard Lawrence e Brian Keneipp, The King Who Came to Earth, 2019; interviste a mezzi generalisti britannici, fra cui quella rilasciata a MyLondon in cui sostiene che la stella di Betlemme fosse un veicolo e che Gesu provenisse da Venere.</w:t>
      </w:r>
    </w:p>
    <w:p>
      <w:pPr>
        <w:spacing w:line="276" w:lineRule="auto" w:before="0" w:after="120"/>
        <w:ind w:firstLine="425"/>
        <w:jc w:val="both"/>
      </w:pPr>
      <w:r>
        <w:rPr>
          <w:rFonts w:ascii="Times New Roman" w:hAnsi="Times New Roman" w:cs="Times New Roman" w:eastAsia="Times New Roman"/>
          <w:b w:val="0"/>
          <w:sz w:val="24"/>
        </w:rPr>
        <w:t>Contenuto della testimonianza: Lawrence testimonia sulla persona di King e sulla continuita dell'insegnamento dopo la sua morte, non su un contatto proprio. La sua deposizione e quindi, nella maggior parte dei casi, testimonianza di secondo grado su fatti altrui. Vi si aggiunge pero una testimonianza di primo grado di natura organizzativa, relativa alla vita interna della societa dopo il millenovecentonovantasette, di cui si dira nella scheda dieci.</w:t>
      </w:r>
    </w:p>
    <w:p>
      <w:pPr>
        <w:spacing w:line="276" w:lineRule="auto" w:before="0" w:after="120"/>
        <w:ind w:firstLine="425"/>
        <w:jc w:val="both"/>
      </w:pPr>
      <w:r>
        <w:rPr>
          <w:rFonts w:ascii="Times New Roman" w:hAnsi="Times New Roman" w:cs="Times New Roman" w:eastAsia="Times New Roman"/>
          <w:b w:val="0"/>
          <w:sz w:val="24"/>
        </w:rPr>
        <w:t xml:space="preserve">Classificazione. Esistenza della testimonianza: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Contenuto relativo alla biografia e alle pratiche di King: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convergenza con altre fonti interne e con la documentazione esterna. Contenuto dottrinale: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Va notato che l'elemento apologetico e qui piu marcato che nella scheda precedente, poiche la funzione dichiarata dei volumi e la diffusione dell'insegnamento e non la ricostruzione critica.</w:t>
      </w:r>
    </w:p>
    <w:p>
      <w:pPr>
        <w:spacing w:line="276" w:lineRule="auto" w:before="320" w:after="160"/>
        <w:ind w:firstLine="0"/>
        <w:jc w:val="both"/>
      </w:pPr>
      <w:r>
        <w:rPr>
          <w:rFonts w:ascii="Times New Roman" w:hAnsi="Times New Roman" w:cs="Times New Roman" w:eastAsia="Times New Roman"/>
          <w:b/>
          <w:sz w:val="24"/>
        </w:rPr>
        <w:t>Sezione interna. Testimonianza quattro: Dave Davies</w:t>
      </w:r>
    </w:p>
    <w:p>
      <w:pPr>
        <w:spacing w:line="276" w:lineRule="auto" w:before="0" w:after="120"/>
        <w:ind w:firstLine="425"/>
        <w:jc w:val="both"/>
      </w:pPr>
      <w:r>
        <w:rPr>
          <w:rFonts w:ascii="Times New Roman" w:hAnsi="Times New Roman" w:cs="Times New Roman" w:eastAsia="Times New Roman"/>
          <w:b w:val="0"/>
          <w:sz w:val="24"/>
        </w:rPr>
        <w:t>Ruolo: musicista, cofondatore dei Kinks, simpatizzante esterno di lunga data della corrente metafisica cui la societa appartiene. Non risulta ricoprire cariche.</w:t>
      </w:r>
    </w:p>
    <w:p>
      <w:pPr>
        <w:spacing w:line="276" w:lineRule="auto" w:before="0" w:after="120"/>
        <w:ind w:firstLine="425"/>
        <w:jc w:val="both"/>
      </w:pPr>
      <w:r>
        <w:rPr>
          <w:rFonts w:ascii="Times New Roman" w:hAnsi="Times New Roman" w:cs="Times New Roman" w:eastAsia="Times New Roman"/>
          <w:b w:val="0"/>
          <w:sz w:val="24"/>
        </w:rPr>
        <w:t>Fonte: nota di presentazione firmata da Davies e riportata nell'apparato editoriale di Operation Earth Light, edizione del 2000, dove definisce il volume lettura essenziale per chiunque si interessi a cio che accade dietro le quinte del pianeta e ne saluta le rivelazioni.</w:t>
      </w:r>
    </w:p>
    <w:p>
      <w:pPr>
        <w:spacing w:line="276" w:lineRule="auto" w:before="0" w:after="120"/>
        <w:ind w:firstLine="425"/>
        <w:jc w:val="both"/>
      </w:pPr>
      <w:r>
        <w:rPr>
          <w:rFonts w:ascii="Times New Roman" w:hAnsi="Times New Roman" w:cs="Times New Roman" w:eastAsia="Times New Roman"/>
          <w:b w:val="0"/>
          <w:sz w:val="24"/>
        </w:rPr>
        <w:t>Contenuto della testimonianza: si tratta di una testimonianza di adesione e non di esperienza. Davies non dichiara contatti propri ne presenza a sedute; attesta la ricezione favorevole del sistema da parte di una figura pubblica esterna all'organizzazione.</w:t>
      </w:r>
    </w:p>
    <w:p>
      <w:pPr>
        <w:spacing w:line="276" w:lineRule="auto" w:before="0" w:after="120"/>
        <w:ind w:firstLine="425"/>
        <w:jc w:val="both"/>
      </w:pPr>
      <w:r>
        <w:rPr>
          <w:rFonts w:ascii="Times New Roman" w:hAnsi="Times New Roman" w:cs="Times New Roman" w:eastAsia="Times New Roman"/>
          <w:b w:val="0"/>
          <w:sz w:val="24"/>
        </w:rPr>
        <w:t xml:space="preserve">Classificazione. Esistenza della testimonianza: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essendo il testo stampato e verificabile sull'edizione. Valore probatorio rispetto ai fatti dichiarati dalla societa: </w:t>
      </w:r>
      <w:r>
        <w:rPr>
          <w:rFonts w:ascii="Times New Roman" w:hAnsi="Times New Roman" w:cs="Times New Roman" w:eastAsia="Times New Roman"/>
          <w:b/>
          <w:sz w:val="24"/>
        </w:rPr>
        <w:t>nullo</w:t>
      </w:r>
      <w:r>
        <w:rPr>
          <w:rFonts w:ascii="Times New Roman" w:hAnsi="Times New Roman" w:cs="Times New Roman" w:eastAsia="Times New Roman"/>
          <w:b w:val="0"/>
          <w:sz w:val="24"/>
        </w:rPr>
        <w:t>, e la scheda e inclusa proprio per questo. In un dossier probatorio l'endorsement di una figura nota non e evidenza, e la sua presenza nell'apparato editoriale va classificata come strumento di legittimazione e non come fonte. Registrarlo fra le testimonianze interne serve a misurare la distanza fra ampiezza della circolazione pubblica e consistenza probatoria: la prima e ampia, la seconda e inesistente.</w:t>
      </w:r>
    </w:p>
    <w:p>
      <w:pPr>
        <w:spacing w:line="276" w:lineRule="auto" w:before="320" w:after="160"/>
        <w:ind w:firstLine="0"/>
        <w:jc w:val="both"/>
      </w:pPr>
      <w:r>
        <w:rPr>
          <w:rFonts w:ascii="Times New Roman" w:hAnsi="Times New Roman" w:cs="Times New Roman" w:eastAsia="Times New Roman"/>
          <w:b/>
          <w:sz w:val="24"/>
        </w:rPr>
        <w:t>Sezione interna. Testimonianza cinque: la testimonianza collettiva dell'aprile 1986</w:t>
      </w:r>
    </w:p>
    <w:p>
      <w:pPr>
        <w:spacing w:line="276" w:lineRule="auto" w:before="0" w:after="120"/>
        <w:ind w:firstLine="425"/>
        <w:jc w:val="both"/>
      </w:pPr>
      <w:r>
        <w:rPr>
          <w:rFonts w:ascii="Times New Roman" w:hAnsi="Times New Roman" w:cs="Times New Roman" w:eastAsia="Times New Roman"/>
          <w:b w:val="0"/>
          <w:sz w:val="24"/>
        </w:rPr>
        <w:t>Ruolo: membri della societa in quanto corpo, senza individuazione nominale nelle fonti disponibili.</w:t>
      </w:r>
    </w:p>
    <w:p>
      <w:pPr>
        <w:spacing w:line="276" w:lineRule="auto" w:before="0" w:after="120"/>
        <w:ind w:firstLine="425"/>
        <w:jc w:val="both"/>
      </w:pPr>
      <w:r>
        <w:rPr>
          <w:rFonts w:ascii="Times New Roman" w:hAnsi="Times New Roman" w:cs="Times New Roman" w:eastAsia="Times New Roman"/>
          <w:b w:val="0"/>
          <w:sz w:val="24"/>
        </w:rPr>
        <w:t>Fonte: materiali della societa relativi alle missioni cosmiche, ripresi e discussi in sede critica; per il caso del 1958, la rivista interna Cosmic Voice e la ripresa che ne fece il New Scientist nel 1976 con un trafiletto di due paragrafi collocato fra le notizie di taglio umoristico.</w:t>
      </w:r>
    </w:p>
    <w:p>
      <w:pPr>
        <w:spacing w:line="276" w:lineRule="auto" w:before="0" w:after="120"/>
        <w:ind w:firstLine="425"/>
        <w:jc w:val="both"/>
      </w:pPr>
      <w:r>
        <w:rPr>
          <w:rFonts w:ascii="Times New Roman" w:hAnsi="Times New Roman" w:cs="Times New Roman" w:eastAsia="Times New Roman"/>
          <w:b w:val="0"/>
          <w:sz w:val="24"/>
        </w:rPr>
        <w:t>Contenuto della testimonianza: la societa dichiara che nell'aprile del 1986, su indicazione ricevuta da King, i membri attivarono un apparato radionico speciale poche ore prima dell'inizio del disastro di Chernobyl e lo mantennero in funzione per giorni a un livello senza precedenti. Una dichiarazione analoga riguarda l'aprile del millenovecentocinquantotto, quando Cosmic Voice avrebbe riferito di un incidente atomico in territorio sovietico poi identificato con il disastro di Kyshtym, ignoto in Occidente fino al 1976.</w:t>
      </w:r>
    </w:p>
    <w:p>
      <w:pPr>
        <w:spacing w:line="276" w:lineRule="auto" w:before="0" w:after="120"/>
        <w:ind w:firstLine="425"/>
        <w:jc w:val="both"/>
      </w:pPr>
      <w:r>
        <w:rPr>
          <w:rFonts w:ascii="Times New Roman" w:hAnsi="Times New Roman" w:cs="Times New Roman" w:eastAsia="Times New Roman"/>
          <w:b w:val="0"/>
          <w:sz w:val="24"/>
        </w:rPr>
        <w:t xml:space="preserve">Classificazione. Esistenza della testimonianza: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poiche la dichiarazione e documentata nelle pubblicazioni interne e ripresa da terzi, ma la datazione precisa dell'attivazione del 1986 poggia su fonte unica autoprodotta. Veridicita del nesso causale o precognitivo: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 va anzi rilevato un difetto logico esplicito. Il ragionamento ha la forma del post hoc: si compie un'azione insolita, accade un fatto insolito, si deduce che la prima anticipasse il secondo. La critica ha inoltre osservato, per il caso del 1958, che la dichiarazione di King e successiva di pochi giorni a speculazioni gia comparse sulla stampa, il che apre una spiegazione alternativa da valutare con procedura di ipotesi concorrenti prima di accettare quella straordinaria.</w:t>
      </w:r>
    </w:p>
    <w:p>
      <w:r>
        <w:br w:type="page"/>
      </w:r>
    </w:p>
    <w:p>
      <w:pPr>
        <w:spacing w:line="276" w:lineRule="auto" w:before="320" w:after="160"/>
        <w:ind w:firstLine="0"/>
        <w:jc w:val="both"/>
      </w:pPr>
      <w:r>
        <w:rPr>
          <w:rFonts w:ascii="Times New Roman" w:hAnsi="Times New Roman" w:cs="Times New Roman" w:eastAsia="Times New Roman"/>
          <w:b/>
          <w:sz w:val="24"/>
        </w:rPr>
        <w:t>Sezione accademica. Testimonianza sei: Roy Wallis</w:t>
      </w:r>
    </w:p>
    <w:p>
      <w:pPr>
        <w:spacing w:line="276" w:lineRule="auto" w:before="0" w:after="120"/>
        <w:ind w:firstLine="425"/>
        <w:jc w:val="both"/>
      </w:pPr>
      <w:r>
        <w:rPr>
          <w:rFonts w:ascii="Times New Roman" w:hAnsi="Times New Roman" w:cs="Times New Roman" w:eastAsia="Times New Roman"/>
          <w:b w:val="0"/>
          <w:sz w:val="24"/>
        </w:rPr>
        <w:t>Ruolo: sociologo della religione, autore del primo studio sottoposto a revisione paritaria dedicato specificamente alla societa.</w:t>
      </w:r>
    </w:p>
    <w:p>
      <w:pPr>
        <w:spacing w:line="276" w:lineRule="auto" w:before="0" w:after="120"/>
        <w:ind w:firstLine="425"/>
        <w:jc w:val="both"/>
      </w:pPr>
      <w:r>
        <w:rPr>
          <w:rFonts w:ascii="Times New Roman" w:hAnsi="Times New Roman" w:cs="Times New Roman" w:eastAsia="Times New Roman"/>
          <w:b w:val="0"/>
          <w:sz w:val="24"/>
        </w:rPr>
        <w:t>Fonte: Roy Wallis, The Aetherius Society: A Case Study in the Formation of a Mystagogic Congregation, in The Sociological Review, volume 22, numero 1, 1974, pagine 27-44.</w:t>
      </w:r>
    </w:p>
    <w:p>
      <w:pPr>
        <w:spacing w:line="276" w:lineRule="auto" w:before="0" w:after="120"/>
        <w:ind w:firstLine="425"/>
        <w:jc w:val="both"/>
      </w:pPr>
      <w:r>
        <w:rPr>
          <w:rFonts w:ascii="Times New Roman" w:hAnsi="Times New Roman" w:cs="Times New Roman" w:eastAsia="Times New Roman"/>
          <w:b w:val="0"/>
          <w:sz w:val="24"/>
        </w:rPr>
        <w:t>Contenuto: Wallis analizza la formazione e la struttura organizzativa del gruppo e conia per King la qualifica di mistagogo, cioe di figura che compie azioni magiche o sacramentali per promuovere la salvezza. La categoria e weberiana e colloca King fra il profeta e il mago: non fonda una nuova legge etica, amministra un accesso. Wallis descrive inoltre il passaggio da cerchia di seguaci di un carismatico a congregazione stabile, che e il processo che spiega la sopravvivenza del gruppo.</w:t>
      </w:r>
    </w:p>
    <w:p>
      <w:pPr>
        <w:spacing w:line="276" w:lineRule="auto" w:before="0" w:after="120"/>
        <w:ind w:firstLine="425"/>
        <w:jc w:val="both"/>
      </w:pPr>
      <w:r>
        <w:rPr>
          <w:rFonts w:ascii="Times New Roman" w:hAnsi="Times New Roman" w:cs="Times New Roman" w:eastAsia="Times New Roman"/>
          <w:b w:val="0"/>
          <w:sz w:val="24"/>
        </w:rPr>
        <w:t xml:space="preserve">Classificazione.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 quanto fonte singola di alta affidabilita; sale 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gli elementi confermati indipendentemente da Smith nel 2003 e da Rothstein, in particolare la matrice teosofica e la struttura congregazionale. Il valore della scheda sta nel fatto che Wallis osserva il gruppo mentre il fondatore e vivo e attivo, condizione non piu replicabile.</w:t>
      </w:r>
    </w:p>
    <w:p>
      <w:pPr>
        <w:spacing w:line="276" w:lineRule="auto" w:before="320" w:after="160"/>
        <w:ind w:firstLine="0"/>
        <w:jc w:val="both"/>
      </w:pPr>
      <w:r>
        <w:rPr>
          <w:rFonts w:ascii="Times New Roman" w:hAnsi="Times New Roman" w:cs="Times New Roman" w:eastAsia="Times New Roman"/>
          <w:b/>
          <w:sz w:val="24"/>
        </w:rPr>
        <w:t>Sezione accademica. Testimonianza sette: Simon G. Smith</w:t>
      </w:r>
    </w:p>
    <w:p>
      <w:pPr>
        <w:spacing w:line="276" w:lineRule="auto" w:before="0" w:after="120"/>
        <w:ind w:firstLine="425"/>
        <w:jc w:val="both"/>
      </w:pPr>
      <w:r>
        <w:rPr>
          <w:rFonts w:ascii="Times New Roman" w:hAnsi="Times New Roman" w:cs="Times New Roman" w:eastAsia="Times New Roman"/>
          <w:b w:val="0"/>
          <w:sz w:val="24"/>
        </w:rPr>
        <w:t>Ruolo: studioso di movimenti religiosi nuovi.</w:t>
      </w:r>
    </w:p>
    <w:p>
      <w:pPr>
        <w:spacing w:line="276" w:lineRule="auto" w:before="0" w:after="120"/>
        <w:ind w:firstLine="425"/>
        <w:jc w:val="both"/>
      </w:pPr>
      <w:r>
        <w:rPr>
          <w:rFonts w:ascii="Times New Roman" w:hAnsi="Times New Roman" w:cs="Times New Roman" w:eastAsia="Times New Roman"/>
          <w:b w:val="0"/>
          <w:sz w:val="24"/>
        </w:rPr>
        <w:t>Fonte: Simon G. Smith, Opening a Channel to the Stars: The Origins and Development of the Aetherius Society, in Christopher Partridge, a cura di, UFO Religions, Routledge, Londra, 2003, pagine 84-102.</w:t>
      </w:r>
    </w:p>
    <w:p>
      <w:pPr>
        <w:spacing w:line="276" w:lineRule="auto" w:before="0" w:after="120"/>
        <w:ind w:firstLine="425"/>
        <w:jc w:val="both"/>
      </w:pPr>
      <w:r>
        <w:rPr>
          <w:rFonts w:ascii="Times New Roman" w:hAnsi="Times New Roman" w:cs="Times New Roman" w:eastAsia="Times New Roman"/>
          <w:b w:val="0"/>
          <w:sz w:val="24"/>
        </w:rPr>
        <w:t>Contenuto: Smith ricostruisce origine e sviluppo del gruppo dentro il volume che ha stabilizzato la categoria accademica di religione ufologica. Riporta inoltre una stima quantitativa che vale la pena registrare per la sua provenienza: una fonte ufologica britannica indicava intorno a diecimila nominativi nella lista di corrispondenza della sola Gran Bretagna, cifra che va tenuta distinta da quella dei membri effettivi, stimati altrove fra le seicento e le settecento unita nel Regno Unito.</w:t>
      </w:r>
    </w:p>
    <w:p>
      <w:pPr>
        <w:spacing w:line="276" w:lineRule="auto" w:before="0" w:after="120"/>
        <w:ind w:firstLine="425"/>
        <w:jc w:val="both"/>
      </w:pPr>
      <w:r>
        <w:rPr>
          <w:rFonts w:ascii="Times New Roman" w:hAnsi="Times New Roman" w:cs="Times New Roman" w:eastAsia="Times New Roman"/>
          <w:b w:val="0"/>
          <w:sz w:val="24"/>
        </w:rPr>
        <w:t xml:space="preserve">Classificazione.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Sulla discrepanza fra indirizzari e appartenenza effettiva la classificazione 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poiche il divario e confermato da tre rilevazioni indipendenti fra il 2001 e il 2012. La scheda serve anche a documentare una regola generale del campo: nelle religioni ufologiche il dato di adesione dichiarato e strutturalmente gonfiato dalla confusione fra contatto postale e appartenenza.</w:t>
      </w:r>
    </w:p>
    <w:p>
      <w:pPr>
        <w:spacing w:line="276" w:lineRule="auto" w:before="320" w:after="160"/>
        <w:ind w:firstLine="0"/>
        <w:jc w:val="both"/>
      </w:pPr>
      <w:r>
        <w:rPr>
          <w:rFonts w:ascii="Times New Roman" w:hAnsi="Times New Roman" w:cs="Times New Roman" w:eastAsia="Times New Roman"/>
          <w:b/>
          <w:sz w:val="24"/>
        </w:rPr>
        <w:t>Sezione accademica. Testimonianza otto: Mikael Rothstein</w:t>
      </w:r>
    </w:p>
    <w:p>
      <w:pPr>
        <w:spacing w:line="276" w:lineRule="auto" w:before="0" w:after="120"/>
        <w:ind w:firstLine="425"/>
        <w:jc w:val="both"/>
      </w:pPr>
      <w:r>
        <w:rPr>
          <w:rFonts w:ascii="Times New Roman" w:hAnsi="Times New Roman" w:cs="Times New Roman" w:eastAsia="Times New Roman"/>
          <w:b w:val="0"/>
          <w:sz w:val="24"/>
        </w:rPr>
        <w:t>Ruolo: storico delle religioni, specialista di movimenti religiosi nuovi e di credenze ufologiche.</w:t>
      </w:r>
    </w:p>
    <w:p>
      <w:pPr>
        <w:spacing w:line="276" w:lineRule="auto" w:before="0" w:after="120"/>
        <w:ind w:firstLine="425"/>
        <w:jc w:val="both"/>
      </w:pPr>
      <w:r>
        <w:rPr>
          <w:rFonts w:ascii="Times New Roman" w:hAnsi="Times New Roman" w:cs="Times New Roman" w:eastAsia="Times New Roman"/>
          <w:b w:val="0"/>
          <w:sz w:val="24"/>
        </w:rPr>
        <w:t>Fonte: Mikael Rothstein, The Idea of the Past, the Reality of the Present, and the Construction of the Future: Millenarianism in the Aetherius Society, in James R. Lewis, a cura di, Encyclopedic Sourcebook of UFO Religions, Prometheus Books, New York, 2003, in particolare le pagine 144-145; e UFO Beliefs as Syncretistic Components, in Partridge, UFO Religions, 2003, pagine 256-273.</w:t>
      </w:r>
    </w:p>
    <w:p>
      <w:pPr>
        <w:spacing w:line="276" w:lineRule="auto" w:before="0" w:after="120"/>
        <w:ind w:firstLine="425"/>
        <w:jc w:val="both"/>
      </w:pPr>
      <w:r>
        <w:rPr>
          <w:rFonts w:ascii="Times New Roman" w:hAnsi="Times New Roman" w:cs="Times New Roman" w:eastAsia="Times New Roman"/>
          <w:b w:val="0"/>
          <w:sz w:val="24"/>
        </w:rPr>
        <w:t>Contenuto: Rothstein qualifica la societa come religione sincretica fondata primariamente sulla teosofia e ne analizza la costruzione millenaristica del futuro. Il suo contributo probatoriamente piu rilevante e pero un rilievo di natura storiografica: la societa presenta l'apparizione televisiva di King del 1959 come evento memorabile, mentre la copertura mediatica coeva fu in prevalenza negativa. Si tratta della documentazione di una tecnica di costruzione retrospettiva della memoria istituzionale.</w:t>
      </w:r>
    </w:p>
    <w:p>
      <w:pPr>
        <w:spacing w:line="276" w:lineRule="auto" w:before="0" w:after="120"/>
        <w:ind w:firstLine="425"/>
        <w:jc w:val="both"/>
      </w:pPr>
      <w:r>
        <w:rPr>
          <w:rFonts w:ascii="Times New Roman" w:hAnsi="Times New Roman" w:cs="Times New Roman" w:eastAsia="Times New Roman"/>
          <w:b w:val="0"/>
          <w:sz w:val="24"/>
        </w:rPr>
        <w:t xml:space="preserve">Classificazione.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l'analisi;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il rilievo sulla discrepanza fra memoria interna e copertura coeva, verificabile sulle annate dei quotidiani britannici. Questa scheda e la piu utile del dossier sul piano metodologico, perche identifica un difetto di fonte che si riproduce in tutte le testimonianze interne: la selezione retrospettiva degli episodi favorevoli.</w:t>
      </w:r>
    </w:p>
    <w:p>
      <w:r>
        <w:br w:type="page"/>
      </w:r>
    </w:p>
    <w:p>
      <w:pPr>
        <w:spacing w:line="276" w:lineRule="auto" w:before="320" w:after="160"/>
        <w:ind w:firstLine="0"/>
        <w:jc w:val="both"/>
      </w:pPr>
      <w:r>
        <w:rPr>
          <w:rFonts w:ascii="Times New Roman" w:hAnsi="Times New Roman" w:cs="Times New Roman" w:eastAsia="Times New Roman"/>
          <w:b/>
          <w:sz w:val="24"/>
        </w:rPr>
        <w:t>Sezione critica. Testimonianza nove: gli atti della Special Branch metropolitana</w:t>
      </w:r>
    </w:p>
    <w:p>
      <w:pPr>
        <w:spacing w:line="276" w:lineRule="auto" w:before="0" w:after="120"/>
        <w:ind w:firstLine="425"/>
        <w:jc w:val="both"/>
      </w:pPr>
      <w:r>
        <w:rPr>
          <w:rFonts w:ascii="Times New Roman" w:hAnsi="Times New Roman" w:cs="Times New Roman" w:eastAsia="Times New Roman"/>
          <w:b w:val="0"/>
          <w:sz w:val="24"/>
        </w:rPr>
        <w:t>Ruolo: apparato di polizia politica del Regno Unito, che sorveglio la societa nella seconda meta degli anni Cinquanta. La testimonianza e resa da funzionari in servizio, in documenti non destinati alla pubblicazione.</w:t>
      </w:r>
    </w:p>
    <w:p>
      <w:pPr>
        <w:spacing w:line="276" w:lineRule="auto" w:before="0" w:after="120"/>
        <w:ind w:firstLine="425"/>
        <w:jc w:val="both"/>
      </w:pPr>
      <w:r>
        <w:rPr>
          <w:rFonts w:ascii="Times New Roman" w:hAnsi="Times New Roman" w:cs="Times New Roman" w:eastAsia="Times New Roman"/>
          <w:b w:val="0"/>
          <w:sz w:val="24"/>
        </w:rPr>
        <w:t>Fonte: rapporti della Metropolitan Police, in particolare il memorandum del primo giugno 1957 e il rapporto del ventitre agosto 1958, desecretati e resi noti dal ricercatore David Clarke, che ne ha pubblicato ampi estratti e il contesto sul proprio sito nel luglio 2015; la vicenda fu ripresa dal Daily Express il ventotto luglio dello stesso anno.</w:t>
      </w:r>
    </w:p>
    <w:p>
      <w:pPr>
        <w:spacing w:line="276" w:lineRule="auto" w:before="0" w:after="120"/>
        <w:ind w:firstLine="425"/>
        <w:jc w:val="both"/>
      </w:pPr>
      <w:r>
        <w:rPr>
          <w:rFonts w:ascii="Times New Roman" w:hAnsi="Times New Roman" w:cs="Times New Roman" w:eastAsia="Times New Roman"/>
          <w:b w:val="0"/>
          <w:sz w:val="24"/>
        </w:rPr>
        <w:t>Contenuto: l'agente che interrogo King nel 1957 riporta che questi dichiarava allora circa cento membri nel mondo e che Cosmic Voice veniva inviata al primo ministro, a Buckingham Palace e al presidente Eisenhower; lo descrive come ossessionato dal proprio lavoro e forza motrice dell'organizzazione. Il rapporto del 1958 descrive l'atmosfera delle riunioni come di tollerante e divertita quiete, riassume le dottrine osservando che tutti gli oratori tenevano a precisare che Cristo, Buddha e Maometto erano venusiani e che Elia non sali al cielo su un carro ma fu portato su Venere da un disco volante, e conclude con due giudizi netti: che la societa stia modellando affermazioni definite preposterose sui concetti popolari di religione, e che l'intero apparato di karma e parlamenti cosmici possa essere un sistema di guadagno finanziario per alcuni individui e in particolare per King.</w:t>
      </w:r>
    </w:p>
    <w:p>
      <w:pPr>
        <w:spacing w:line="276" w:lineRule="auto" w:before="0" w:after="120"/>
        <w:ind w:firstLine="425"/>
        <w:jc w:val="both"/>
      </w:pPr>
      <w:r>
        <w:rPr>
          <w:rFonts w:ascii="Times New Roman" w:hAnsi="Times New Roman" w:cs="Times New Roman" w:eastAsia="Times New Roman"/>
          <w:b w:val="0"/>
          <w:sz w:val="24"/>
        </w:rPr>
        <w:t xml:space="preserve">Classificazione. Esistenza e autenticita dei documenti: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trattandosi di atti d'archivio di un apparato statale, desecretati, con data e protocollo, pubblicati da un ricercatore identificabile e ripresi dalla stampa nazionale. Contenuto fattuale, cioe numero di membri dichiarato, destinatari della rivista, andamento delle riunioni: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poiche redatto da osservatori diretti senza interesse apologetico. Giudizio sul movente economico: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in quanto ipotesi investigativa esplicitamente formulata come possibilita e mai riscontrata da accertamenti successivi noti; va registrata come tale e non elevata. Questa e la testimonianza probatoriamente piu solida dell'intero dossier, ed e anche l'unica prodotta da soggetti senza alcun rapporto con l'oggetto.</w:t>
      </w:r>
    </w:p>
    <w:p>
      <w:pPr>
        <w:spacing w:line="276" w:lineRule="auto" w:before="320" w:after="160"/>
        <w:ind w:firstLine="0"/>
        <w:jc w:val="both"/>
      </w:pPr>
      <w:r>
        <w:rPr>
          <w:rFonts w:ascii="Times New Roman" w:hAnsi="Times New Roman" w:cs="Times New Roman" w:eastAsia="Times New Roman"/>
          <w:b/>
          <w:sz w:val="24"/>
        </w:rPr>
        <w:t>Sezione critica. Testimonianza dieci: gli ex membri e la contestazione interna</w:t>
      </w:r>
    </w:p>
    <w:p>
      <w:pPr>
        <w:spacing w:line="276" w:lineRule="auto" w:before="0" w:after="120"/>
        <w:ind w:firstLine="425"/>
        <w:jc w:val="both"/>
      </w:pPr>
      <w:r>
        <w:rPr>
          <w:rFonts w:ascii="Times New Roman" w:hAnsi="Times New Roman" w:cs="Times New Roman" w:eastAsia="Times New Roman"/>
          <w:b w:val="0"/>
          <w:sz w:val="24"/>
        </w:rPr>
        <w:t>Ruolo: gruppo di ex appartenenti alla societa, costituitosi in soggetto collettivo dopo la morte del fondatore, che si firma Past Aetherius Society Members e opera in forma anonima attraverso una piattaforma di pubblicazione in rete.</w:t>
      </w:r>
    </w:p>
    <w:p>
      <w:pPr>
        <w:spacing w:line="276" w:lineRule="auto" w:before="0" w:after="120"/>
        <w:ind w:firstLine="425"/>
        <w:jc w:val="both"/>
      </w:pPr>
      <w:r>
        <w:rPr>
          <w:rFonts w:ascii="Times New Roman" w:hAnsi="Times New Roman" w:cs="Times New Roman" w:eastAsia="Times New Roman"/>
          <w:b w:val="0"/>
          <w:sz w:val="24"/>
        </w:rPr>
        <w:t>Fonte: dichiarazione collettiva del 2008, ripresa e citata nella scheda dedicata alla societa nel World Religions and Spirituality Project; il blog omonimo, attivo dagli anni successivi. Sul versante opposto, la relazione resa da Richard Lawrence a un'assemblea generale straordinaria tenuta a Londra, in cui lamenta che per circa cinque anni siano state diffuse nel mondo accuse false e dicerie malevole.</w:t>
      </w:r>
    </w:p>
    <w:p>
      <w:pPr>
        <w:spacing w:line="276" w:lineRule="auto" w:before="0" w:after="120"/>
        <w:ind w:firstLine="425"/>
        <w:jc w:val="both"/>
      </w:pPr>
      <w:r>
        <w:rPr>
          <w:rFonts w:ascii="Times New Roman" w:hAnsi="Times New Roman" w:cs="Times New Roman" w:eastAsia="Times New Roman"/>
          <w:b w:val="0"/>
          <w:sz w:val="24"/>
        </w:rPr>
        <w:t>Contenuto: gli ex membri sostengono che la societa non risponda piu agli standard di una via autentica di illuminazione attraverso il servizio, che dopo la morte di King i suoi membri siano tornati a giochi di ego infantili con potenzialita di danno per altri e in nessun modo attribuibili alla missione dichiarata dal fondatore; accusano inoltre la dirigenza di essere composta da pochi individui avidi di potere che marginalizzano il membro comune, e formulano un addebito di razzismo. Sul piano dottrinale sollevano un'obiezione di natura diversa e piu penetrante: elencano le entita canalizzate, da Aetherius a Mars Sector 6, dal Maestro Gesu a Saint Goo-Ling fino al Logos della Terra, e domandano se qualcuna di esse provenisse davvero da Marte o da Venere oppure se non fossero semplicemente aspetti della coscienza del Maestro.</w:t>
      </w:r>
    </w:p>
    <w:p>
      <w:pPr>
        <w:spacing w:line="276" w:lineRule="auto" w:before="0" w:after="120"/>
        <w:ind w:firstLine="425"/>
        <w:jc w:val="both"/>
      </w:pPr>
      <w:r>
        <w:rPr>
          <w:rFonts w:ascii="Times New Roman" w:hAnsi="Times New Roman" w:cs="Times New Roman" w:eastAsia="Times New Roman"/>
          <w:b w:val="0"/>
          <w:sz w:val="24"/>
        </w:rPr>
        <w:t xml:space="preserve">Classificazione. Esistenza della controversia: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poiche e attestata da due fonti indipendenti fra loro contrapposte, gli ex membri da un lato e la replica pubblica del segretario esecutivo dall'altro, il che rende il fatto del conflitto certo anche se il merito resta indeciso. Fondatezza degli addebiti organizzativi: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poiche la fonte e anonima, autoprodotta e parte in causa, e non risultano accertamenti terzi. Fondatezza dell'addebito di razzismo: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va trattato con particolare cautela, non risultando alcun riscontro documentale. Rilievo dell'obiezione dottrinale: la domanda sulla natura psichica delle entita non e classificabile su questa scala perche non e un'asserzione di fatto ma un'ipotesi alternativa; il suo posto proprio e in una matrice di ipotesi concorrenti, dove costituisce la seconda ipotesi accanto a quella dell'origine extraterrestre e a quella della costruzione consapevole.</w:t>
      </w:r>
    </w:p>
    <w:p>
      <w:pPr>
        <w:spacing w:line="276" w:lineRule="auto" w:before="0" w:after="120"/>
        <w:ind w:firstLine="425"/>
        <w:jc w:val="both"/>
      </w:pPr>
      <w:r>
        <w:rPr>
          <w:rFonts w:ascii="Times New Roman" w:hAnsi="Times New Roman" w:cs="Times New Roman" w:eastAsia="Times New Roman"/>
          <w:b w:val="0"/>
          <w:sz w:val="24"/>
        </w:rPr>
        <w:t>Va infine registrato, per completezza e per equilibrio, che la letteratura accademica non rileva un'opposizione organizzata di rilievo e che John Saliba considera la societa, a differenza di molti altri gruppi ufologici e new age, sostanzialmente non controversa. Il fronte critico, cioe, esiste ma e numericamente e istituzionalmente esiguo, e questo dato va tenuto insieme al contenuto delle accuse.</w:t>
      </w:r>
    </w:p>
    <w:p>
      <w:r>
        <w:br w:type="page"/>
      </w:r>
    </w:p>
    <w:p>
      <w:pPr>
        <w:spacing w:line="276" w:lineRule="auto" w:before="320" w:after="160"/>
        <w:ind w:firstLine="0"/>
        <w:jc w:val="both"/>
      </w:pPr>
      <w:r>
        <w:rPr>
          <w:rFonts w:ascii="Times New Roman" w:hAnsi="Times New Roman" w:cs="Times New Roman" w:eastAsia="Times New Roman"/>
          <w:b/>
          <w:sz w:val="24"/>
        </w:rPr>
        <w:t>Bilancio probatorio</w:t>
      </w:r>
    </w:p>
    <w:p>
      <w:pPr>
        <w:spacing w:line="276" w:lineRule="auto" w:before="0" w:after="120"/>
        <w:ind w:firstLine="425"/>
        <w:jc w:val="both"/>
      </w:pPr>
      <w:r>
        <w:rPr>
          <w:rFonts w:ascii="Times New Roman" w:hAnsi="Times New Roman" w:cs="Times New Roman" w:eastAsia="Times New Roman"/>
          <w:b w:val="0"/>
          <w:sz w:val="24"/>
        </w:rPr>
        <w:t xml:space="preserve">Il dossier consente tre conclusioni di grado diverso. La prima e che l'esistenza e la continuita delle pratiche, incluse le sedute di trasmissione in presenza di testimoni, le spedizioni sulle montagne fra il millenovecentocinquantotto e il millenovecentosessantuno e l'esecuzione periodica di Operazione Sunbeam dal ventiquattro settembre del millenovecentosessantasei, si collocano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sono fatti pubblici, documentati da fonti interne, accademiche e statali fra loro indipendenti.</w:t>
      </w:r>
    </w:p>
    <w:p>
      <w:pPr>
        <w:spacing w:line="276" w:lineRule="auto" w:before="0" w:after="120"/>
        <w:ind w:firstLine="425"/>
        <w:jc w:val="both"/>
      </w:pPr>
      <w:r>
        <w:rPr>
          <w:rFonts w:ascii="Times New Roman" w:hAnsi="Times New Roman" w:cs="Times New Roman" w:eastAsia="Times New Roman"/>
          <w:b w:val="0"/>
          <w:sz w:val="24"/>
        </w:rPr>
        <w:t xml:space="preserve">La seconda e che l'origine extraterrestre dei contenuti trasmessi resta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non e elevabile con i mezzi disponibili, non per insufficienza della ricerca ma per natura dell'oggetto: nessuna delle testimonianze raccolte, nemmeno la piu ravvicinata, riguarda l'origine del messaggio, e tutte riguardano il comportamento del medium. La distinzione e decisiva e va mantenuta anche quando i testimoni non la mantengono.</w:t>
      </w:r>
    </w:p>
    <w:p>
      <w:pPr>
        <w:spacing w:line="276" w:lineRule="auto" w:before="0" w:after="120"/>
        <w:ind w:firstLine="425"/>
        <w:jc w:val="both"/>
      </w:pPr>
      <w:r>
        <w:rPr>
          <w:rFonts w:ascii="Times New Roman" w:hAnsi="Times New Roman" w:cs="Times New Roman" w:eastAsia="Times New Roman"/>
          <w:b w:val="0"/>
          <w:sz w:val="24"/>
        </w:rPr>
        <w:t>La terza e che il dossier registra uno stato zero rilevante e va annotato come risultato negativo certificato di pieno titolo. Non risulta esistere, alla data di compilazione, alcuna raccolta di deposizioni di membri o ex membri effettuata da terzi con procedura neutrale e con individuazione nominale dei deponenti. Le voci interne provengono dall'apparato editoriale della societa, le voci critiche sono anonime e autoprodotte, le voci accademiche sono analisi e non deposizioni, e la sola fonte terza con individuazione dei redattori e un archivio di polizia degli anni Cinquanta. L'assenza di quell'archivio testimoniale e essa stessa un dato del campo, e coerente con quanto si osserva per la generalita dei movimenti contattisti: la loro storia e stata scritta quasi interamente dai loro apologeti e dai loro detrattori, e quasi per nulla dai loro testimoni.</w:t>
      </w:r>
    </w:p>
    <w:p>
      <w:pPr>
        <w:spacing w:line="276" w:lineRule="auto" w:before="320" w:after="160"/>
        <w:ind w:firstLine="0"/>
        <w:jc w:val="both"/>
      </w:pPr>
      <w:r>
        <w:rPr>
          <w:rFonts w:ascii="Times New Roman" w:hAnsi="Times New Roman" w:cs="Times New Roman" w:eastAsia="Times New Roman"/>
          <w:b/>
          <w:sz w:val="24"/>
        </w:rPr>
        <w:t>Repertorio delle fonti</w:t>
      </w:r>
    </w:p>
    <w:p>
      <w:pPr>
        <w:spacing w:line="276" w:lineRule="auto" w:before="0" w:after="120"/>
        <w:ind w:firstLine="425"/>
        <w:jc w:val="both"/>
      </w:pPr>
      <w:r>
        <w:rPr>
          <w:rFonts w:ascii="Times New Roman" w:hAnsi="Times New Roman" w:cs="Times New Roman" w:eastAsia="Times New Roman"/>
          <w:b w:val="0"/>
          <w:sz w:val="24"/>
        </w:rPr>
        <w:t>King, George, Operation Sunbeam: God's Magic in Action, Aetherius Society, Hollywood, 1979, prima edizione 1958.</w:t>
      </w:r>
    </w:p>
    <w:p>
      <w:pPr>
        <w:spacing w:line="276" w:lineRule="auto" w:before="0" w:after="120"/>
        <w:ind w:firstLine="425"/>
        <w:jc w:val="both"/>
      </w:pPr>
      <w:r>
        <w:rPr>
          <w:rFonts w:ascii="Times New Roman" w:hAnsi="Times New Roman" w:cs="Times New Roman" w:eastAsia="Times New Roman"/>
          <w:b w:val="0"/>
          <w:sz w:val="24"/>
        </w:rPr>
        <w:t>King, George, The Nine Freedoms, Aetherius Society, Hollywood, 1963; The Twelve Blessings, 1962; You Are Responsible!, 1961; Life on the Planets, 1958; Operation Space Power: The Solution of the Spiritual Energy Crisis, 1987.</w:t>
      </w:r>
    </w:p>
    <w:p>
      <w:pPr>
        <w:spacing w:line="276" w:lineRule="auto" w:before="0" w:after="120"/>
        <w:ind w:firstLine="425"/>
        <w:jc w:val="both"/>
      </w:pPr>
      <w:r>
        <w:rPr>
          <w:rFonts w:ascii="Times New Roman" w:hAnsi="Times New Roman" w:cs="Times New Roman" w:eastAsia="Times New Roman"/>
          <w:b w:val="0"/>
          <w:sz w:val="24"/>
        </w:rPr>
        <w:t>King, George, e Richard Lawrence, Contacts with the Gods from Space: Pathway to the New Millennium, Aetherius Society, 1996.</w:t>
      </w:r>
    </w:p>
    <w:p>
      <w:pPr>
        <w:spacing w:line="276" w:lineRule="auto" w:before="0" w:after="120"/>
        <w:ind w:firstLine="425"/>
        <w:jc w:val="both"/>
      </w:pPr>
      <w:r>
        <w:rPr>
          <w:rFonts w:ascii="Times New Roman" w:hAnsi="Times New Roman" w:cs="Times New Roman" w:eastAsia="Times New Roman"/>
          <w:b w:val="0"/>
          <w:sz w:val="24"/>
        </w:rPr>
        <w:t>Keneipp, Brian C., Operation Earth Light: A Glimpse into the World of the Ascended Masters, Aetherius Society, Hollywood, 2000.</w:t>
      </w:r>
    </w:p>
    <w:p>
      <w:pPr>
        <w:spacing w:line="276" w:lineRule="auto" w:before="0" w:after="120"/>
        <w:ind w:firstLine="425"/>
        <w:jc w:val="both"/>
      </w:pPr>
      <w:r>
        <w:rPr>
          <w:rFonts w:ascii="Times New Roman" w:hAnsi="Times New Roman" w:cs="Times New Roman" w:eastAsia="Times New Roman"/>
          <w:b w:val="0"/>
          <w:sz w:val="24"/>
        </w:rPr>
        <w:t>Lawrence, Richard, e Brian Keneipp, The King Who Came to Earth: A Biography, Aetherius Society, 2019.</w:t>
      </w:r>
    </w:p>
    <w:p>
      <w:pPr>
        <w:spacing w:line="276" w:lineRule="auto" w:before="0" w:after="120"/>
        <w:ind w:firstLine="425"/>
        <w:jc w:val="both"/>
      </w:pPr>
      <w:r>
        <w:rPr>
          <w:rFonts w:ascii="Times New Roman" w:hAnsi="Times New Roman" w:cs="Times New Roman" w:eastAsia="Times New Roman"/>
          <w:b w:val="0"/>
          <w:sz w:val="24"/>
        </w:rPr>
        <w:t>Wallis, Roy, The Aetherius Society: A Case Study in the Formation of a Mystagogic Congregation, in The Sociological Review, 22, 1, 1974, pagine 27-44.</w:t>
      </w:r>
    </w:p>
    <w:p>
      <w:pPr>
        <w:spacing w:line="276" w:lineRule="auto" w:before="0" w:after="120"/>
        <w:ind w:firstLine="425"/>
        <w:jc w:val="both"/>
      </w:pPr>
      <w:r>
        <w:rPr>
          <w:rFonts w:ascii="Times New Roman" w:hAnsi="Times New Roman" w:cs="Times New Roman" w:eastAsia="Times New Roman"/>
          <w:b w:val="0"/>
          <w:sz w:val="24"/>
        </w:rPr>
        <w:t>Smith, Simon G., Opening a Channel to the Stars: The Origins and Development of the Aetherius Society, in Christopher Partridge, a cura di, UFO Religions, Routledge, Londra, 2003, pagine 84-102.</w:t>
      </w:r>
    </w:p>
    <w:p>
      <w:pPr>
        <w:spacing w:line="276" w:lineRule="auto" w:before="0" w:after="120"/>
        <w:ind w:firstLine="425"/>
        <w:jc w:val="both"/>
      </w:pPr>
      <w:r>
        <w:rPr>
          <w:rFonts w:ascii="Times New Roman" w:hAnsi="Times New Roman" w:cs="Times New Roman" w:eastAsia="Times New Roman"/>
          <w:b w:val="0"/>
          <w:sz w:val="24"/>
        </w:rPr>
        <w:t>Rothstein, Mikael, The Idea of the Past, the Reality of the Present, and the Construction of the Future: Millenarianism in the Aetherius Society, in James R. Lewis, a cura di, Encyclopedic Sourcebook of UFO Religions, Prometheus Books, New York, 2003, pagine 144-145.</w:t>
      </w:r>
    </w:p>
    <w:p>
      <w:pPr>
        <w:spacing w:line="276" w:lineRule="auto" w:before="0" w:after="120"/>
        <w:ind w:firstLine="425"/>
        <w:jc w:val="both"/>
      </w:pPr>
      <w:r>
        <w:rPr>
          <w:rFonts w:ascii="Times New Roman" w:hAnsi="Times New Roman" w:cs="Times New Roman" w:eastAsia="Times New Roman"/>
          <w:b w:val="0"/>
          <w:sz w:val="24"/>
        </w:rPr>
        <w:t>Rothstein, Mikael, UFO Beliefs as Syncretistic Components, in Partridge, UFO Religions, 2003, pagine 256-273.</w:t>
      </w:r>
    </w:p>
    <w:p>
      <w:pPr>
        <w:spacing w:line="276" w:lineRule="auto" w:before="0" w:after="120"/>
        <w:ind w:firstLine="425"/>
        <w:jc w:val="both"/>
      </w:pPr>
      <w:r>
        <w:rPr>
          <w:rFonts w:ascii="Times New Roman" w:hAnsi="Times New Roman" w:cs="Times New Roman" w:eastAsia="Times New Roman"/>
          <w:b w:val="0"/>
          <w:sz w:val="24"/>
        </w:rPr>
        <w:t>Saliba, John A., Religious Dimensions of UFO Phenomena e UFO Contactee Phenomena from a Sociopsychological Perspective, in James R. Lewis, a cura di, The Gods Have Landed: New Religions from Other Worlds, State University of New York Press, Albany, 1995; e The Study of UFO Religions: Review Essay, in Nova Religio, 10, 2, 2006, pagine 103-123.</w:t>
      </w:r>
    </w:p>
    <w:p>
      <w:pPr>
        <w:spacing w:line="276" w:lineRule="auto" w:before="0" w:after="120"/>
        <w:ind w:firstLine="425"/>
        <w:jc w:val="both"/>
      </w:pPr>
      <w:r>
        <w:rPr>
          <w:rFonts w:ascii="Times New Roman" w:hAnsi="Times New Roman" w:cs="Times New Roman" w:eastAsia="Times New Roman"/>
          <w:b w:val="0"/>
          <w:sz w:val="24"/>
        </w:rPr>
        <w:t>Melton, J. Gordon, Melton's Encyclopedia of American Religions, ottava edizione, Gale Cengage Learning, Detroit, 2009, voce relativa alla societa.</w:t>
      </w:r>
    </w:p>
    <w:p>
      <w:pPr>
        <w:spacing w:line="276" w:lineRule="auto" w:before="0" w:after="120"/>
        <w:ind w:firstLine="425"/>
        <w:jc w:val="both"/>
      </w:pPr>
      <w:r>
        <w:rPr>
          <w:rFonts w:ascii="Times New Roman" w:hAnsi="Times New Roman" w:cs="Times New Roman" w:eastAsia="Times New Roman"/>
          <w:b w:val="0"/>
          <w:sz w:val="24"/>
        </w:rPr>
        <w:t>World Religions and Spirituality Project, scheda Aetherius Society, 2016 e aggiornamenti, con riproduzione della dichiarazione collettiva Past Aetherius Society Members del 2008 e della replica di Richard Lawrence.</w:t>
      </w:r>
    </w:p>
    <w:p>
      <w:pPr>
        <w:spacing w:line="276" w:lineRule="auto" w:before="0" w:after="120"/>
        <w:ind w:firstLine="425"/>
        <w:jc w:val="both"/>
      </w:pPr>
      <w:r>
        <w:rPr>
          <w:rFonts w:ascii="Times New Roman" w:hAnsi="Times New Roman" w:cs="Times New Roman" w:eastAsia="Times New Roman"/>
          <w:b w:val="0"/>
          <w:sz w:val="24"/>
        </w:rPr>
        <w:t>Clarke, David, Special Branch and Mars Sector 6, pubblicazione ed esegesi dei rapporti della Metropolitan Police del primo giugno 1957 e del ventitre agosto 1958, sul sito dell'autore, luglio 2015; ripresa sul Daily Express del ventotto luglio 2015.</w:t>
      </w:r>
    </w:p>
    <w:p>
      <w:pPr>
        <w:spacing w:line="276" w:lineRule="auto" w:before="0" w:after="120"/>
        <w:ind w:firstLine="425"/>
        <w:jc w:val="both"/>
      </w:pPr>
      <w:r>
        <w:rPr>
          <w:rFonts w:ascii="Times New Roman" w:hAnsi="Times New Roman" w:cs="Times New Roman" w:eastAsia="Times New Roman"/>
          <w:b w:val="0"/>
          <w:sz w:val="24"/>
        </w:rPr>
        <w:t>Sito istituzionale della societa, sezioni dedicate ai Maestri Cosmici, alle missioni cosmiche e a Operazione Sunbeam, consultate nell'agosto 2026.</w:t>
      </w:r>
    </w:p>
    <w:p>
      <w:pPr>
        <w:spacing w:line="276" w:lineRule="auto" w:before="0" w:after="120"/>
        <w:ind w:firstLine="425"/>
        <w:jc w:val="both"/>
      </w:pPr>
      <w:r>
        <w:rPr>
          <w:rFonts w:ascii="Times New Roman" w:hAnsi="Times New Roman" w:cs="Times New Roman" w:eastAsia="Times New Roman"/>
          <w:b w:val="0"/>
          <w:sz w:val="24"/>
        </w:rPr>
        <w:t>Programma televisivo della BBC dedicato a George King, 1959, circa trentadue minuti, conservato negli archivi dell'emittente.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