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IL CANALE PETROLIFERO VERSO PRETORIA</w:t>
      </w:r>
    </w:p>
    <w:p>
      <w:pPr>
        <w:spacing w:line="276" w:lineRule="auto" w:after="0"/>
        <w:ind w:firstLine="0"/>
        <w:jc w:val="center"/>
      </w:pPr>
      <w:r>
        <w:rPr>
          <w:rFonts w:ascii="Times New Roman" w:hAnsi="Times New Roman" w:cs="Times New Roman" w:eastAsia="Times New Roman"/>
          <w:b w:val="0"/>
          <w:sz w:val="24"/>
        </w:rPr>
        <w:t>Il nodo Chiavelli, il contratto Lucina e la rete degli intermediari privati</w:t>
      </w:r>
    </w:p>
    <w:p>
      <w:pPr>
        <w:spacing w:line="276" w:lineRule="auto" w:after="0"/>
        <w:ind w:firstLine="0"/>
        <w:jc w:val="center"/>
      </w:pPr>
      <w:r>
        <w:rPr>
          <w:rFonts w:ascii="Times New Roman" w:hAnsi="Times New Roman" w:cs="Times New Roman" w:eastAsia="Times New Roman"/>
          <w:b/>
          <w:sz w:val="24"/>
        </w:rPr>
        <w:t>La smentita dell'esito negativo italiano</w:t>
      </w:r>
    </w:p>
    <w:p>
      <w:pPr>
        <w:spacing w:line="276" w:lineRule="auto" w:after="0"/>
        <w:ind w:firstLine="0"/>
        <w:jc w:val="center"/>
      </w:pPr>
      <w:r>
        <w:rPr>
          <w:rFonts w:ascii="Times New Roman" w:hAnsi="Times New Roman" w:cs="Times New Roman" w:eastAsia="Times New Roman"/>
          <w:b w:val="0"/>
          <w:sz w:val="24"/>
        </w:rPr>
        <w:t>Dieci Capitoli in cento Sottocapitoli - Prosecuzione dei registri sul teatro australe (blocchi 5001-6122)</w:t>
      </w:r>
    </w:p>
    <w:p>
      <w:pPr>
        <w:spacing w:line="276" w:lineRule="auto" w:after="0"/>
        <w:ind w:firstLine="0"/>
        <w:jc w:val="center"/>
      </w:pPr>
      <w:r>
        <w:rPr>
          <w:rFonts w:ascii="Times New Roman" w:hAnsi="Times New Roman" w:cs="Times New Roman" w:eastAsia="Times New Roman"/>
          <w:b w:val="0"/>
          <w:sz w:val="24"/>
        </w:rPr>
        <w:t>Documento estraneo al Registro Analitico</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23 agosto 2026</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NOTA LIMINARE</w:t>
      </w:r>
    </w:p>
    <w:p>
      <w:pPr>
        <w:spacing w:line="276" w:lineRule="auto" w:after="0"/>
        <w:ind w:firstLine="425"/>
        <w:jc w:val="both"/>
      </w:pPr>
      <w:r>
        <w:rPr>
          <w:rFonts w:ascii="Times New Roman" w:hAnsi="Times New Roman" w:cs="Times New Roman" w:eastAsia="Times New Roman"/>
          <w:b/>
          <w:sz w:val="24"/>
        </w:rPr>
        <w:t>Il presente documento esegue un ordine esecutivo che dispone la generazione di un registro in dieci Capitoli, ciascuno articolato in dieci Sottocapitoli, sostenuto da ricerca estesa e profonda condotta in deroga dichiarata al vincolo metodologico del committente.</w:t>
      </w:r>
      <w:r>
        <w:rPr>
          <w:rFonts w:ascii="Times New Roman" w:hAnsi="Times New Roman" w:cs="Times New Roman" w:eastAsia="Times New Roman"/>
          <w:b w:val="0"/>
          <w:sz w:val="24"/>
        </w:rPr>
        <w:t xml:space="preserve"> Esso prosegue la linea dei registri sul teatro australe — chiusasi, con la Triangolazione Atlantica Australe, al blocco seimilacentoventidue — e ne adotta, in luogo della numerazione per blocchi, l'architettura decimale prescritta dall'ordine: i Sottocapitoli sono numerati N.1-N.10 entro ciascun Capitolo.</w:t>
      </w:r>
    </w:p>
    <w:p>
      <w:pPr>
        <w:spacing w:line="276" w:lineRule="auto" w:after="0"/>
        <w:ind w:firstLine="425"/>
        <w:jc w:val="both"/>
      </w:pPr>
      <w:r>
        <w:rPr>
          <w:rFonts w:ascii="Times New Roman" w:hAnsi="Times New Roman" w:cs="Times New Roman" w:eastAsia="Times New Roman"/>
          <w:b w:val="0"/>
          <w:sz w:val="24"/>
        </w:rPr>
        <w:t xml:space="preserve">L'oggetto è il canale petrolifero dell'embargo al Sudafrica dell'apartheid, dal millenovecentosettantatré al millenovecentonovantaquattro, con al centro il nodo italiano che la Triangolazione Atlantica aveva versato al corpus lasciandolo gravato da un esito negativo totale sulle fonti italiane. </w:t>
      </w:r>
      <w:r>
        <w:rPr>
          <w:rFonts w:ascii="Times New Roman" w:hAnsi="Times New Roman" w:cs="Times New Roman" w:eastAsia="Times New Roman"/>
          <w:b/>
          <w:sz w:val="24"/>
        </w:rPr>
        <w:t>Quell'esito negativo esce da questa sessione smentito, e la smentita — esposta al Capitolo decimo — costituisce una correzione formale al corpus.</w:t>
      </w:r>
    </w:p>
    <w:p>
      <w:pPr>
        <w:spacing w:line="276" w:lineRule="auto" w:after="0"/>
        <w:ind w:firstLine="425"/>
        <w:jc w:val="both"/>
      </w:pPr>
      <w:r>
        <w:rPr>
          <w:rFonts w:ascii="Times New Roman" w:hAnsi="Times New Roman" w:cs="Times New Roman" w:eastAsia="Times New Roman"/>
          <w:b w:val="0"/>
          <w:sz w:val="24"/>
        </w:rPr>
        <w:t xml:space="preserve">Si applicano le discipline consuete: distinzione fra attestato e inferito; dichiarazione di ogni esito negativo con la distinzione fra impossibilità istituzionale, barriera di accesso e mancato reperimento; divieto di trattare la contemporaneità come nesso; disciplina sui viventi; riporto delle divergenze fra fonti senza composizione d'ufficio; grassetto riservato ai gradi del Sistema Savona e all'enfasi. </w:t>
      </w:r>
      <w:r>
        <w:rPr>
          <w:rFonts w:ascii="Times New Roman" w:hAnsi="Times New Roman" w:cs="Times New Roman" w:eastAsia="Times New Roman"/>
          <w:b/>
          <w:sz w:val="24"/>
        </w:rPr>
        <w:t>Sono escluse dalle fonti citabili, per disposizione permanente del committente, l'enciclopedia collaborativa Grokipedia — che i metadati della ricerca hanno lambito e che qui non è impiegata né citata — e il quotidiano il Manifesto.</w:t>
      </w:r>
    </w:p>
    <w:p>
      <w:pPr>
        <w:spacing w:line="276" w:lineRule="auto" w:after="0"/>
        <w:ind w:firstLine="0"/>
        <w:jc w:val="both"/>
      </w:pPr>
      <w:r>
        <w:rPr>
          <w:rFonts w:ascii="Times New Roman" w:hAnsi="Times New Roman" w:cs="Times New Roman" w:eastAsia="Times New Roman"/>
          <w:b/>
          <w:sz w:val="24"/>
        </w:rPr>
        <w:t>Capitolo primo — La dipendenza strutturale del Sudafrica</w:t>
      </w:r>
    </w:p>
    <w:p>
      <w:pPr>
        <w:spacing w:line="276" w:lineRule="auto" w:after="0"/>
        <w:ind w:firstLine="425"/>
        <w:jc w:val="both"/>
      </w:pPr>
      <w:r>
        <w:rPr>
          <w:rFonts w:ascii="Times New Roman" w:hAnsi="Times New Roman" w:cs="Times New Roman" w:eastAsia="Times New Roman"/>
          <w:b/>
          <w:sz w:val="24"/>
        </w:rPr>
        <w:t>1.1 — L'assenza di giacimenti.</w:t>
      </w:r>
      <w:r>
        <w:rPr>
          <w:rFonts w:ascii="Times New Roman" w:hAnsi="Times New Roman" w:cs="Times New Roman" w:eastAsia="Times New Roman"/>
          <w:b w:val="0"/>
          <w:sz w:val="24"/>
        </w:rPr>
        <w:t xml:space="preserve"> Il Sudafrica dell'apartheid non produceva greggio in quantità significative: la mancata scoperta di giacimenti interni fu, nelle parole di Nelson Mandela nella prefazione al volume dello Shipping Research Bureau del millenovecentonovantacinque, </w:t>
      </w:r>
      <w:r>
        <w:rPr>
          <w:rFonts w:ascii="Times New Roman" w:hAnsi="Times New Roman" w:cs="Times New Roman" w:eastAsia="Times New Roman"/>
          <w:b/>
          <w:sz w:val="24"/>
        </w:rPr>
        <w:t>the Achilles heel of apartheid</w:t>
      </w:r>
      <w:r>
        <w:rPr>
          <w:rFonts w:ascii="Times New Roman" w:hAnsi="Times New Roman" w:cs="Times New Roman" w:eastAsia="Times New Roman"/>
          <w:b w:val="0"/>
          <w:sz w:val="24"/>
        </w:rPr>
        <w:t xml:space="preserve">. La formula del tallone d'Achille risale a Ruth First, che la impiegò già nel millenovecentosettantadue, e percorre l'intera letteratura sull'embargo.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condizione strutturale, attestata da fonti ufficiali, accademiche e di parte avversa convergenti.</w:t>
      </w:r>
    </w:p>
    <w:p>
      <w:pPr>
        <w:spacing w:line="276" w:lineRule="auto" w:after="0"/>
        <w:ind w:firstLine="425"/>
        <w:jc w:val="both"/>
      </w:pPr>
      <w:r>
        <w:rPr>
          <w:rFonts w:ascii="Times New Roman" w:hAnsi="Times New Roman" w:cs="Times New Roman" w:eastAsia="Times New Roman"/>
          <w:b/>
          <w:sz w:val="24"/>
        </w:rPr>
        <w:t>1.2 — Il riconoscimento interno alla stessa élite bianca.</w:t>
      </w:r>
      <w:r>
        <w:rPr>
          <w:rFonts w:ascii="Times New Roman" w:hAnsi="Times New Roman" w:cs="Times New Roman" w:eastAsia="Times New Roman"/>
          <w:b w:val="0"/>
          <w:sz w:val="24"/>
        </w:rPr>
        <w:t xml:space="preserve"> Il rapporto economico del gruppo assicurativo Sanlam del millenovecentosettantanove dichiarava: </w:t>
      </w:r>
      <w:r>
        <w:rPr>
          <w:rFonts w:ascii="Times New Roman" w:hAnsi="Times New Roman" w:cs="Times New Roman" w:eastAsia="Times New Roman"/>
          <w:b/>
          <w:sz w:val="24"/>
        </w:rPr>
        <w:t>Without a doubt the Republic's Achilles' heel is oil</w:t>
      </w:r>
      <w:r>
        <w:rPr>
          <w:rFonts w:ascii="Times New Roman" w:hAnsi="Times New Roman" w:cs="Times New Roman" w:eastAsia="Times New Roman"/>
          <w:b w:val="0"/>
          <w:sz w:val="24"/>
        </w:rPr>
        <w:t xml:space="preserve">. E Dennis Fletcher, presidente della filiale sudafricana della Caltex, ricostruì nel millenovecentottantaquattro la sequenza degli approvvigionamenti: </w:t>
      </w:r>
      <w:r>
        <w:rPr>
          <w:rFonts w:ascii="Times New Roman" w:hAnsi="Times New Roman" w:cs="Times New Roman" w:eastAsia="Times New Roman"/>
          <w:b/>
          <w:sz w:val="24"/>
        </w:rPr>
        <w:t>In 1973, we were unable to buy Saudi Arabian crude and we switched our supply to Iranian sources. When the Shah fell in 1978 Iranian supplies dried up and we had to look elsewhere.</w:t>
      </w:r>
      <w:r>
        <w:rPr>
          <w:rFonts w:ascii="Times New Roman" w:hAnsi="Times New Roman" w:cs="Times New Roman" w:eastAsia="Times New Roman"/>
          <w:b w:val="0"/>
          <w:sz w:val="24"/>
        </w:rPr>
        <w:t xml:space="preserve"> La vulnerabilità non era tesi del movimento antiapartheid: era diagnosi del capitale afrikaner e delle compagnie stesse.</w:t>
      </w:r>
    </w:p>
    <w:p>
      <w:pPr>
        <w:spacing w:line="276" w:lineRule="auto" w:after="0"/>
        <w:ind w:firstLine="425"/>
        <w:jc w:val="both"/>
      </w:pPr>
      <w:r>
        <w:rPr>
          <w:rFonts w:ascii="Times New Roman" w:hAnsi="Times New Roman" w:cs="Times New Roman" w:eastAsia="Times New Roman"/>
          <w:b/>
          <w:sz w:val="24"/>
        </w:rPr>
        <w:t>1.3 — La geografia dei fornitori prima delle due cesure.</w:t>
      </w:r>
      <w:r>
        <w:rPr>
          <w:rFonts w:ascii="Times New Roman" w:hAnsi="Times New Roman" w:cs="Times New Roman" w:eastAsia="Times New Roman"/>
          <w:b w:val="0"/>
          <w:sz w:val="24"/>
        </w:rPr>
        <w:t xml:space="preserve"> Prima del millenovecentosettantatré Qatar, Arabia Saudita e Iraq fornivano quasi la metà del greggio importato; dopo l'embargo arabo la quota si spostò sull'Iran dello Scià, che divenne il fornitore dominante e restò tale fino alla rivoluzione. Due cesure, dunque, e non una: quella araba del millenovecentosettantatré, che il regime assorbì spostandosi su Teheran, e quella iraniana del millenovecentosettantanove, che non lasciò alcun fornitore statale legale e aprì la stagione degli intermediari.</w:t>
      </w:r>
    </w:p>
    <w:p>
      <w:pPr>
        <w:spacing w:line="276" w:lineRule="auto" w:after="0"/>
        <w:ind w:firstLine="425"/>
        <w:jc w:val="both"/>
      </w:pPr>
      <w:r>
        <w:rPr>
          <w:rFonts w:ascii="Times New Roman" w:hAnsi="Times New Roman" w:cs="Times New Roman" w:eastAsia="Times New Roman"/>
          <w:b/>
          <w:sz w:val="24"/>
        </w:rPr>
        <w:t>1.4 — La risposta amministrativa: l'Equalization Fund.</w:t>
      </w:r>
      <w:r>
        <w:rPr>
          <w:rFonts w:ascii="Times New Roman" w:hAnsi="Times New Roman" w:cs="Times New Roman" w:eastAsia="Times New Roman"/>
          <w:b w:val="0"/>
          <w:sz w:val="24"/>
        </w:rPr>
        <w:t xml:space="preserve"> Nel febbraio del millenovecentosettantanove il governo istituì l'Equalization Fund, alimentato da un'accisa sulla benzina, per compensare le compagnie petrolifere del differenziale fra il costo d'acquisto per aggiramento e il prezzo base del greggio. </w:t>
      </w:r>
      <w:r>
        <w:rPr>
          <w:rFonts w:ascii="Times New Roman" w:hAnsi="Times New Roman" w:cs="Times New Roman" w:eastAsia="Times New Roman"/>
          <w:b/>
          <w:sz w:val="24"/>
        </w:rPr>
        <w:t>Il sovrapprezzo dell'embargo fu così trasferito per legge sul consumatore sudafricano</w:t>
      </w:r>
      <w:r>
        <w:rPr>
          <w:rFonts w:ascii="Times New Roman" w:hAnsi="Times New Roman" w:cs="Times New Roman" w:eastAsia="Times New Roman"/>
          <w:b w:val="0"/>
          <w:sz w:val="24"/>
        </w:rPr>
        <w:t>: struttura che il Capitolo ottavo ritroverà nella formula di un capitolo del volume dello Shipping Research Bureau, il cui titolo recita Drive Now And Pay Forever.</w:t>
      </w:r>
    </w:p>
    <w:p>
      <w:pPr>
        <w:spacing w:line="276" w:lineRule="auto" w:after="0"/>
        <w:ind w:firstLine="425"/>
        <w:jc w:val="both"/>
      </w:pPr>
      <w:r>
        <w:rPr>
          <w:rFonts w:ascii="Times New Roman" w:hAnsi="Times New Roman" w:cs="Times New Roman" w:eastAsia="Times New Roman"/>
          <w:b/>
          <w:sz w:val="24"/>
        </w:rPr>
        <w:t>1.5 — Sasol I.</w:t>
      </w:r>
      <w:r>
        <w:rPr>
          <w:rFonts w:ascii="Times New Roman" w:hAnsi="Times New Roman" w:cs="Times New Roman" w:eastAsia="Times New Roman"/>
          <w:b w:val="0"/>
          <w:sz w:val="24"/>
        </w:rPr>
        <w:t xml:space="preserve"> La risposta industriale di lungo periodo precedette l'embargo di vent'anni: il primo campione di combustibile sintetico da carbone fu prodotto a Sasolburg il ventitré agosto millenovecentocinquantacinque, con tecnologia Fischer-Tropsch. La sintesi da carbone nacque come progetto di autarchia energetica dell'era Malan, non come reazione alle sanzioni: le sanzioni ne fecero la spina dorsale.</w:t>
      </w:r>
    </w:p>
    <w:p>
      <w:pPr>
        <w:spacing w:line="276" w:lineRule="auto" w:after="0"/>
        <w:ind w:firstLine="425"/>
        <w:jc w:val="both"/>
      </w:pPr>
      <w:r>
        <w:rPr>
          <w:rFonts w:ascii="Times New Roman" w:hAnsi="Times New Roman" w:cs="Times New Roman" w:eastAsia="Times New Roman"/>
          <w:b/>
          <w:sz w:val="24"/>
        </w:rPr>
        <w:t>1.6 — Sasol II.</w:t>
      </w:r>
      <w:r>
        <w:rPr>
          <w:rFonts w:ascii="Times New Roman" w:hAnsi="Times New Roman" w:cs="Times New Roman" w:eastAsia="Times New Roman"/>
          <w:b w:val="0"/>
          <w:sz w:val="24"/>
        </w:rPr>
        <w:t xml:space="preserve"> Il secondo impianto fu annunciato il cinque dicembre millenovecentosettantaquattro — un anno dopo l'embargo arabo — con costruzione avviata nel millenovecentosettantasei a Secunda a un costo di due miliardi e trecento milioni di rand; produsse il primo combustibile da carbone il primo marzo millenovecentottanta.</w:t>
      </w:r>
    </w:p>
    <w:p>
      <w:pPr>
        <w:spacing w:line="276" w:lineRule="auto" w:after="0"/>
        <w:ind w:firstLine="425"/>
        <w:jc w:val="both"/>
      </w:pPr>
      <w:r>
        <w:rPr>
          <w:rFonts w:ascii="Times New Roman" w:hAnsi="Times New Roman" w:cs="Times New Roman" w:eastAsia="Times New Roman"/>
          <w:b/>
          <w:sz w:val="24"/>
        </w:rPr>
        <w:t>1.7 — Sasol III e la divergenza sulla data.</w:t>
      </w:r>
      <w:r>
        <w:rPr>
          <w:rFonts w:ascii="Times New Roman" w:hAnsi="Times New Roman" w:cs="Times New Roman" w:eastAsia="Times New Roman"/>
          <w:b w:val="0"/>
          <w:sz w:val="24"/>
        </w:rPr>
        <w:t xml:space="preserve"> Il terzo impianto fu annunciato il ventidue febbraio millenovecentosettantasette — tre settimane dopo l'insediamento non ancora avvenuto dell'embargo obbligatorio sulle armi, e nel pieno della crisi di fiducia seguita a Soweto — a un costo previsto di tremiladuecentosettantasei milioni di rand. </w:t>
      </w:r>
      <w:r>
        <w:rPr>
          <w:rFonts w:ascii="Times New Roman" w:hAnsi="Times New Roman" w:cs="Times New Roman" w:eastAsia="Times New Roman"/>
          <w:b/>
          <w:sz w:val="24"/>
        </w:rPr>
        <w:t>Sulla data di entrata in produzione le fonti divergono: maggio millenovecentottantuno secondo la Sasol, millenovecentottantadue secondo altre ricostruzioni; la divergenza si riporta e non si compone.</w:t>
      </w:r>
      <w:r>
        <w:rPr>
          <w:rFonts w:ascii="Times New Roman" w:hAnsi="Times New Roman" w:cs="Times New Roman" w:eastAsia="Times New Roman"/>
          <w:b w:val="0"/>
          <w:sz w:val="24"/>
        </w:rPr>
        <w:t xml:space="preserve"> Il complesso di Secunda raggiunse una capacità di centocinquantamila-centosessantamila barili al giorno, pari a circa il ventotto per cento del fabbisogno nazionale di carburante.</w:t>
      </w:r>
    </w:p>
    <w:p>
      <w:pPr>
        <w:spacing w:line="276" w:lineRule="auto" w:after="0"/>
        <w:ind w:firstLine="425"/>
        <w:jc w:val="both"/>
      </w:pPr>
      <w:r>
        <w:rPr>
          <w:rFonts w:ascii="Times New Roman" w:hAnsi="Times New Roman" w:cs="Times New Roman" w:eastAsia="Times New Roman"/>
          <w:b/>
          <w:sz w:val="24"/>
        </w:rPr>
        <w:t>1.8 — Le quattro raffinerie.</w:t>
      </w:r>
      <w:r>
        <w:rPr>
          <w:rFonts w:ascii="Times New Roman" w:hAnsi="Times New Roman" w:cs="Times New Roman" w:eastAsia="Times New Roman"/>
          <w:b w:val="0"/>
          <w:sz w:val="24"/>
        </w:rPr>
        <w:t xml:space="preserve"> SAPREF, millenovecentosessantatré, duecentomila barili al giorno, Durban, Shell e BP; CALREF, millenovecentosessantasei, novantamila barili, Milnerton, Caltex; NATREF, millenovecentosettantuno, settantottomilacinquecento barili, Sasolburg, con partecipazione di Total, Sasol e della compagnia di Stato iraniana NIOC, ritiratasi negli anni Ottanta; MOREF poi GENREF, millenovecentocinquantatré, sessantacinquemila barili, Wentworth, Mobil, ceduta a Engen del gruppo Gencor nel millenovecentottantanove. </w:t>
      </w:r>
      <w:r>
        <w:rPr>
          <w:rFonts w:ascii="Times New Roman" w:hAnsi="Times New Roman" w:cs="Times New Roman" w:eastAsia="Times New Roman"/>
          <w:b/>
          <w:sz w:val="24"/>
        </w:rPr>
        <w:t>Il paradosso della NIOC va registrato: la compagnia di Stato iraniana restò azionista di una raffineria sudafricana anche dopo l'embargo del proprio governo</w:t>
      </w:r>
      <w:r>
        <w:rPr>
          <w:rFonts w:ascii="Times New Roman" w:hAnsi="Times New Roman" w:cs="Times New Roman" w:eastAsia="Times New Roman"/>
          <w:b w:val="0"/>
          <w:sz w:val="24"/>
        </w:rPr>
        <w:t>, e il suo ritiro fu tardivo rispetto alla cesura politica.</w:t>
      </w:r>
    </w:p>
    <w:p>
      <w:pPr>
        <w:spacing w:line="276" w:lineRule="auto" w:after="0"/>
        <w:ind w:firstLine="425"/>
        <w:jc w:val="both"/>
      </w:pPr>
      <w:r>
        <w:rPr>
          <w:rFonts w:ascii="Times New Roman" w:hAnsi="Times New Roman" w:cs="Times New Roman" w:eastAsia="Times New Roman"/>
          <w:b/>
          <w:sz w:val="24"/>
        </w:rPr>
        <w:t>1.9 — Il fondo strategico e l'architettura dei fondi.</w:t>
      </w:r>
      <w:r>
        <w:rPr>
          <w:rFonts w:ascii="Times New Roman" w:hAnsi="Times New Roman" w:cs="Times New Roman" w:eastAsia="Times New Roman"/>
          <w:b w:val="0"/>
          <w:sz w:val="24"/>
        </w:rPr>
        <w:t xml:space="preserve"> Lo Strategic Fuel Fund Association gestiva le riserve strategiche, con stoccaggio di greggio in miniere di carbone dismesse; nel millenovecentottantaquattro — l'anno dello scandalo che il Capitolo ottavo espone — esso fu tolto al controllo della Sasol e posto sotto la Industrial Development Corporation. L'architettura finanziaria conobbe tre denominazioni: Strategic Oil Fund, poi State Oil Fund dal millenovecentosettantasette, infine Central Energy Fund dal millenovecentottantacinque, e finanziò con le accise la costruzione di Sasol II e III.</w:t>
      </w:r>
    </w:p>
    <w:p>
      <w:pPr>
        <w:spacing w:line="276" w:lineRule="auto" w:after="0"/>
        <w:ind w:firstLine="425"/>
        <w:jc w:val="both"/>
      </w:pPr>
      <w:r>
        <w:rPr>
          <w:rFonts w:ascii="Times New Roman" w:hAnsi="Times New Roman" w:cs="Times New Roman" w:eastAsia="Times New Roman"/>
          <w:b/>
          <w:sz w:val="24"/>
        </w:rPr>
        <w:t>1.10 — Il costo complessivo, con la divergenza valutaria.</w:t>
      </w:r>
      <w:r>
        <w:rPr>
          <w:rFonts w:ascii="Times New Roman" w:hAnsi="Times New Roman" w:cs="Times New Roman" w:eastAsia="Times New Roman"/>
          <w:b w:val="0"/>
          <w:sz w:val="24"/>
        </w:rPr>
        <w:t xml:space="preserve"> P.W. Botha, citato dal Windhoek Advertiser del venticinque aprile millenovecentottantasei, dichiarò: </w:t>
      </w:r>
      <w:r>
        <w:rPr>
          <w:rFonts w:ascii="Times New Roman" w:hAnsi="Times New Roman" w:cs="Times New Roman" w:eastAsia="Times New Roman"/>
          <w:b/>
          <w:sz w:val="24"/>
        </w:rPr>
        <w:t>Between 1973 and 1984 the Republic of South Africa had to pay R22 billion (over 1.3 billion dollars) more than it would have normally spent. There were times when it was reported to me that we had enough oil for only a week.</w:t>
      </w:r>
      <w:r>
        <w:rPr>
          <w:rFonts w:ascii="Times New Roman" w:hAnsi="Times New Roman" w:cs="Times New Roman" w:eastAsia="Times New Roman"/>
          <w:b w:val="0"/>
          <w:sz w:val="24"/>
        </w:rPr>
        <w:t xml:space="preserve"> Lo Shipping Research Bureau stimò un sovrapprezzo di due-due virgola quattro miliardi di dollari annui sopra un conto petrolifero di uno virgola tre-tre virgola otto miliardi. </w:t>
      </w:r>
      <w:r>
        <w:rPr>
          <w:rFonts w:ascii="Times New Roman" w:hAnsi="Times New Roman" w:cs="Times New Roman" w:eastAsia="Times New Roman"/>
          <w:b/>
          <w:sz w:val="24"/>
        </w:rPr>
        <w:t>Divergenza da segnalare: talune fonti riportano il totale del sovrapprezzo in dollari e altre in rand per il medesimo periodo; la citazione diretta di Botha usa il rand, e ad essa si dà precedenza.</w:t>
      </w:r>
      <w:r>
        <w:rPr>
          <w:rFonts w:ascii="Times New Roman" w:hAnsi="Times New Roman" w:cs="Times New Roman" w:eastAsia="Times New Roman"/>
          <w:b w:val="0"/>
          <w:sz w:val="24"/>
        </w:rPr>
        <w:t xml:space="preserve"> Che il primo ministro dell'apartheid abbia ammesso pubblicamente la settimana di autonomia è, in sé, la misura della leva che l'embargo — pur non obbligatorio — esercitò.</w:t>
      </w:r>
    </w:p>
    <w:p>
      <w:pPr>
        <w:spacing w:line="276" w:lineRule="auto" w:after="0"/>
        <w:ind w:firstLine="0"/>
        <w:jc w:val="both"/>
      </w:pPr>
      <w:r>
        <w:rPr>
          <w:rFonts w:ascii="Times New Roman" w:hAnsi="Times New Roman" w:cs="Times New Roman" w:eastAsia="Times New Roman"/>
          <w:b/>
          <w:sz w:val="24"/>
        </w:rPr>
        <w:t>Capitolo secondo — Il regime giuridico dell'embargo petrolifero</w:t>
      </w:r>
    </w:p>
    <w:p>
      <w:pPr>
        <w:spacing w:line="276" w:lineRule="auto" w:after="0"/>
        <w:ind w:firstLine="425"/>
        <w:jc w:val="both"/>
      </w:pPr>
      <w:r>
        <w:rPr>
          <w:rFonts w:ascii="Times New Roman" w:hAnsi="Times New Roman" w:cs="Times New Roman" w:eastAsia="Times New Roman"/>
          <w:b/>
          <w:sz w:val="24"/>
        </w:rPr>
        <w:t>2.1 — L'embargo arabo del millenovecentosettantatré.</w:t>
      </w:r>
      <w:r>
        <w:rPr>
          <w:rFonts w:ascii="Times New Roman" w:hAnsi="Times New Roman" w:cs="Times New Roman" w:eastAsia="Times New Roman"/>
          <w:b w:val="0"/>
          <w:sz w:val="24"/>
        </w:rPr>
        <w:t xml:space="preserve"> Dopo la guerra del Kippur l'OAPEC estese l'embargo petrolifero al Sudafrica, insieme al Portogallo e alla Rhodesia; l'embargo generale verso l'Occidente cessò nel marzo millenovecentosettantaquattro, </w:t>
      </w:r>
      <w:r>
        <w:rPr>
          <w:rFonts w:ascii="Times New Roman" w:hAnsi="Times New Roman" w:cs="Times New Roman" w:eastAsia="Times New Roman"/>
          <w:b/>
          <w:sz w:val="24"/>
        </w:rPr>
        <w:t>ma quello contro il Sudafrica rimase in vigore</w:t>
      </w:r>
      <w:r>
        <w:rPr>
          <w:rFonts w:ascii="Times New Roman" w:hAnsi="Times New Roman" w:cs="Times New Roman" w:eastAsia="Times New Roman"/>
          <w:b w:val="0"/>
          <w:sz w:val="24"/>
        </w:rPr>
        <w:t>: fu il primo strato del regime, di fonte non onusiana ma cartellistica.</w:t>
      </w:r>
    </w:p>
    <w:p>
      <w:pPr>
        <w:spacing w:line="276" w:lineRule="auto" w:after="0"/>
        <w:ind w:firstLine="425"/>
        <w:jc w:val="both"/>
      </w:pPr>
      <w:r>
        <w:rPr>
          <w:rFonts w:ascii="Times New Roman" w:hAnsi="Times New Roman" w:cs="Times New Roman" w:eastAsia="Times New Roman"/>
          <w:b/>
          <w:sz w:val="24"/>
        </w:rPr>
        <w:t>2.2 — L'embargo iraniano del millenovecentosettantanove.</w:t>
      </w:r>
      <w:r>
        <w:rPr>
          <w:rFonts w:ascii="Times New Roman" w:hAnsi="Times New Roman" w:cs="Times New Roman" w:eastAsia="Times New Roman"/>
          <w:b w:val="0"/>
          <w:sz w:val="24"/>
        </w:rPr>
        <w:t xml:space="preserve"> La rivoluzione interruppe le forniture del fornitore dominante: secondo strato, anch'esso di fonte statale unilaterale e non di organizzazione internazionale. I due strati insieme produssero la condizione che il Capitolo primo ha misurato: nessun fornitore statale legale, e un fabbisogno coperto per via privata.</w:t>
      </w:r>
    </w:p>
    <w:p>
      <w:pPr>
        <w:spacing w:line="276" w:lineRule="auto" w:after="0"/>
        <w:ind w:firstLine="425"/>
        <w:jc w:val="both"/>
      </w:pPr>
      <w:r>
        <w:rPr>
          <w:rFonts w:ascii="Times New Roman" w:hAnsi="Times New Roman" w:cs="Times New Roman" w:eastAsia="Times New Roman"/>
          <w:b/>
          <w:sz w:val="24"/>
        </w:rPr>
        <w:t>2.3 — La risoluzione quattrocentodiciotto e il suo perimetro.</w:t>
      </w:r>
      <w:r>
        <w:rPr>
          <w:rFonts w:ascii="Times New Roman" w:hAnsi="Times New Roman" w:cs="Times New Roman" w:eastAsia="Times New Roman"/>
          <w:b w:val="0"/>
          <w:sz w:val="24"/>
        </w:rPr>
        <w:t xml:space="preserve"> Il quattro novembre millenovecentosettantasette il Consiglio di Sicurezza rese obbligatorio, ai sensi del Capitolo settimo della Carta, l'embargo sulle armi, con la risoluzione quattrocentodiciotto adottata all'unanimità con quindici voti nella duemilaquarantaseiesima seduta. </w:t>
      </w:r>
      <w:r>
        <w:rPr>
          <w:rFonts w:ascii="Times New Roman" w:hAnsi="Times New Roman" w:cs="Times New Roman" w:eastAsia="Times New Roman"/>
          <w:b/>
          <w:sz w:val="24"/>
        </w:rPr>
        <w:t>Il perimetro della risoluzione è la chiave dell'intero registro: essa copre le armi e non il petrolio.</w:t>
      </w:r>
      <w:r>
        <w:rPr>
          <w:rFonts w:ascii="Times New Roman" w:hAnsi="Times New Roman" w:cs="Times New Roman" w:eastAsia="Times New Roman"/>
          <w:b w:val="0"/>
          <w:sz w:val="24"/>
        </w:rPr>
        <w:t xml:space="preserve"> Le due lettere italiane già acquisite al corpus — S/9640 del millenovecentosettanta e S/AC.20/27 del millenovecentottanta — appartengono a quel regime, non a questo.</w:t>
      </w:r>
    </w:p>
    <w:p>
      <w:pPr>
        <w:spacing w:line="276" w:lineRule="auto" w:after="0"/>
        <w:ind w:firstLine="425"/>
        <w:jc w:val="both"/>
      </w:pPr>
      <w:r>
        <w:rPr>
          <w:rFonts w:ascii="Times New Roman" w:hAnsi="Times New Roman" w:cs="Times New Roman" w:eastAsia="Times New Roman"/>
          <w:b/>
          <w:sz w:val="24"/>
        </w:rPr>
        <w:t>2.4 — Il petrolio mai reso obbligatorio.</w:t>
      </w:r>
      <w:r>
        <w:rPr>
          <w:rFonts w:ascii="Times New Roman" w:hAnsi="Times New Roman" w:cs="Times New Roman" w:eastAsia="Times New Roman"/>
          <w:b w:val="0"/>
          <w:sz w:val="24"/>
        </w:rPr>
        <w:t xml:space="preserve"> Il Consiglio di Sicurezza non rese mai vincolante l'embargo petrolifero: gli sforzi dei Paesi africani si infransero sui veti di Stati Uniti e Regno Unito. </w:t>
      </w:r>
      <w:r>
        <w:rPr>
          <w:rFonts w:ascii="Times New Roman" w:hAnsi="Times New Roman" w:cs="Times New Roman" w:eastAsia="Times New Roman"/>
          <w:b/>
          <w:sz w:val="24"/>
        </w:rPr>
        <w:t>Ne discende l'asimmetria strutturale che governa la materia: sulle armi esisteva un obbligo giuridico internazionale e un Comitato di controllo; sul petrolio esistevano soltanto raccomandazioni, embarghi unilaterali dei produttori e legislazioni nazionali volontarie.</w:t>
      </w:r>
      <w:r>
        <w:rPr>
          <w:rFonts w:ascii="Times New Roman" w:hAnsi="Times New Roman" w:cs="Times New Roman" w:eastAsia="Times New Roman"/>
          <w:b w:val="0"/>
          <w:sz w:val="24"/>
        </w:rPr>
        <w:t xml:space="preserve"> L'aggiramento petrolifero non violava, in quanto tale, alcun obbligo di diritto internazionale generale: violava, dove esistevano, le leggi dei singoli Stati di bandiera, di produzione o di transito.</w:t>
      </w:r>
    </w:p>
    <w:p>
      <w:pPr>
        <w:spacing w:line="276" w:lineRule="auto" w:after="0"/>
        <w:ind w:firstLine="425"/>
        <w:jc w:val="both"/>
      </w:pPr>
      <w:r>
        <w:rPr>
          <w:rFonts w:ascii="Times New Roman" w:hAnsi="Times New Roman" w:cs="Times New Roman" w:eastAsia="Times New Roman"/>
          <w:b/>
          <w:sz w:val="24"/>
        </w:rPr>
        <w:t>2.5 — Le risoluzioni dell'Assemblea Generale.</w:t>
      </w:r>
      <w:r>
        <w:rPr>
          <w:rFonts w:ascii="Times New Roman" w:hAnsi="Times New Roman" w:cs="Times New Roman" w:eastAsia="Times New Roman"/>
          <w:b w:val="0"/>
          <w:sz w:val="24"/>
        </w:rPr>
        <w:t xml:space="preserve"> L'Assemblea adottò la risoluzione 33/183, Oil embargo against South Africa, nella trentatreesima sessione, e proseguì con pronunce annuali fino all'embargo petrolifero volontario votato il venti novembre millenovecentottantasette. Atti raccomandatori, privi di forza cogente, ma generatori dell'apparato di monitoraggio del punto seguente.</w:t>
      </w:r>
    </w:p>
    <w:p>
      <w:pPr>
        <w:spacing w:line="276" w:lineRule="auto" w:after="0"/>
        <w:ind w:firstLine="425"/>
        <w:jc w:val="both"/>
      </w:pPr>
      <w:r>
        <w:rPr>
          <w:rFonts w:ascii="Times New Roman" w:hAnsi="Times New Roman" w:cs="Times New Roman" w:eastAsia="Times New Roman"/>
          <w:b/>
          <w:sz w:val="24"/>
        </w:rPr>
        <w:t>2.6 — Il Gruppo intergovernativo di monitoraggio.</w:t>
      </w:r>
      <w:r>
        <w:rPr>
          <w:rFonts w:ascii="Times New Roman" w:hAnsi="Times New Roman" w:cs="Times New Roman" w:eastAsia="Times New Roman"/>
          <w:b w:val="0"/>
          <w:sz w:val="24"/>
        </w:rPr>
        <w:t xml:space="preserve"> Istituito nel millenovecentottantasei, l'Intergovernmental Group to Monitor the Supply and Shipping of Oil and Petroleum Products to South Africa produsse rapporti annuali: A/42/45 del millenovecentottantasette; A/44/44-S/20926 del trentuno ottobre millenovecentottantanove, quarantatré pagine; A/45/43-S/21946 del diciannove novembre millenovecentonovanta, cinquantacinque pagine; A/46/44-S/23126 del millenovecentonovantuno. </w:t>
      </w:r>
      <w:r>
        <w:rPr>
          <w:rFonts w:ascii="Times New Roman" w:hAnsi="Times New Roman" w:cs="Times New Roman" w:eastAsia="Times New Roman"/>
          <w:b/>
          <w:sz w:val="24"/>
        </w:rPr>
        <w:t>La doppia segnatura — di Assemblea e di Consiglio — misura l'ambizione dell'organo e insieme il suo limite: esso riferiva a entrambi, ma vincolava nessuno.</w:t>
      </w:r>
    </w:p>
    <w:p>
      <w:pPr>
        <w:spacing w:line="276" w:lineRule="auto" w:after="0"/>
        <w:ind w:firstLine="425"/>
        <w:jc w:val="both"/>
      </w:pPr>
      <w:r>
        <w:rPr>
          <w:rFonts w:ascii="Times New Roman" w:hAnsi="Times New Roman" w:cs="Times New Roman" w:eastAsia="Times New Roman"/>
          <w:b/>
          <w:sz w:val="24"/>
        </w:rPr>
        <w:t>2.7 — Le legislazioni nazionali.</w:t>
      </w:r>
      <w:r>
        <w:rPr>
          <w:rFonts w:ascii="Times New Roman" w:hAnsi="Times New Roman" w:cs="Times New Roman" w:eastAsia="Times New Roman"/>
          <w:b w:val="0"/>
          <w:sz w:val="24"/>
        </w:rPr>
        <w:t xml:space="preserve"> La Norvegia e la Danimarca adottarono leggi che vietavano il trasporto di greggio verso il Sudafrica su navi battenti la propria bandiera — misura che colpiva il cuore armatoriale scandinavo del traffico —; gli Stati Uniti approvarono il Comprehensive Anti-Apartheid Act del millenovecentottantasei, che incluse il versante petrolifero nel pacchetto sanzionatorio.</w:t>
      </w:r>
    </w:p>
    <w:p>
      <w:pPr>
        <w:spacing w:line="276" w:lineRule="auto" w:after="0"/>
        <w:ind w:firstLine="425"/>
        <w:jc w:val="both"/>
      </w:pPr>
      <w:r>
        <w:rPr>
          <w:rFonts w:ascii="Times New Roman" w:hAnsi="Times New Roman" w:cs="Times New Roman" w:eastAsia="Times New Roman"/>
          <w:b/>
          <w:sz w:val="24"/>
        </w:rPr>
        <w:t>2.8 — L'iter del Comprehensive Anti-Apartheid Act.</w:t>
      </w:r>
      <w:r>
        <w:rPr>
          <w:rFonts w:ascii="Times New Roman" w:hAnsi="Times New Roman" w:cs="Times New Roman" w:eastAsia="Times New Roman"/>
          <w:b w:val="0"/>
          <w:sz w:val="24"/>
        </w:rPr>
        <w:t xml:space="preserve"> Il presidente Reagan pose il veto il ventisei settembre millenovecentottantasei; la Camera lo superò il ventinove settembre con </w:t>
      </w:r>
      <w:r>
        <w:rPr>
          <w:rFonts w:ascii="Times New Roman" w:hAnsi="Times New Roman" w:cs="Times New Roman" w:eastAsia="Times New Roman"/>
          <w:b/>
          <w:sz w:val="24"/>
        </w:rPr>
        <w:t>trecentotredici voti contro ottantatré</w:t>
      </w:r>
      <w:r>
        <w:rPr>
          <w:rFonts w:ascii="Times New Roman" w:hAnsi="Times New Roman" w:cs="Times New Roman" w:eastAsia="Times New Roman"/>
          <w:b w:val="0"/>
          <w:sz w:val="24"/>
        </w:rPr>
        <w:t xml:space="preserve">, secondo il dato ufficiale del Record Vote numero 425 registrato da Congress dot gov e dall'ufficio storico della Camera; il Senato lo superò il due ottobre con settantotto voti contro ventuno. </w:t>
      </w:r>
      <w:r>
        <w:rPr>
          <w:rFonts w:ascii="Times New Roman" w:hAnsi="Times New Roman" w:cs="Times New Roman" w:eastAsia="Times New Roman"/>
          <w:b/>
          <w:sz w:val="24"/>
        </w:rPr>
        <w:t>Divergenza da segnalare: fonti secondarie riportano per la Camera anche le cifre trecentoquindici a ottantaquattro e trecentoventotto a settantaquattro; si dà precedenza al dato ufficiale.</w:t>
      </w:r>
      <w:r>
        <w:rPr>
          <w:rFonts w:ascii="Times New Roman" w:hAnsi="Times New Roman" w:cs="Times New Roman" w:eastAsia="Times New Roman"/>
          <w:b w:val="0"/>
          <w:sz w:val="24"/>
        </w:rPr>
        <w:t xml:space="preserve"> La sequenza dei quarantaquattro giorni fra agosto e ottobre, già versata dalla Triangolazione Atlantica, trova qui la sua conclusione contabile.</w:t>
      </w:r>
    </w:p>
    <w:p>
      <w:pPr>
        <w:spacing w:line="276" w:lineRule="auto" w:after="0"/>
        <w:ind w:firstLine="425"/>
        <w:jc w:val="both"/>
      </w:pPr>
      <w:r>
        <w:rPr>
          <w:rFonts w:ascii="Times New Roman" w:hAnsi="Times New Roman" w:cs="Times New Roman" w:eastAsia="Times New Roman"/>
          <w:b/>
          <w:sz w:val="24"/>
        </w:rPr>
        <w:t>2.9 — La verifica mai chiusa: il voto italiano sulla risoluzione 2775 (XXVI).</w:t>
      </w:r>
      <w:r>
        <w:rPr>
          <w:rFonts w:ascii="Times New Roman" w:hAnsi="Times New Roman" w:cs="Times New Roman" w:eastAsia="Times New Roman"/>
          <w:b w:val="0"/>
          <w:sz w:val="24"/>
        </w:rPr>
        <w:t xml:space="preserve"> La risoluzione dell'Assemblea Generale 2775 (XXVI) del ventinove novembre millenovecentosettantuno comprende una parte intitolata Arms embargo, registrata in A/8429, pagina quarantuno, del ventiseiesimo supplemento ventinove. </w:t>
      </w:r>
      <w:r>
        <w:rPr>
          <w:rFonts w:ascii="Times New Roman" w:hAnsi="Times New Roman" w:cs="Times New Roman" w:eastAsia="Times New Roman"/>
          <w:b/>
          <w:sz w:val="24"/>
        </w:rPr>
        <w:t>La presente ricerca ha tentato il reperimento del voto italiano nei verbali della serie A/PV e non lo ha conseguito: l'esito è mancato reperimento, non impossibilità istituzionale, e la voce resta aperta nella tavola del Capitolo decimo.</w:t>
      </w:r>
      <w:r>
        <w:rPr>
          <w:rFonts w:ascii="Times New Roman" w:hAnsi="Times New Roman" w:cs="Times New Roman" w:eastAsia="Times New Roman"/>
          <w:b w:val="0"/>
          <w:sz w:val="24"/>
        </w:rPr>
        <w:t xml:space="preserve"> Essa è la più antica pendenza onusiana del perimetro australe, aperta dalla ricognizione sui voti e mai chiusa da tre sessioni.</w:t>
      </w:r>
    </w:p>
    <w:p>
      <w:pPr>
        <w:spacing w:line="276" w:lineRule="auto" w:after="0"/>
        <w:ind w:firstLine="425"/>
        <w:jc w:val="both"/>
      </w:pPr>
      <w:r>
        <w:rPr>
          <w:rFonts w:ascii="Times New Roman" w:hAnsi="Times New Roman" w:cs="Times New Roman" w:eastAsia="Times New Roman"/>
          <w:b/>
          <w:sz w:val="24"/>
        </w:rPr>
        <w:t>2.10 — Il precedente rhodesiano come matrice comparata.</w:t>
      </w:r>
      <w:r>
        <w:rPr>
          <w:rFonts w:ascii="Times New Roman" w:hAnsi="Times New Roman" w:cs="Times New Roman" w:eastAsia="Times New Roman"/>
          <w:b w:val="0"/>
          <w:sz w:val="24"/>
        </w:rPr>
        <w:t xml:space="preserve"> L'embargo petrolifero al Sudafrica seguì di un decennio quello alla Rhodesia del millenovecentosessantacinque-ottanta, analizzato dal giornalista britannico Martin Bailey; e ne ereditò le tecniche di aggiramento — triangolazioni, false destinazioni, compiacenza dei territori contigui — che gli intermediari del Capitolo settimo avrebbero portato a scala industriale. </w:t>
      </w:r>
      <w:r>
        <w:rPr>
          <w:rFonts w:ascii="Times New Roman" w:hAnsi="Times New Roman" w:cs="Times New Roman" w:eastAsia="Times New Roman"/>
          <w:b/>
          <w:sz w:val="24"/>
        </w:rPr>
        <w:t>Il regime paria impara dal regime paria che lo precede: è la forma petrolifera dell'isomorfismo replicato che il corpus censisce come quinto sottotipo degli Archi.</w:t>
      </w:r>
    </w:p>
    <w:p>
      <w:pPr>
        <w:spacing w:line="276" w:lineRule="auto" w:after="0"/>
        <w:ind w:firstLine="0"/>
        <w:jc w:val="both"/>
      </w:pPr>
      <w:r>
        <w:rPr>
          <w:rFonts w:ascii="Times New Roman" w:hAnsi="Times New Roman" w:cs="Times New Roman" w:eastAsia="Times New Roman"/>
          <w:b/>
          <w:sz w:val="24"/>
        </w:rPr>
        <w:t>Capitolo terzo — Lo Shipping Research Bureau di Amsterdam</w:t>
      </w:r>
    </w:p>
    <w:p>
      <w:pPr>
        <w:spacing w:line="276" w:lineRule="auto" w:after="0"/>
        <w:ind w:firstLine="425"/>
        <w:jc w:val="both"/>
      </w:pPr>
      <w:r>
        <w:rPr>
          <w:rFonts w:ascii="Times New Roman" w:hAnsi="Times New Roman" w:cs="Times New Roman" w:eastAsia="Times New Roman"/>
          <w:b/>
          <w:sz w:val="24"/>
        </w:rPr>
        <w:t>3.1 — La fondazione.</w:t>
      </w:r>
      <w:r>
        <w:rPr>
          <w:rFonts w:ascii="Times New Roman" w:hAnsi="Times New Roman" w:cs="Times New Roman" w:eastAsia="Times New Roman"/>
          <w:b w:val="0"/>
          <w:sz w:val="24"/>
        </w:rPr>
        <w:t xml:space="preserve"> Lo Shipping Research Bureau fu fondato ad Amsterdam nel millenovecentottanta da due organizzazioni del movimento olandese di solidarietà: il Komitee Zuidelijk Afrika e il Werkgroep Kairos. Nacque come ufficio di ricerca al servizio della campagna per l'embargo, e divenne — per assenza di ogni organo pubblico equivalente — </w:t>
      </w:r>
      <w:r>
        <w:rPr>
          <w:rFonts w:ascii="Times New Roman" w:hAnsi="Times New Roman" w:cs="Times New Roman" w:eastAsia="Times New Roman"/>
          <w:b/>
          <w:sz w:val="24"/>
        </w:rPr>
        <w:t>la sola contabilità sistematica mai tenuta del traffico petrolifero verso il Sudafrica.</w:t>
      </w:r>
    </w:p>
    <w:p>
      <w:pPr>
        <w:spacing w:line="276" w:lineRule="auto" w:after="0"/>
        <w:ind w:firstLine="425"/>
        <w:jc w:val="both"/>
      </w:pPr>
      <w:r>
        <w:rPr>
          <w:rFonts w:ascii="Times New Roman" w:hAnsi="Times New Roman" w:cs="Times New Roman" w:eastAsia="Times New Roman"/>
          <w:b/>
          <w:sz w:val="24"/>
        </w:rPr>
        <w:t>3.2 — Le radici ecclesiali.</w:t>
      </w:r>
      <w:r>
        <w:rPr>
          <w:rFonts w:ascii="Times New Roman" w:hAnsi="Times New Roman" w:cs="Times New Roman" w:eastAsia="Times New Roman"/>
          <w:b w:val="0"/>
          <w:sz w:val="24"/>
        </w:rPr>
        <w:t xml:space="preserve"> Il Werkgroep Kairos era stato fondato nel millenovecentosettanta da Cor Groenendijk su basi cristiane, in appoggio al Christian Institute di Beyers Naudé; entrambe le organizzazioni fondatrici erano impegnate nella campagna contro la Shell. </w:t>
      </w:r>
      <w:r>
        <w:rPr>
          <w:rFonts w:ascii="Times New Roman" w:hAnsi="Times New Roman" w:cs="Times New Roman" w:eastAsia="Times New Roman"/>
          <w:b/>
          <w:sz w:val="24"/>
        </w:rPr>
        <w:t>Il dato va registrato perché raccorda questo registro al pannello vaticano del corpus: la contabilità laica dell'embargo nacque da una matrice ecclesiale riformata, come la condanna dottrinale dell'apartheid era nata, sul versante cattolico, dall'episcopato locale del millenovecentocinquantasette.</w:t>
      </w:r>
    </w:p>
    <w:p>
      <w:pPr>
        <w:spacing w:line="276" w:lineRule="auto" w:after="0"/>
        <w:ind w:firstLine="425"/>
        <w:jc w:val="both"/>
      </w:pPr>
      <w:r>
        <w:rPr>
          <w:rFonts w:ascii="Times New Roman" w:hAnsi="Times New Roman" w:cs="Times New Roman" w:eastAsia="Times New Roman"/>
          <w:b/>
          <w:sz w:val="24"/>
        </w:rPr>
        <w:t>3.3 — Il metodo.</w:t>
      </w:r>
      <w:r>
        <w:rPr>
          <w:rFonts w:ascii="Times New Roman" w:hAnsi="Times New Roman" w:cs="Times New Roman" w:eastAsia="Times New Roman"/>
          <w:b w:val="0"/>
          <w:sz w:val="24"/>
        </w:rPr>
        <w:t xml:space="preserve"> L'ufficio monitorò dal millenovecentottanta al millenovecentonovantatré le navi cisterna eccedenti le cinquantamila tonnellate, ricostruendone i movimenti attraverso i registri di classificazione, le pubblicazioni armatoriali, i dati portuali e una rete di informatori; identificava le soste non dichiarate al largo delle coste sudafricane e le incongruenze fra destinazione dichiarata e rotta effettiva. Metodo indiziario nel senso proprio del corpus: la nave che scompare dai registri per il tempo di una traversata australe è la traccia involontaria del carico che non doveva esistere.</w:t>
      </w:r>
    </w:p>
    <w:p>
      <w:pPr>
        <w:spacing w:line="276" w:lineRule="auto" w:after="0"/>
        <w:ind w:firstLine="425"/>
        <w:jc w:val="both"/>
      </w:pPr>
      <w:r>
        <w:rPr>
          <w:rFonts w:ascii="Times New Roman" w:hAnsi="Times New Roman" w:cs="Times New Roman" w:eastAsia="Times New Roman"/>
          <w:b/>
          <w:sz w:val="24"/>
        </w:rPr>
        <w:t>3.4 — I rapporti.</w:t>
      </w:r>
      <w:r>
        <w:rPr>
          <w:rFonts w:ascii="Times New Roman" w:hAnsi="Times New Roman" w:cs="Times New Roman" w:eastAsia="Times New Roman"/>
          <w:b w:val="0"/>
          <w:sz w:val="24"/>
        </w:rPr>
        <w:t xml:space="preserve"> Oil tankers to South Africa del millenovecentottantadue; Secret Oil Deliveries to South Africa, 1981-1982 del millenovecentottantaquattro; e una serie di rapporti annuali e monografie per compagnia e per Stato di bandiera.</w:t>
      </w:r>
    </w:p>
    <w:p>
      <w:pPr>
        <w:spacing w:line="276" w:lineRule="auto" w:after="0"/>
        <w:ind w:firstLine="425"/>
        <w:jc w:val="both"/>
      </w:pPr>
      <w:r>
        <w:rPr>
          <w:rFonts w:ascii="Times New Roman" w:hAnsi="Times New Roman" w:cs="Times New Roman" w:eastAsia="Times New Roman"/>
          <w:b/>
          <w:sz w:val="24"/>
        </w:rPr>
        <w:t>3.5 — Il volume finale.</w:t>
      </w:r>
      <w:r>
        <w:rPr>
          <w:rFonts w:ascii="Times New Roman" w:hAnsi="Times New Roman" w:cs="Times New Roman" w:eastAsia="Times New Roman"/>
          <w:b w:val="0"/>
          <w:sz w:val="24"/>
        </w:rPr>
        <w:t xml:space="preserve"> Embargo: Apartheid's Oil Secrets Revealed, a cura di Richard Hengeveld e Jaap Rodenburg, Amsterdam University Press, millenovecentonovantacinque, ISBN 90 5356 135 8, tredici più trecentonovantanove pagine, </w:t>
      </w:r>
      <w:r>
        <w:rPr>
          <w:rFonts w:ascii="Times New Roman" w:hAnsi="Times New Roman" w:cs="Times New Roman" w:eastAsia="Times New Roman"/>
          <w:b/>
          <w:sz w:val="24"/>
        </w:rPr>
        <w:t>con prefazione di Nelson Mandela</w:t>
      </w:r>
      <w:r>
        <w:rPr>
          <w:rFonts w:ascii="Times New Roman" w:hAnsi="Times New Roman" w:cs="Times New Roman" w:eastAsia="Times New Roman"/>
          <w:b w:val="0"/>
          <w:sz w:val="24"/>
        </w:rPr>
        <w:t>: è la fonte primaria cardine dell'intero canale petrolifero, e la sua natura di fonte di parte unica governa la disciplina del Capitolo quarto.</w:t>
      </w:r>
    </w:p>
    <w:p>
      <w:pPr>
        <w:spacing w:line="276" w:lineRule="auto" w:after="0"/>
        <w:ind w:firstLine="425"/>
        <w:jc w:val="both"/>
      </w:pPr>
      <w:r>
        <w:rPr>
          <w:rFonts w:ascii="Times New Roman" w:hAnsi="Times New Roman" w:cs="Times New Roman" w:eastAsia="Times New Roman"/>
          <w:b/>
          <w:sz w:val="24"/>
        </w:rPr>
        <w:t>3.6 — La struttura del volume.</w:t>
      </w:r>
      <w:r>
        <w:rPr>
          <w:rFonts w:ascii="Times New Roman" w:hAnsi="Times New Roman" w:cs="Times New Roman" w:eastAsia="Times New Roman"/>
          <w:b w:val="0"/>
          <w:sz w:val="24"/>
        </w:rPr>
        <w:t xml:space="preserve"> La parte prima è redatta da Hengeveld; fra i capitoli figurano Marc Rich: Fuel for Apartheid, a pagina centotrentotto, e </w:t>
      </w:r>
      <w:r>
        <w:rPr>
          <w:rFonts w:ascii="Times New Roman" w:hAnsi="Times New Roman" w:cs="Times New Roman" w:eastAsia="Times New Roman"/>
          <w:b/>
          <w:sz w:val="24"/>
        </w:rPr>
        <w:t>Drive Now And Pay Forever – The Apartheid Way, di Clive Scholtz, a pagina duecentocinquantaquattro: è questo il capitolo che contiene la formula sul rapporto di Chiavelli con l'amministrazione italiana</w:t>
      </w:r>
      <w:r>
        <w:rPr>
          <w:rFonts w:ascii="Times New Roman" w:hAnsi="Times New Roman" w:cs="Times New Roman" w:eastAsia="Times New Roman"/>
          <w:b w:val="0"/>
          <w:sz w:val="24"/>
        </w:rPr>
        <w:t>, e la sua identificazione puntuale chiude una ricerca che la Triangolazione Atlantica aveva lasciato alla citazione indiretta.</w:t>
      </w:r>
    </w:p>
    <w:p>
      <w:pPr>
        <w:spacing w:line="276" w:lineRule="auto" w:after="0"/>
        <w:ind w:firstLine="425"/>
        <w:jc w:val="both"/>
      </w:pPr>
      <w:r>
        <w:rPr>
          <w:rFonts w:ascii="Times New Roman" w:hAnsi="Times New Roman" w:cs="Times New Roman" w:eastAsia="Times New Roman"/>
          <w:b/>
          <w:sz w:val="24"/>
        </w:rPr>
        <w:t>3.7 — Le fonti orali.</w:t>
      </w:r>
      <w:r>
        <w:rPr>
          <w:rFonts w:ascii="Times New Roman" w:hAnsi="Times New Roman" w:cs="Times New Roman" w:eastAsia="Times New Roman"/>
          <w:b w:val="0"/>
          <w:sz w:val="24"/>
        </w:rPr>
        <w:t xml:space="preserve"> Il volume poggia su interviste condotte dal Bureau: John Malcomess ad Amsterdam il quattordici maggio millenovecentonovantaquattro, Joe Slovo, Jacob Zuma, Frene Ginwala, Aziz Pahad e altri; le registrazioni sono conservate negli archivi dell'ufficio. </w:t>
      </w:r>
      <w:r>
        <w:rPr>
          <w:rFonts w:ascii="Times New Roman" w:hAnsi="Times New Roman" w:cs="Times New Roman" w:eastAsia="Times New Roman"/>
          <w:b/>
          <w:sz w:val="24"/>
        </w:rPr>
        <w:t>La presenza simultanea del deputato progressista bianco che aprì lo scandalo e dei dirigenti dell'African National Congress misura la trasversalità della fonte, non la sua terzietà: essa resta una fonte di campagna.</w:t>
      </w:r>
    </w:p>
    <w:p>
      <w:pPr>
        <w:spacing w:line="276" w:lineRule="auto" w:after="0"/>
        <w:ind w:firstLine="425"/>
        <w:jc w:val="both"/>
      </w:pPr>
      <w:r>
        <w:rPr>
          <w:rFonts w:ascii="Times New Roman" w:hAnsi="Times New Roman" w:cs="Times New Roman" w:eastAsia="Times New Roman"/>
          <w:b/>
          <w:sz w:val="24"/>
        </w:rPr>
        <w:t>3.8 — I documenti confidenziali.</w:t>
      </w:r>
      <w:r>
        <w:rPr>
          <w:rFonts w:ascii="Times New Roman" w:hAnsi="Times New Roman" w:cs="Times New Roman" w:eastAsia="Times New Roman"/>
          <w:b w:val="0"/>
          <w:sz w:val="24"/>
        </w:rPr>
        <w:t xml:space="preserve"> L'ufficio acquisì diversi documenti riservati provenienti dall'interno del Sudafrica, mentre i dirigenti di Sasol, Strategic Fuel Fund e Central Energy Fund tennero, secondo la formula del volume, le porte chiuse. La contabilità dell'embargo fu dunque costruita contro l'ostruzione degli enti contabilizzati: quarta specie della tipologia ostruttiva del corpus, in forma preventiva.</w:t>
      </w:r>
    </w:p>
    <w:p>
      <w:pPr>
        <w:spacing w:line="276" w:lineRule="auto" w:after="0"/>
        <w:ind w:firstLine="425"/>
        <w:jc w:val="both"/>
      </w:pPr>
      <w:r>
        <w:rPr>
          <w:rFonts w:ascii="Times New Roman" w:hAnsi="Times New Roman" w:cs="Times New Roman" w:eastAsia="Times New Roman"/>
          <w:b/>
          <w:sz w:val="24"/>
        </w:rPr>
        <w:t>3.9 — Le menzioni dell'Italia.</w:t>
      </w:r>
      <w:r>
        <w:rPr>
          <w:rFonts w:ascii="Times New Roman" w:hAnsi="Times New Roman" w:cs="Times New Roman" w:eastAsia="Times New Roman"/>
          <w:b w:val="0"/>
          <w:sz w:val="24"/>
        </w:rPr>
        <w:t xml:space="preserve"> Nel caso Salem l'Italia figura come destinazione dichiarata del carico — Genova — e come sede del noleggiatore Pontoil; l'indice della monografia dell'ufficio su John Deuss registra la voce </w:t>
      </w:r>
      <w:r>
        <w:rPr>
          <w:rFonts w:ascii="Times New Roman" w:hAnsi="Times New Roman" w:cs="Times New Roman" w:eastAsia="Times New Roman"/>
          <w:b/>
          <w:sz w:val="24"/>
        </w:rPr>
        <w:t>Lucina Limited</w:t>
      </w:r>
      <w:r>
        <w:rPr>
          <w:rFonts w:ascii="Times New Roman" w:hAnsi="Times New Roman" w:cs="Times New Roman" w:eastAsia="Times New Roman"/>
          <w:b w:val="0"/>
          <w:sz w:val="24"/>
        </w:rPr>
        <w:t xml:space="preserve"> accanto a Rotterdam e alle Antille olandesi. </w:t>
      </w:r>
      <w:r>
        <w:rPr>
          <w:rFonts w:ascii="Times New Roman" w:hAnsi="Times New Roman" w:cs="Times New Roman" w:eastAsia="Times New Roman"/>
          <w:b/>
          <w:sz w:val="24"/>
        </w:rPr>
        <w:t>Due menzioni, entrambe strutturali e nessuna incidentale: l'Italia compare nel canale petrolifero come copertura documentale di un carico dirottato e come denominazione societaria del contratto conteso fra i due massimi intermediari.</w:t>
      </w:r>
    </w:p>
    <w:p>
      <w:pPr>
        <w:spacing w:line="276" w:lineRule="auto" w:after="0"/>
        <w:ind w:firstLine="425"/>
        <w:jc w:val="both"/>
      </w:pPr>
      <w:r>
        <w:rPr>
          <w:rFonts w:ascii="Times New Roman" w:hAnsi="Times New Roman" w:cs="Times New Roman" w:eastAsia="Times New Roman"/>
          <w:b/>
          <w:sz w:val="24"/>
        </w:rPr>
        <w:t>3.10 — Il lascito.</w:t>
      </w:r>
      <w:r>
        <w:rPr>
          <w:rFonts w:ascii="Times New Roman" w:hAnsi="Times New Roman" w:cs="Times New Roman" w:eastAsia="Times New Roman"/>
          <w:b w:val="0"/>
          <w:sz w:val="24"/>
        </w:rPr>
        <w:t xml:space="preserve"> L'ufficio cessò l'attività nel millenovecentonovantacinque; i suoi archivi confluirono nelle collezioni dell'Istituto internazionale di storia sociale di Amsterdam censite dall'archivio della Nelson Mandela Foundation ai numeri duecentottantasette e duecentottantotto; il volume finale è integralmente accessibile in rete presso l'African Activist Archive della Michigan State University. </w:t>
      </w:r>
      <w:r>
        <w:rPr>
          <w:rFonts w:ascii="Times New Roman" w:hAnsi="Times New Roman" w:cs="Times New Roman" w:eastAsia="Times New Roman"/>
          <w:b/>
          <w:sz w:val="24"/>
        </w:rPr>
        <w:t>La sede di verifica autoptica esiste ed è dichiarata: ogni affermazione del presente registro che discenda dal volume è controllabile sul testo integrale.</w:t>
      </w:r>
    </w:p>
    <w:p>
      <w:pPr>
        <w:spacing w:line="276" w:lineRule="auto" w:after="0"/>
        <w:ind w:firstLine="0"/>
        <w:jc w:val="both"/>
      </w:pPr>
      <w:r>
        <w:rPr>
          <w:rFonts w:ascii="Times New Roman" w:hAnsi="Times New Roman" w:cs="Times New Roman" w:eastAsia="Times New Roman"/>
          <w:b/>
          <w:sz w:val="24"/>
        </w:rPr>
        <w:t>Capitolo quarto — Il nodo Chiavelli in forma integrale</w:t>
      </w:r>
    </w:p>
    <w:p>
      <w:pPr>
        <w:spacing w:line="276" w:lineRule="auto" w:after="0"/>
        <w:ind w:firstLine="425"/>
        <w:jc w:val="both"/>
      </w:pPr>
      <w:r>
        <w:rPr>
          <w:rFonts w:ascii="Times New Roman" w:hAnsi="Times New Roman" w:cs="Times New Roman" w:eastAsia="Times New Roman"/>
          <w:b/>
          <w:sz w:val="24"/>
        </w:rPr>
        <w:t>4.1 — L'anagrafica, con la prima divergenza.</w:t>
      </w:r>
      <w:r>
        <w:rPr>
          <w:rFonts w:ascii="Times New Roman" w:hAnsi="Times New Roman" w:cs="Times New Roman" w:eastAsia="Times New Roman"/>
          <w:b w:val="0"/>
          <w:sz w:val="24"/>
        </w:rPr>
        <w:t xml:space="preserve"> Marino Benito Chiavelli, cittadino italiano di origine mantovana. </w:t>
      </w:r>
      <w:r>
        <w:rPr>
          <w:rFonts w:ascii="Times New Roman" w:hAnsi="Times New Roman" w:cs="Times New Roman" w:eastAsia="Times New Roman"/>
          <w:b/>
          <w:sz w:val="24"/>
        </w:rPr>
        <w:t>La Gazzetta di Mantova del diciannove novembre duemilatredici lo dice nato a Magnacavallo e cresciuto dall'infanzia a Villa Poma; l'Unità del nove gennaio millenovecentonovantatré lo dice nato a Villa Poma: la divergenza fra i due comuni contigui del basso mantovano si riporta e non si compone</w:t>
      </w:r>
      <w:r>
        <w:rPr>
          <w:rFonts w:ascii="Times New Roman" w:hAnsi="Times New Roman" w:cs="Times New Roman" w:eastAsia="Times New Roman"/>
          <w:b w:val="0"/>
          <w:sz w:val="24"/>
        </w:rPr>
        <w:t>, e la sede di scioglimento — i registri anagrafici dei due comuni — è iscritta nella tavola del Capitolo decimo. Visse per anni a Modena; i soprannomi italiani furono Petrodollaro e l'Americano.</w:t>
      </w:r>
    </w:p>
    <w:p>
      <w:pPr>
        <w:spacing w:line="276" w:lineRule="auto" w:after="0"/>
        <w:ind w:firstLine="425"/>
        <w:jc w:val="both"/>
      </w:pPr>
      <w:r>
        <w:rPr>
          <w:rFonts w:ascii="Times New Roman" w:hAnsi="Times New Roman" w:cs="Times New Roman" w:eastAsia="Times New Roman"/>
          <w:b/>
          <w:sz w:val="24"/>
        </w:rPr>
        <w:t>4.2 — La morte, con la seconda divergenza.</w:t>
      </w:r>
      <w:r>
        <w:rPr>
          <w:rFonts w:ascii="Times New Roman" w:hAnsi="Times New Roman" w:cs="Times New Roman" w:eastAsia="Times New Roman"/>
          <w:b w:val="0"/>
          <w:sz w:val="24"/>
        </w:rPr>
        <w:t xml:space="preserve"> Morì di leucemia in una struttura ospedaliera di Johannesburg attorno al sette gennaio millenovecentonovantatré: l'Unità del nove gennaio scrive l'altroieri, e le fonti sudafricane indicano il Johannesburg General Hospital. </w:t>
      </w:r>
      <w:r>
        <w:rPr>
          <w:rFonts w:ascii="Times New Roman" w:hAnsi="Times New Roman" w:cs="Times New Roman" w:eastAsia="Times New Roman"/>
          <w:b/>
          <w:sz w:val="24"/>
        </w:rPr>
        <w:t>Una rivista dell'Associazione Italiana Sommelier delle Marche indica erroneamente il millenovecentonovantuno; si dà precedenza all'obituario coevo e datato.</w:t>
      </w:r>
    </w:p>
    <w:p>
      <w:pPr>
        <w:spacing w:line="276" w:lineRule="auto" w:after="0"/>
        <w:ind w:firstLine="425"/>
        <w:jc w:val="both"/>
      </w:pPr>
      <w:r>
        <w:rPr>
          <w:rFonts w:ascii="Times New Roman" w:hAnsi="Times New Roman" w:cs="Times New Roman" w:eastAsia="Times New Roman"/>
          <w:b/>
          <w:sz w:val="24"/>
        </w:rPr>
        <w:t>4.3 — Il patrimonio.</w:t>
      </w:r>
      <w:r>
        <w:rPr>
          <w:rFonts w:ascii="Times New Roman" w:hAnsi="Times New Roman" w:cs="Times New Roman" w:eastAsia="Times New Roman"/>
          <w:b w:val="0"/>
          <w:sz w:val="24"/>
        </w:rPr>
        <w:t xml:space="preserve"> L'Unità lo definì il quinto uomo più ricco del mondo, con un impero stimato oltre tremila miliardi di lire, incrinatosi dopo la guerra del Golfo del millenovecentonovantuno. La qualificazione è giornalistica e non patrimoniale-documentale: si riporta come rappresentazione coeva della stampa italiana, con il grado che le spetta.</w:t>
      </w:r>
    </w:p>
    <w:p>
      <w:pPr>
        <w:spacing w:line="276" w:lineRule="auto" w:after="0"/>
        <w:ind w:firstLine="425"/>
        <w:jc w:val="both"/>
      </w:pPr>
      <w:r>
        <w:rPr>
          <w:rFonts w:ascii="Times New Roman" w:hAnsi="Times New Roman" w:cs="Times New Roman" w:eastAsia="Times New Roman"/>
          <w:b/>
          <w:sz w:val="24"/>
        </w:rPr>
        <w:t>4.4 — La designazione sudafricana.</w:t>
      </w:r>
      <w:r>
        <w:rPr>
          <w:rFonts w:ascii="Times New Roman" w:hAnsi="Times New Roman" w:cs="Times New Roman" w:eastAsia="Times New Roman"/>
          <w:b w:val="0"/>
          <w:sz w:val="24"/>
        </w:rPr>
        <w:t xml:space="preserve"> Le fonti sudafricane — Mail and Guardian, IOL, Sunday Times — lo designano ricorrentemente </w:t>
      </w:r>
      <w:r>
        <w:rPr>
          <w:rFonts w:ascii="Times New Roman" w:hAnsi="Times New Roman" w:cs="Times New Roman" w:eastAsia="Times New Roman"/>
          <w:b/>
          <w:sz w:val="24"/>
        </w:rPr>
        <w:t>South Africa's oil baron</w:t>
      </w:r>
      <w:r>
        <w:rPr>
          <w:rFonts w:ascii="Times New Roman" w:hAnsi="Times New Roman" w:cs="Times New Roman" w:eastAsia="Times New Roman"/>
          <w:b w:val="0"/>
          <w:sz w:val="24"/>
        </w:rPr>
        <w:t>: il barone del petrolio del Sudafrica. Nessuna delle due stampe nazionali, si noti, lo colloca nell'altra: la stampa italiana ne fece un ricchissimo emigrato, quella sudafricana un barone petrolifero, e i due ritratti non comunicano.</w:t>
      </w:r>
    </w:p>
    <w:p>
      <w:pPr>
        <w:spacing w:line="276" w:lineRule="auto" w:after="0"/>
        <w:ind w:firstLine="425"/>
        <w:jc w:val="both"/>
      </w:pPr>
      <w:r>
        <w:rPr>
          <w:rFonts w:ascii="Times New Roman" w:hAnsi="Times New Roman" w:cs="Times New Roman" w:eastAsia="Times New Roman"/>
          <w:b/>
          <w:sz w:val="24"/>
        </w:rPr>
        <w:t>4.5 — Il contratto Lucina.</w:t>
      </w:r>
      <w:r>
        <w:rPr>
          <w:rFonts w:ascii="Times New Roman" w:hAnsi="Times New Roman" w:cs="Times New Roman" w:eastAsia="Times New Roman"/>
          <w:b w:val="0"/>
          <w:sz w:val="24"/>
        </w:rPr>
        <w:t xml:space="preserve"> Secondo il volume dello Shipping Research Bureau, nel millenovecentosettantanove Chiavelli contattò membri della Sasol e dello Strategic Fuel Fund per intermediare spedizioni occulte di greggio saudita verso il Sudafrica; il contratto Lucina assicurò centoventimila barili al giorno, e il compenso è fissato dal volume nella formula </w:t>
      </w:r>
      <w:r>
        <w:rPr>
          <w:rFonts w:ascii="Times New Roman" w:hAnsi="Times New Roman" w:cs="Times New Roman" w:eastAsia="Times New Roman"/>
          <w:b/>
          <w:sz w:val="24"/>
        </w:rPr>
        <w:t>Chiavelli received a US$7,5-million per month</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Livello B: fonte unica di alta affidabilità specialistica, non riscontro giudiziario.</w:t>
      </w:r>
    </w:p>
    <w:p>
      <w:pPr>
        <w:spacing w:line="276" w:lineRule="auto" w:after="0"/>
        <w:ind w:firstLine="425"/>
        <w:jc w:val="both"/>
      </w:pPr>
      <w:r>
        <w:rPr>
          <w:rFonts w:ascii="Times New Roman" w:hAnsi="Times New Roman" w:cs="Times New Roman" w:eastAsia="Times New Roman"/>
          <w:b/>
          <w:sz w:val="24"/>
        </w:rPr>
        <w:t>4.6 — Il congegno fiscale e la formula sugli italiani.</w:t>
      </w:r>
      <w:r>
        <w:rPr>
          <w:rFonts w:ascii="Times New Roman" w:hAnsi="Times New Roman" w:cs="Times New Roman" w:eastAsia="Times New Roman"/>
          <w:b w:val="0"/>
          <w:sz w:val="24"/>
        </w:rPr>
        <w:t xml:space="preserve"> Il capitolo di Clive Scholtz attesta: </w:t>
      </w:r>
      <w:r>
        <w:rPr>
          <w:rFonts w:ascii="Times New Roman" w:hAnsi="Times New Roman" w:cs="Times New Roman" w:eastAsia="Times New Roman"/>
          <w:b/>
          <w:sz w:val="24"/>
        </w:rPr>
        <w:t>None of this income was ever declared or brought into South Africa … Mr Chiavelli had informed the Italians as well as the British that he was a permanent resident in South Africa and that he was paying tax here, and the South African taxman was quite happy that he was paying tax in the region of R1 000.</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La formula secondo cui egli informò gli italiani è dunque di natura fiscale: il soggetto dichiarava alle amministrazioni tributarie italiana e britannica la residenza permanente sudafricana, e al fisco sudafricano versava un'imposta dell'ordine di mille rand.</w:t>
      </w:r>
      <w:r>
        <w:rPr>
          <w:rFonts w:ascii="Times New Roman" w:hAnsi="Times New Roman" w:cs="Times New Roman" w:eastAsia="Times New Roman"/>
          <w:b w:val="0"/>
          <w:sz w:val="24"/>
        </w:rPr>
        <w:t xml:space="preserve"> Nessuna fonte attribuisce alla formula un significato di intelligence, e l'ipotesi non va introdotta.</w:t>
      </w:r>
    </w:p>
    <w:p>
      <w:pPr>
        <w:spacing w:line="276" w:lineRule="auto" w:after="0"/>
        <w:ind w:firstLine="425"/>
        <w:jc w:val="both"/>
      </w:pPr>
      <w:r>
        <w:rPr>
          <w:rFonts w:ascii="Times New Roman" w:hAnsi="Times New Roman" w:cs="Times New Roman" w:eastAsia="Times New Roman"/>
          <w:b/>
          <w:sz w:val="24"/>
        </w:rPr>
        <w:t>4.7 — I rapporti con il regime.</w:t>
      </w:r>
      <w:r>
        <w:rPr>
          <w:rFonts w:ascii="Times New Roman" w:hAnsi="Times New Roman" w:cs="Times New Roman" w:eastAsia="Times New Roman"/>
          <w:b w:val="0"/>
          <w:sz w:val="24"/>
        </w:rPr>
        <w:t xml:space="preserve"> Secondo la ricerca di Hennie van Vuuren per Open Secrets, l'iter della domanda di immigrazione di Chiavelli fu agevolato da Frederik Willem de Klerk, allora giovane esponente politico. </w:t>
      </w:r>
      <w:r>
        <w:rPr>
          <w:rFonts w:ascii="Times New Roman" w:hAnsi="Times New Roman" w:cs="Times New Roman" w:eastAsia="Times New Roman"/>
          <w:b/>
          <w:sz w:val="24"/>
        </w:rPr>
        <w:t>Il dato attesta un atto amministrativo agevolato, non una relazione continuativa, e in tale perimetro va tenuto.</w:t>
      </w:r>
    </w:p>
    <w:p>
      <w:pPr>
        <w:spacing w:line="276" w:lineRule="auto" w:after="0"/>
        <w:ind w:firstLine="425"/>
        <w:jc w:val="both"/>
      </w:pPr>
      <w:r>
        <w:rPr>
          <w:rFonts w:ascii="Times New Roman" w:hAnsi="Times New Roman" w:cs="Times New Roman" w:eastAsia="Times New Roman"/>
          <w:b/>
          <w:sz w:val="24"/>
        </w:rPr>
        <w:t>4.8 — Summer Place.</w:t>
      </w:r>
      <w:r>
        <w:rPr>
          <w:rFonts w:ascii="Times New Roman" w:hAnsi="Times New Roman" w:cs="Times New Roman" w:eastAsia="Times New Roman"/>
          <w:b w:val="0"/>
          <w:sz w:val="24"/>
        </w:rPr>
        <w:t xml:space="preserve"> Nel millenovecentottantaquattro Chiavelli fece costruire la residenza Summer Place a Hyde Park, Johannesburg, su circa quarantamila metri quadrati, abitando nel cottage senza mai trasferirsi nella casa principale; la proprietà fu venduta ai fratelli Krok per dodici milioni di rand all'asta del millenovecentonovantaquattro e nuovamente battuta all'asta per centoventinove milioni di rand nel marzo duemilaventidue. </w:t>
      </w:r>
      <w:r>
        <w:rPr>
          <w:rFonts w:ascii="Times New Roman" w:hAnsi="Times New Roman" w:cs="Times New Roman" w:eastAsia="Times New Roman"/>
          <w:b/>
          <w:sz w:val="24"/>
        </w:rPr>
        <w:t>La casa mai abitata è il dettaglio marginale nel senso del paradigma indiziario: l'uomo che dichiarava al fisco italiano la residenza sudafricana visse nel cottage della propria dimora di rappresentanza.</w:t>
      </w:r>
    </w:p>
    <w:p>
      <w:pPr>
        <w:spacing w:line="276" w:lineRule="auto" w:after="0"/>
        <w:ind w:firstLine="425"/>
        <w:jc w:val="both"/>
      </w:pPr>
      <w:r>
        <w:rPr>
          <w:rFonts w:ascii="Times New Roman" w:hAnsi="Times New Roman" w:cs="Times New Roman" w:eastAsia="Times New Roman"/>
          <w:b/>
          <w:sz w:val="24"/>
        </w:rPr>
        <w:t>4.9 — L'origine ghanese della fortuna.</w:t>
      </w:r>
      <w:r>
        <w:rPr>
          <w:rFonts w:ascii="Times New Roman" w:hAnsi="Times New Roman" w:cs="Times New Roman" w:eastAsia="Times New Roman"/>
          <w:b w:val="0"/>
          <w:sz w:val="24"/>
        </w:rPr>
        <w:t xml:space="preserve"> L'Unità colloca l'ascesa di Chiavelli in Ghana; una fonte accademica, citando New African del dicembre millenovecentottantadue, riferisce che egli prestò un milione di dollari al People's National Party ghanese in cambio di appalti. </w:t>
      </w:r>
      <w:r>
        <w:rPr>
          <w:rFonts w:ascii="Times New Roman" w:hAnsi="Times New Roman" w:cs="Times New Roman" w:eastAsia="Times New Roman"/>
          <w:b/>
          <w:sz w:val="24"/>
        </w:rPr>
        <w:t>Il modello — credito al partito di governo contro commesse — precede dunque il teatro sudafricano, e vi giunge già formato.</w:t>
      </w:r>
    </w:p>
    <w:p>
      <w:pPr>
        <w:spacing w:line="276" w:lineRule="auto" w:after="0"/>
        <w:ind w:firstLine="425"/>
        <w:jc w:val="both"/>
      </w:pPr>
      <w:r>
        <w:rPr>
          <w:rFonts w:ascii="Times New Roman" w:hAnsi="Times New Roman" w:cs="Times New Roman" w:eastAsia="Times New Roman"/>
          <w:b/>
          <w:sz w:val="24"/>
        </w:rPr>
        <w:t>4.10 — La disciplina della fonte unica.</w:t>
      </w:r>
      <w:r>
        <w:rPr>
          <w:rFonts w:ascii="Times New Roman" w:hAnsi="Times New Roman" w:cs="Times New Roman" w:eastAsia="Times New Roman"/>
          <w:b w:val="0"/>
          <w:sz w:val="24"/>
        </w:rPr>
        <w:t xml:space="preserve"> Le cifre del contratto Lucina, il compenso mensile e la formula sugli italiani risalgono a un'unica fonte primaria — il volume dello Shipping Research Bureau del millenovecentonovantacinque — rilanciata dal Mail and Guardian del tredici ottobre millenovecentonovantacinque a firma Eddie Koch. </w:t>
      </w:r>
      <w:r>
        <w:rPr>
          <w:rFonts w:ascii="Times New Roman" w:hAnsi="Times New Roman" w:cs="Times New Roman" w:eastAsia="Times New Roman"/>
          <w:b/>
          <w:sz w:val="24"/>
        </w:rPr>
        <w:t>Attestazione di parte unica, non accertamento giudiziario: la soglia di revisione del grado è il reperimento di un secondo documento indipendente, e le due sedi candidate sono il rapporto dell'Advocate-General del millenovecentottantaquattro e gli atti dello Strategic Fuel Fund.</w:t>
      </w:r>
      <w:r>
        <w:rPr>
          <w:rFonts w:ascii="Times New Roman" w:hAnsi="Times New Roman" w:cs="Times New Roman" w:eastAsia="Times New Roman"/>
          <w:b w:val="0"/>
          <w:sz w:val="24"/>
        </w:rPr>
        <w:t xml:space="preserve"> Fino ad allora, ogni proposizione del presente Capitolo che discenda dal volume porta il grado del punto 4.5 e non uno superiore.</w:t>
      </w:r>
    </w:p>
    <w:p>
      <w:pPr>
        <w:spacing w:line="276" w:lineRule="auto" w:after="0"/>
        <w:ind w:firstLine="0"/>
        <w:jc w:val="both"/>
      </w:pPr>
      <w:r>
        <w:rPr>
          <w:rFonts w:ascii="Times New Roman" w:hAnsi="Times New Roman" w:cs="Times New Roman" w:eastAsia="Times New Roman"/>
          <w:b/>
          <w:sz w:val="24"/>
        </w:rPr>
        <w:t>Capitolo quinto — Il caso Salem</w:t>
      </w:r>
    </w:p>
    <w:p>
      <w:pPr>
        <w:spacing w:line="276" w:lineRule="auto" w:after="0"/>
        <w:ind w:firstLine="425"/>
        <w:jc w:val="both"/>
      </w:pPr>
      <w:r>
        <w:rPr>
          <w:rFonts w:ascii="Times New Roman" w:hAnsi="Times New Roman" w:cs="Times New Roman" w:eastAsia="Times New Roman"/>
          <w:b/>
          <w:sz w:val="24"/>
        </w:rPr>
        <w:t>5.1 — La nave.</w:t>
      </w:r>
      <w:r>
        <w:rPr>
          <w:rFonts w:ascii="Times New Roman" w:hAnsi="Times New Roman" w:cs="Times New Roman" w:eastAsia="Times New Roman"/>
          <w:b w:val="0"/>
          <w:sz w:val="24"/>
        </w:rPr>
        <w:t xml:space="preserve"> Superpetroliera costruita nel millenovecentosessantanove ai cantieri Kockums di Malmö con il nome Sea Sovereign; ribattezzata South Sun; infine Salem, di proprietà della Oxford Shipping, con bandiera liberiana. Tre nomi in dieci anni: la biografia della nave è essa stessa una tecnica del Capitolo settimo.</w:t>
      </w:r>
    </w:p>
    <w:p>
      <w:pPr>
        <w:spacing w:line="276" w:lineRule="auto" w:after="0"/>
        <w:ind w:firstLine="425"/>
        <w:jc w:val="both"/>
      </w:pPr>
      <w:r>
        <w:rPr>
          <w:rFonts w:ascii="Times New Roman" w:hAnsi="Times New Roman" w:cs="Times New Roman" w:eastAsia="Times New Roman"/>
          <w:b/>
          <w:sz w:val="24"/>
        </w:rPr>
        <w:t>5.2 — Il carico.</w:t>
      </w:r>
      <w:r>
        <w:rPr>
          <w:rFonts w:ascii="Times New Roman" w:hAnsi="Times New Roman" w:cs="Times New Roman" w:eastAsia="Times New Roman"/>
          <w:b w:val="0"/>
          <w:sz w:val="24"/>
        </w:rPr>
        <w:t xml:space="preserve"> Partita dal Pireo il trenta novembre millenovecentosettantanove, caricò circa centonovantaquattromila tonnellate di greggio kuwaitiano al terminale di Mina Al Ahmadi.</w:t>
      </w:r>
    </w:p>
    <w:p>
      <w:pPr>
        <w:spacing w:line="276" w:lineRule="auto" w:after="0"/>
        <w:ind w:firstLine="425"/>
        <w:jc w:val="both"/>
      </w:pPr>
      <w:r>
        <w:rPr>
          <w:rFonts w:ascii="Times New Roman" w:hAnsi="Times New Roman" w:cs="Times New Roman" w:eastAsia="Times New Roman"/>
          <w:b/>
          <w:sz w:val="24"/>
        </w:rPr>
        <w:t>5.3 — Il noleggio italiano.</w:t>
      </w:r>
      <w:r>
        <w:rPr>
          <w:rFonts w:ascii="Times New Roman" w:hAnsi="Times New Roman" w:cs="Times New Roman" w:eastAsia="Times New Roman"/>
          <w:b w:val="0"/>
          <w:sz w:val="24"/>
        </w:rPr>
        <w:t xml:space="preserve"> La nave era noleggiata dalla società italiana Pontoil per la destinazione dichiarata di Genova, con la Kuwait Oil Company quale caricatore; la Pontoil rivendette il carico alla Shell International per circa cinquantasei milioni di dollari. </w:t>
      </w:r>
      <w:r>
        <w:rPr>
          <w:rFonts w:ascii="Times New Roman" w:hAnsi="Times New Roman" w:cs="Times New Roman" w:eastAsia="Times New Roman"/>
          <w:b/>
          <w:sz w:val="24"/>
        </w:rPr>
        <w:t>L'Italia entra nel caso come copertura documentale: il porto di Genova fu la destinazione che il carico non raggiunse mai, e la società italiana fu la controparte frodata insieme alla Shell.</w:t>
      </w:r>
    </w:p>
    <w:p>
      <w:pPr>
        <w:spacing w:line="276" w:lineRule="auto" w:after="0"/>
        <w:ind w:firstLine="425"/>
        <w:jc w:val="both"/>
      </w:pPr>
      <w:r>
        <w:rPr>
          <w:rFonts w:ascii="Times New Roman" w:hAnsi="Times New Roman" w:cs="Times New Roman" w:eastAsia="Times New Roman"/>
          <w:b/>
          <w:sz w:val="24"/>
        </w:rPr>
        <w:t>5.4 — Il dirottamento.</w:t>
      </w:r>
      <w:r>
        <w:rPr>
          <w:rFonts w:ascii="Times New Roman" w:hAnsi="Times New Roman" w:cs="Times New Roman" w:eastAsia="Times New Roman"/>
          <w:b w:val="0"/>
          <w:sz w:val="24"/>
        </w:rPr>
        <w:t xml:space="preserve"> Ribattezzata Lema in mare, la nave entrò a Durban il ventisette dicembre millenovecentosettantanove e scaricò circa centottantamila tonnellate allo Strategic Fuel Fund per circa quarantacinque milioni di dollari; un guasto alle pompe lasciò a bordo circa quindicimila tonnellate — il residuo che avrebbe tradito la frode.</w:t>
      </w:r>
    </w:p>
    <w:p>
      <w:pPr>
        <w:spacing w:line="276" w:lineRule="auto" w:after="0"/>
        <w:ind w:firstLine="425"/>
        <w:jc w:val="both"/>
      </w:pPr>
      <w:r>
        <w:rPr>
          <w:rFonts w:ascii="Times New Roman" w:hAnsi="Times New Roman" w:cs="Times New Roman" w:eastAsia="Times New Roman"/>
          <w:b/>
          <w:sz w:val="24"/>
        </w:rPr>
        <w:t>5.5 — L'affondamento doloso.</w:t>
      </w:r>
      <w:r>
        <w:rPr>
          <w:rFonts w:ascii="Times New Roman" w:hAnsi="Times New Roman" w:cs="Times New Roman" w:eastAsia="Times New Roman"/>
          <w:b w:val="0"/>
          <w:sz w:val="24"/>
        </w:rPr>
        <w:t xml:space="preserve"> Riempita d'acqua di mare per simulare il pieno carico, la nave affondò dopo esplosioni il diciassette gennaio millenovecentottanta al largo del Senegal; i circa ventiquattro uomini dell'equipaggio — capitano greco, marittimi in gran parte tunisini — furono tratti in salvo dalla petroliera British Trident.</w:t>
      </w:r>
    </w:p>
    <w:p>
      <w:pPr>
        <w:spacing w:line="276" w:lineRule="auto" w:after="0"/>
        <w:ind w:firstLine="425"/>
        <w:jc w:val="both"/>
      </w:pPr>
      <w:r>
        <w:rPr>
          <w:rFonts w:ascii="Times New Roman" w:hAnsi="Times New Roman" w:cs="Times New Roman" w:eastAsia="Times New Roman"/>
          <w:b/>
          <w:sz w:val="24"/>
        </w:rPr>
        <w:t>5.6 — Gli indizi.</w:t>
      </w:r>
      <w:r>
        <w:rPr>
          <w:rFonts w:ascii="Times New Roman" w:hAnsi="Times New Roman" w:cs="Times New Roman" w:eastAsia="Times New Roman"/>
          <w:b w:val="0"/>
          <w:sz w:val="24"/>
        </w:rPr>
        <w:t xml:space="preserve"> L'assenza di inquinamento dopo l'affondamento di una nave dichiarata a pieno carico, i bagagli pronti e i viveri già imbarcati sulle lance insospettirono i soccorritori; i Lloyd's confermarono la doppia vendita del medesimo carico. </w:t>
      </w:r>
      <w:r>
        <w:rPr>
          <w:rFonts w:ascii="Times New Roman" w:hAnsi="Times New Roman" w:cs="Times New Roman" w:eastAsia="Times New Roman"/>
          <w:b/>
          <w:sz w:val="24"/>
        </w:rPr>
        <w:t>È il paradigma indiziario in forma pura: non la dichiarazione, ma la macchia di petrolio che non c'è.</w:t>
      </w:r>
    </w:p>
    <w:p>
      <w:pPr>
        <w:spacing w:line="276" w:lineRule="auto" w:after="0"/>
        <w:ind w:firstLine="425"/>
        <w:jc w:val="both"/>
      </w:pPr>
      <w:r>
        <w:rPr>
          <w:rFonts w:ascii="Times New Roman" w:hAnsi="Times New Roman" w:cs="Times New Roman" w:eastAsia="Times New Roman"/>
          <w:b/>
          <w:sz w:val="24"/>
        </w:rPr>
        <w:t>5.7 — Gli esiti finanziari.</w:t>
      </w:r>
      <w:r>
        <w:rPr>
          <w:rFonts w:ascii="Times New Roman" w:hAnsi="Times New Roman" w:cs="Times New Roman" w:eastAsia="Times New Roman"/>
          <w:b w:val="0"/>
          <w:sz w:val="24"/>
        </w:rPr>
        <w:t xml:space="preserve"> Il Sudafrica pagò i quarantacinque milioni per il greggio e successivamente trenta virgola cinque milioni di dollari alla Shell a titolo di parziale compensazione: </w:t>
      </w:r>
      <w:r>
        <w:rPr>
          <w:rFonts w:ascii="Times New Roman" w:hAnsi="Times New Roman" w:cs="Times New Roman" w:eastAsia="Times New Roman"/>
          <w:b/>
          <w:sz w:val="24"/>
        </w:rPr>
        <w:t>il regime paria pagò due volte il carico rubato, e la seconda volta pagò la vittima della frode per comprarne il silenzio processuale.</w:t>
      </w:r>
    </w:p>
    <w:p>
      <w:pPr>
        <w:spacing w:line="276" w:lineRule="auto" w:after="0"/>
        <w:ind w:firstLine="425"/>
        <w:jc w:val="both"/>
      </w:pPr>
      <w:r>
        <w:rPr>
          <w:rFonts w:ascii="Times New Roman" w:hAnsi="Times New Roman" w:cs="Times New Roman" w:eastAsia="Times New Roman"/>
          <w:b/>
          <w:sz w:val="24"/>
        </w:rPr>
        <w:t>5.8 — I procedimenti.</w:t>
      </w:r>
      <w:r>
        <w:rPr>
          <w:rFonts w:ascii="Times New Roman" w:hAnsi="Times New Roman" w:cs="Times New Roman" w:eastAsia="Times New Roman"/>
          <w:b w:val="0"/>
          <w:sz w:val="24"/>
        </w:rPr>
        <w:t xml:space="preserve"> Nel millenovecentottanta furono emessi in Gran Bretagna mandati d'arresto per quattro uomini, fra i quali l'armatore libanese-americano Fred Soudan e il capitano greco; procedimenti si tennero in più giurisdizioni e la vicenda fu ricostruita anche dinanzi alla House of Lords britannica. </w:t>
      </w:r>
      <w:r>
        <w:rPr>
          <w:rFonts w:ascii="Times New Roman" w:hAnsi="Times New Roman" w:cs="Times New Roman" w:eastAsia="Times New Roman"/>
          <w:b/>
          <w:sz w:val="24"/>
        </w:rPr>
        <w:t>Livello A quanto alla frode e alla destinazione sudafricana: sentenze, atti parlamentari e fonti convergenti di tre ordinamenti.</w:t>
      </w:r>
    </w:p>
    <w:p>
      <w:pPr>
        <w:spacing w:line="276" w:lineRule="auto" w:after="0"/>
        <w:ind w:firstLine="425"/>
        <w:jc w:val="both"/>
      </w:pPr>
      <w:r>
        <w:rPr>
          <w:rFonts w:ascii="Times New Roman" w:hAnsi="Times New Roman" w:cs="Times New Roman" w:eastAsia="Times New Roman"/>
          <w:b/>
          <w:sz w:val="24"/>
        </w:rPr>
        <w:t>5.9 — L'emersione parlamentare sudafricana.</w:t>
      </w:r>
      <w:r>
        <w:rPr>
          <w:rFonts w:ascii="Times New Roman" w:hAnsi="Times New Roman" w:cs="Times New Roman" w:eastAsia="Times New Roman"/>
          <w:b w:val="0"/>
          <w:sz w:val="24"/>
        </w:rPr>
        <w:t xml:space="preserve"> Il governo di Pretoria riconobbe in Parlamento, nel millenovecentottantatré, i pagamenti della vicenda Salem: fu il primo squarcio ufficiale sul sistema degli approvvigionamenti occulti, e la premessa dello scandalo del millenovecentottantaquattro che il Capitolo ottavo espone.</w:t>
      </w:r>
    </w:p>
    <w:p>
      <w:pPr>
        <w:spacing w:line="276" w:lineRule="auto" w:after="0"/>
        <w:ind w:firstLine="425"/>
        <w:jc w:val="both"/>
      </w:pPr>
      <w:r>
        <w:rPr>
          <w:rFonts w:ascii="Times New Roman" w:hAnsi="Times New Roman" w:cs="Times New Roman" w:eastAsia="Times New Roman"/>
          <w:b/>
          <w:sz w:val="24"/>
        </w:rPr>
        <w:t>5.10 — Il non-nesso con Chiavelli.</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Nessun documento reperito collega il caso Salem al contratto Lucina o a Chiavelli.</w:t>
      </w:r>
      <w:r>
        <w:rPr>
          <w:rFonts w:ascii="Times New Roman" w:hAnsi="Times New Roman" w:cs="Times New Roman" w:eastAsia="Times New Roman"/>
          <w:b w:val="0"/>
          <w:sz w:val="24"/>
        </w:rPr>
        <w:t xml:space="preserve"> La coincidenza di stagione — dicembre millenovecentosettantanove — e di acquirente — lo Strategic Fuel Fund — non costituisce nesso, e la prescrizione del corpus si applica alla lettera: due canali distinti raggiunsero il medesimo pozzo nello stesso mese, e la convergenza sul pozzo prova la domanda del regime, non il coordinamento degli offerenti.</w:t>
      </w:r>
    </w:p>
    <w:p>
      <w:pPr>
        <w:spacing w:line="276" w:lineRule="auto" w:after="0"/>
        <w:ind w:firstLine="0"/>
        <w:jc w:val="both"/>
      </w:pPr>
      <w:r>
        <w:rPr>
          <w:rFonts w:ascii="Times New Roman" w:hAnsi="Times New Roman" w:cs="Times New Roman" w:eastAsia="Times New Roman"/>
          <w:b/>
          <w:sz w:val="24"/>
        </w:rPr>
        <w:t>Capitolo sesto — Marc Rich e la grazia del duemilauno</w:t>
      </w:r>
    </w:p>
    <w:p>
      <w:pPr>
        <w:spacing w:line="276" w:lineRule="auto" w:after="0"/>
        <w:ind w:firstLine="425"/>
        <w:jc w:val="both"/>
      </w:pPr>
      <w:r>
        <w:rPr>
          <w:rFonts w:ascii="Times New Roman" w:hAnsi="Times New Roman" w:cs="Times New Roman" w:eastAsia="Times New Roman"/>
          <w:b/>
          <w:sz w:val="24"/>
        </w:rPr>
        <w:t>6.1 — La società.</w:t>
      </w:r>
      <w:r>
        <w:rPr>
          <w:rFonts w:ascii="Times New Roman" w:hAnsi="Times New Roman" w:cs="Times New Roman" w:eastAsia="Times New Roman"/>
          <w:b w:val="0"/>
          <w:sz w:val="24"/>
        </w:rPr>
        <w:t xml:space="preserve"> La Marc Rich + Co., con sede a Zug in Svizzera, è descritta dalle fonti come il maggiore fornitore di petrolio del Sudafrica dell'embargo: il vertice statunitense-svizzero della rete di cui Chiavelli fu il vertice italiano e Deuss quello olandese.</w:t>
      </w:r>
    </w:p>
    <w:p>
      <w:pPr>
        <w:spacing w:line="276" w:lineRule="auto" w:after="0"/>
        <w:ind w:firstLine="425"/>
        <w:jc w:val="both"/>
      </w:pPr>
      <w:r>
        <w:rPr>
          <w:rFonts w:ascii="Times New Roman" w:hAnsi="Times New Roman" w:cs="Times New Roman" w:eastAsia="Times New Roman"/>
          <w:b/>
          <w:sz w:val="24"/>
        </w:rPr>
        <w:t>6.2 — I volumi e il metodo.</w:t>
      </w:r>
      <w:r>
        <w:rPr>
          <w:rFonts w:ascii="Times New Roman" w:hAnsi="Times New Roman" w:cs="Times New Roman" w:eastAsia="Times New Roman"/>
          <w:b w:val="0"/>
          <w:sz w:val="24"/>
        </w:rPr>
        <w:t xml:space="preserve"> Rich operò tramite triangolazioni, false bandiere e documentazione alterata; una fonte stima in ventidue miliardi di dollari i premi pagati dal Sudafrica principalmente a Deuss e a Rich fra il millenovecentosettantatré e il millenovecentottantaquattro. </w:t>
      </w:r>
      <w:r>
        <w:rPr>
          <w:rFonts w:ascii="Times New Roman" w:hAnsi="Times New Roman" w:cs="Times New Roman" w:eastAsia="Times New Roman"/>
          <w:b/>
          <w:sz w:val="24"/>
        </w:rPr>
        <w:t>La cifra coincide numericamente con il totale in rand della dichiarazione di Botha del punto 1.10: la coincidenza della cifra nuda con divergenza della valuta è essa stessa un reperto sulla circolazione delle stime, e vieta di sommare le due grandezze come se fossero indipendenti.</w:t>
      </w:r>
    </w:p>
    <w:p>
      <w:pPr>
        <w:spacing w:line="276" w:lineRule="auto" w:after="0"/>
        <w:ind w:firstLine="425"/>
        <w:jc w:val="both"/>
      </w:pPr>
      <w:r>
        <w:rPr>
          <w:rFonts w:ascii="Times New Roman" w:hAnsi="Times New Roman" w:cs="Times New Roman" w:eastAsia="Times New Roman"/>
          <w:b/>
          <w:sz w:val="24"/>
        </w:rPr>
        <w:t>6.3 — L'incriminazione.</w:t>
      </w:r>
      <w:r>
        <w:rPr>
          <w:rFonts w:ascii="Times New Roman" w:hAnsi="Times New Roman" w:cs="Times New Roman" w:eastAsia="Times New Roman"/>
          <w:b w:val="0"/>
          <w:sz w:val="24"/>
        </w:rPr>
        <w:t xml:space="preserve"> Nel settembre millenovecentottantatré un gran giurì federale di New York, sotto il procuratore Rudolph Giuliani, emise un atto d'accusa di cinquantuno capi contro Marc Rich, Pincus Green e le loro società; un atto integrativo del marzo millenovecentottantaquattro aggiunse quattordici capi, portando il totale a sessantacinque: evasione fiscale per oltre quarantotto milioni di dollari e commercio con l'Iran. Rich riparò in Svizzera nel millenovecentottantatré e non tornò mai negli Stati Uniti.</w:t>
      </w:r>
    </w:p>
    <w:p>
      <w:pPr>
        <w:spacing w:line="276" w:lineRule="auto" w:after="0"/>
        <w:ind w:firstLine="425"/>
        <w:jc w:val="both"/>
      </w:pPr>
      <w:r>
        <w:rPr>
          <w:rFonts w:ascii="Times New Roman" w:hAnsi="Times New Roman" w:cs="Times New Roman" w:eastAsia="Times New Roman"/>
          <w:b/>
          <w:sz w:val="24"/>
        </w:rPr>
        <w:t>6.4 — L'accusa iraniana.</w:t>
      </w:r>
      <w:r>
        <w:rPr>
          <w:rFonts w:ascii="Times New Roman" w:hAnsi="Times New Roman" w:cs="Times New Roman" w:eastAsia="Times New Roman"/>
          <w:b w:val="0"/>
          <w:sz w:val="24"/>
        </w:rPr>
        <w:t xml:space="preserve"> Secondo l'atto d'accusa riportato da TIME nel millenovecentottantatré, Rich e Green </w:t>
      </w:r>
      <w:r>
        <w:rPr>
          <w:rFonts w:ascii="Times New Roman" w:hAnsi="Times New Roman" w:cs="Times New Roman" w:eastAsia="Times New Roman"/>
          <w:b/>
          <w:sz w:val="24"/>
        </w:rPr>
        <w:t>during the hostage crisis in Iran … bought 6.2 million bbl. of crude worth $200 million from the National Iranian Oil Co.</w:t>
      </w:r>
      <w:r>
        <w:rPr>
          <w:rFonts w:ascii="Times New Roman" w:hAnsi="Times New Roman" w:cs="Times New Roman" w:eastAsia="Times New Roman"/>
          <w:b w:val="0"/>
          <w:sz w:val="24"/>
        </w:rPr>
        <w:t xml:space="preserve">; la società patteggiò versando circa centotrenta milioni di dollari di sanzioni, mentre Rich restò nella lista dei latitanti federali. </w:t>
      </w:r>
      <w:r>
        <w:rPr>
          <w:rFonts w:ascii="Times New Roman" w:hAnsi="Times New Roman" w:cs="Times New Roman" w:eastAsia="Times New Roman"/>
          <w:b/>
          <w:sz w:val="24"/>
        </w:rPr>
        <w:t>Il medesimo operatore riforniva dunque il regime che l'Iran embargava e comprava dal regime che gli Stati Uniti embargavano: la neutralità commerciale degli intermediari, che il corpus ha già qualificato come vulnerabilità normativa e non ideologica, ha qui la sua prova biografica.</w:t>
      </w:r>
    </w:p>
    <w:p>
      <w:pPr>
        <w:spacing w:line="276" w:lineRule="auto" w:after="0"/>
        <w:ind w:firstLine="425"/>
        <w:jc w:val="both"/>
      </w:pPr>
      <w:r>
        <w:rPr>
          <w:rFonts w:ascii="Times New Roman" w:hAnsi="Times New Roman" w:cs="Times New Roman" w:eastAsia="Times New Roman"/>
          <w:b/>
          <w:sz w:val="24"/>
        </w:rPr>
        <w:t>6.5 — La grazia.</w:t>
      </w:r>
      <w:r>
        <w:rPr>
          <w:rFonts w:ascii="Times New Roman" w:hAnsi="Times New Roman" w:cs="Times New Roman" w:eastAsia="Times New Roman"/>
          <w:b w:val="0"/>
          <w:sz w:val="24"/>
        </w:rPr>
        <w:t xml:space="preserve"> William Clinton concesse la grazia a Rich il venti gennaio duemilauno, ultimo giorno del proprio mandato.</w:t>
      </w:r>
    </w:p>
    <w:p>
      <w:pPr>
        <w:spacing w:line="276" w:lineRule="auto" w:after="0"/>
        <w:ind w:firstLine="425"/>
        <w:jc w:val="both"/>
      </w:pPr>
      <w:r>
        <w:rPr>
          <w:rFonts w:ascii="Times New Roman" w:hAnsi="Times New Roman" w:cs="Times New Roman" w:eastAsia="Times New Roman"/>
          <w:b/>
          <w:sz w:val="24"/>
        </w:rPr>
        <w:t>6.6 — L'indagine del Congresso.</w:t>
      </w:r>
      <w:r>
        <w:rPr>
          <w:rFonts w:ascii="Times New Roman" w:hAnsi="Times New Roman" w:cs="Times New Roman" w:eastAsia="Times New Roman"/>
          <w:b w:val="0"/>
          <w:sz w:val="24"/>
        </w:rPr>
        <w:t xml:space="preserve"> La House Committee on Government Reform tenne udienze l'otto febbraio e il primo marzo duemilauno, serial 107-11, sotto il titolo The controversial pardon of international fugitive Marc Rich.</w:t>
      </w:r>
    </w:p>
    <w:p>
      <w:pPr>
        <w:spacing w:line="276" w:lineRule="auto" w:after="0"/>
        <w:ind w:firstLine="425"/>
        <w:jc w:val="both"/>
      </w:pPr>
      <w:r>
        <w:rPr>
          <w:rFonts w:ascii="Times New Roman" w:hAnsi="Times New Roman" w:cs="Times New Roman" w:eastAsia="Times New Roman"/>
          <w:b/>
          <w:sz w:val="24"/>
        </w:rPr>
        <w:t>6.7 — La contestazione sudafricana.</w:t>
      </w:r>
      <w:r>
        <w:rPr>
          <w:rFonts w:ascii="Times New Roman" w:hAnsi="Times New Roman" w:cs="Times New Roman" w:eastAsia="Times New Roman"/>
          <w:b w:val="0"/>
          <w:sz w:val="24"/>
        </w:rPr>
        <w:t xml:space="preserve"> Il presidente della commissione, Dan Burton, repubblicano dell'Indiana, citò espressamente l'aggiramento dell'embargo sudafricano fra le condotte contestate a Rich, chiedendo alla consigliera giuridica della Casa Bianca Beth Nolan se Clinton fosse a conoscenza che Rich </w:t>
      </w:r>
      <w:r>
        <w:rPr>
          <w:rFonts w:ascii="Times New Roman" w:hAnsi="Times New Roman" w:cs="Times New Roman" w:eastAsia="Times New Roman"/>
          <w:b/>
          <w:sz w:val="24"/>
        </w:rPr>
        <w:t>was violating the embargo of South Africa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Ventuno anni dopo il contratto, il canale petrolifero sudafricano riemerse dunque come capo d'accusa politico in un'aula del Congresso: è la più tarda occorrenza istituzionale del perimetro australe che il corpus registri.</w:t>
      </w:r>
    </w:p>
    <w:p>
      <w:pPr>
        <w:spacing w:line="276" w:lineRule="auto" w:after="0"/>
        <w:ind w:firstLine="425"/>
        <w:jc w:val="both"/>
      </w:pPr>
      <w:r>
        <w:rPr>
          <w:rFonts w:ascii="Times New Roman" w:hAnsi="Times New Roman" w:cs="Times New Roman" w:eastAsia="Times New Roman"/>
          <w:b/>
          <w:sz w:val="24"/>
        </w:rPr>
        <w:t>6.8 — L'ironia documentata.</w:t>
      </w:r>
      <w:r>
        <w:rPr>
          <w:rFonts w:ascii="Times New Roman" w:hAnsi="Times New Roman" w:cs="Times New Roman" w:eastAsia="Times New Roman"/>
          <w:b w:val="0"/>
          <w:sz w:val="24"/>
        </w:rPr>
        <w:t xml:space="preserve"> Il Mail and Guardian del ventitré marzo duemilauno e il Center for Public Integrity rilevarono che due degli inquirenti — Burton e il senatore Orrin Hatch, repubblicano dello Utah — avevano a loro tempo operato contro le sanzioni statunitensi al Sudafrica. </w:t>
      </w:r>
      <w:r>
        <w:rPr>
          <w:rFonts w:ascii="Times New Roman" w:hAnsi="Times New Roman" w:cs="Times New Roman" w:eastAsia="Times New Roman"/>
          <w:b/>
          <w:sz w:val="24"/>
        </w:rPr>
        <w:t>Il rilievo è di fonte giornalistica e di osservatorio civico, e come tale si riporta: esso qualifica la postura politica dei due, non la fondatezza della contestazione a Rich, che resta documentale.</w:t>
      </w:r>
    </w:p>
    <w:p>
      <w:pPr>
        <w:spacing w:line="276" w:lineRule="auto" w:after="0"/>
        <w:ind w:firstLine="425"/>
        <w:jc w:val="both"/>
      </w:pPr>
      <w:r>
        <w:rPr>
          <w:rFonts w:ascii="Times New Roman" w:hAnsi="Times New Roman" w:cs="Times New Roman" w:eastAsia="Times New Roman"/>
          <w:b/>
          <w:sz w:val="24"/>
        </w:rPr>
        <w:t>6.9 — I voti individuali non reperiti.</w:t>
      </w:r>
      <w:r>
        <w:rPr>
          <w:rFonts w:ascii="Times New Roman" w:hAnsi="Times New Roman" w:cs="Times New Roman" w:eastAsia="Times New Roman"/>
          <w:b w:val="0"/>
          <w:sz w:val="24"/>
        </w:rPr>
        <w:t xml:space="preserve"> Burton sedeva alla Camera al momento dell'override del ventinove settembre millenovecentottantasei; Hatch al Senato per quello del due ottobre. </w:t>
      </w:r>
      <w:r>
        <w:rPr>
          <w:rFonts w:ascii="Times New Roman" w:hAnsi="Times New Roman" w:cs="Times New Roman" w:eastAsia="Times New Roman"/>
          <w:b/>
          <w:sz w:val="24"/>
        </w:rPr>
        <w:t>La registrazione nominale dei loro voti individuali sull'override non è stata reperita nelle fonti consultate: mancato reperimento, dichiarato, con sede di chiusura nei registri di voto del novantanovesimo Congresso.</w:t>
      </w:r>
      <w:r>
        <w:rPr>
          <w:rFonts w:ascii="Times New Roman" w:hAnsi="Times New Roman" w:cs="Times New Roman" w:eastAsia="Times New Roman"/>
          <w:b w:val="0"/>
          <w:sz w:val="24"/>
        </w:rPr>
        <w:t xml:space="preserve"> La qualificazione del punto 6.8 resta perciò fondata sulle fonti che la enunciano e non su un riscontro autoptico.</w:t>
      </w:r>
    </w:p>
    <w:p>
      <w:pPr>
        <w:spacing w:line="276" w:lineRule="auto" w:after="0"/>
        <w:ind w:firstLine="425"/>
        <w:jc w:val="both"/>
      </w:pPr>
      <w:r>
        <w:rPr>
          <w:rFonts w:ascii="Times New Roman" w:hAnsi="Times New Roman" w:cs="Times New Roman" w:eastAsia="Times New Roman"/>
          <w:b/>
          <w:sz w:val="24"/>
        </w:rPr>
        <w:t>6.10 — La chiusura del nodo.</w:t>
      </w:r>
      <w:r>
        <w:rPr>
          <w:rFonts w:ascii="Times New Roman" w:hAnsi="Times New Roman" w:cs="Times New Roman" w:eastAsia="Times New Roman"/>
          <w:b w:val="0"/>
          <w:sz w:val="24"/>
        </w:rPr>
        <w:t xml:space="preserve"> Rich morì in Svizzera nel duemilatredici, senza avere mai risposto in giudizio delle accuse del millenovecentottantatré. </w:t>
      </w:r>
      <w:r>
        <w:rPr>
          <w:rFonts w:ascii="Times New Roman" w:hAnsi="Times New Roman" w:cs="Times New Roman" w:eastAsia="Times New Roman"/>
          <w:b/>
          <w:sz w:val="24"/>
        </w:rPr>
        <w:t>Dei tre vertici della rete, nessuno fu mai giudicato per il versante sudafricano: Chiavelli morì a Johannesburg nel millenovecentonovantatré, Rich graziato nel duemilauno, Deuss uscito dal traffico per decisione propria nel millenovecentottantasette.</w:t>
      </w:r>
      <w:r>
        <w:rPr>
          <w:rFonts w:ascii="Times New Roman" w:hAnsi="Times New Roman" w:cs="Times New Roman" w:eastAsia="Times New Roman"/>
          <w:b w:val="0"/>
          <w:sz w:val="24"/>
        </w:rPr>
        <w:t xml:space="preserve"> L'assenza di ogni esito giudiziario sul canale petrolifero — in qualunque ordinamento — è un dato di struttura, non un difetto di ricerca, e discende dall'asimmetria giuridica del punto 2.4.</w:t>
      </w:r>
    </w:p>
    <w:p>
      <w:pPr>
        <w:spacing w:line="276" w:lineRule="auto" w:after="0"/>
        <w:ind w:firstLine="0"/>
        <w:jc w:val="both"/>
      </w:pPr>
      <w:r>
        <w:rPr>
          <w:rFonts w:ascii="Times New Roman" w:hAnsi="Times New Roman" w:cs="Times New Roman" w:eastAsia="Times New Roman"/>
          <w:b/>
          <w:sz w:val="24"/>
        </w:rPr>
        <w:t>Capitolo settimo — Gli altri intermediari e le tecniche</w:t>
      </w:r>
    </w:p>
    <w:p>
      <w:pPr>
        <w:spacing w:line="276" w:lineRule="auto" w:after="0"/>
        <w:ind w:firstLine="425"/>
        <w:jc w:val="both"/>
      </w:pPr>
      <w:r>
        <w:rPr>
          <w:rFonts w:ascii="Times New Roman" w:hAnsi="Times New Roman" w:cs="Times New Roman" w:eastAsia="Times New Roman"/>
          <w:b/>
          <w:sz w:val="24"/>
        </w:rPr>
        <w:t>7.1 — John Deuss.</w:t>
      </w:r>
      <w:r>
        <w:rPr>
          <w:rFonts w:ascii="Times New Roman" w:hAnsi="Times New Roman" w:cs="Times New Roman" w:eastAsia="Times New Roman"/>
          <w:b w:val="0"/>
          <w:sz w:val="24"/>
        </w:rPr>
        <w:t xml:space="preserve"> L'olandese John Deuss fondò nel millenovecentosettantatré alle Bermuda la JOC Oil — John's Own Company — con trecentomila dollari, poi la Transworld Oil, e nello stesso anno istituì la First Curaçao International Bank: </w:t>
      </w:r>
      <w:r>
        <w:rPr>
          <w:rFonts w:ascii="Times New Roman" w:hAnsi="Times New Roman" w:cs="Times New Roman" w:eastAsia="Times New Roman"/>
          <w:b/>
          <w:sz w:val="24"/>
        </w:rPr>
        <w:t>operatore, casa di commercio e banca nella medesima mano, in tre giurisdizioni di comodo.</w:t>
      </w:r>
    </w:p>
    <w:p>
      <w:pPr>
        <w:spacing w:line="276" w:lineRule="auto" w:after="0"/>
        <w:ind w:firstLine="425"/>
        <w:jc w:val="both"/>
      </w:pPr>
      <w:r>
        <w:rPr>
          <w:rFonts w:ascii="Times New Roman" w:hAnsi="Times New Roman" w:cs="Times New Roman" w:eastAsia="Times New Roman"/>
          <w:b/>
          <w:sz w:val="24"/>
        </w:rPr>
        <w:t>7.2 — I volumi.</w:t>
      </w:r>
      <w:r>
        <w:rPr>
          <w:rFonts w:ascii="Times New Roman" w:hAnsi="Times New Roman" w:cs="Times New Roman" w:eastAsia="Times New Roman"/>
          <w:b w:val="0"/>
          <w:sz w:val="24"/>
        </w:rPr>
        <w:t xml:space="preserve"> Lo Shipping Research Bureau stimò che nel millenovecentottanta Deuss potesse fornire fino al venti per cento del fabbisogno di greggio importato dal Sudafrica: il singolo intermediario come quinta parte dell'approvvigionamento di uno Stato.</w:t>
      </w:r>
    </w:p>
    <w:p>
      <w:pPr>
        <w:spacing w:line="276" w:lineRule="auto" w:after="0"/>
        <w:ind w:firstLine="425"/>
        <w:jc w:val="both"/>
      </w:pPr>
      <w:r>
        <w:rPr>
          <w:rFonts w:ascii="Times New Roman" w:hAnsi="Times New Roman" w:cs="Times New Roman" w:eastAsia="Times New Roman"/>
          <w:b/>
          <w:sz w:val="24"/>
        </w:rPr>
        <w:t>7.3 — Il Lucina di Deuss.</w:t>
      </w:r>
      <w:r>
        <w:rPr>
          <w:rFonts w:ascii="Times New Roman" w:hAnsi="Times New Roman" w:cs="Times New Roman" w:eastAsia="Times New Roman"/>
          <w:b w:val="0"/>
          <w:sz w:val="24"/>
        </w:rPr>
        <w:t xml:space="preserve"> La monografia dell'ufficio su Deuss e la letteratura successiva associano il nome Lucina anche a lui: ottantamila-centoventimila barili al giorno dal gennaio millenovecentottantuno al marzo millenovecentottantatré, con circa sessantotto milioni di barili consegnati fra il millenovecentosettantanove e il millenovecentottantadue.</w:t>
      </w:r>
    </w:p>
    <w:p>
      <w:pPr>
        <w:spacing w:line="276" w:lineRule="auto" w:after="0"/>
        <w:ind w:firstLine="425"/>
        <w:jc w:val="both"/>
      </w:pPr>
      <w:r>
        <w:rPr>
          <w:rFonts w:ascii="Times New Roman" w:hAnsi="Times New Roman" w:cs="Times New Roman" w:eastAsia="Times New Roman"/>
          <w:b/>
          <w:sz w:val="24"/>
        </w:rPr>
        <w:t>7.4 — La divergenza Lucina, dichiarata per intero.</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Il medesimo nome contrattuale è attribuito dalle fonti che discendono dal volume del millenovecentonovantacinque a Chiavelli, e dalla monografia su Deuss alla Transworld Oil: se si tratti di un unico contratto con più intermediari, di due contratti omonimi o di un'attribuzione erronea in una delle due linee, le fonti reperite non consentono di stabilirlo.</w:t>
      </w:r>
      <w:r>
        <w:rPr>
          <w:rFonts w:ascii="Times New Roman" w:hAnsi="Times New Roman" w:cs="Times New Roman" w:eastAsia="Times New Roman"/>
          <w:b w:val="0"/>
          <w:sz w:val="24"/>
        </w:rPr>
        <w:t xml:space="preserve"> La divergenza si riporta e non si compone; le condizioni di scioglimento — la lettura integrale della monografia su Deuss e del rapporto Secret Oil Deliveries 1981-1982 — sono iscritte nella tavola del Capitolo decimo. </w:t>
      </w:r>
      <w:r>
        <w:rPr>
          <w:rFonts w:ascii="Times New Roman" w:hAnsi="Times New Roman" w:cs="Times New Roman" w:eastAsia="Times New Roman"/>
          <w:b/>
          <w:sz w:val="24"/>
        </w:rPr>
        <w:t>Essa è la divergenza capitale del registro, perché investe l'attribuzione stessa del nodo italiano.</w:t>
      </w:r>
    </w:p>
    <w:p>
      <w:pPr>
        <w:spacing w:line="276" w:lineRule="auto" w:after="0"/>
        <w:ind w:firstLine="425"/>
        <w:jc w:val="both"/>
      </w:pPr>
      <w:r>
        <w:rPr>
          <w:rFonts w:ascii="Times New Roman" w:hAnsi="Times New Roman" w:cs="Times New Roman" w:eastAsia="Times New Roman"/>
          <w:b/>
          <w:sz w:val="24"/>
        </w:rPr>
        <w:t>7.5 — I guadagni di Deuss.</w:t>
      </w:r>
      <w:r>
        <w:rPr>
          <w:rFonts w:ascii="Times New Roman" w:hAnsi="Times New Roman" w:cs="Times New Roman" w:eastAsia="Times New Roman"/>
          <w:b w:val="0"/>
          <w:sz w:val="24"/>
        </w:rPr>
        <w:t xml:space="preserve"> Le stime oscillano fra duecentottanta e cinquecento milioni di dollari: forbice ampia, che si riporta come tale.</w:t>
      </w:r>
    </w:p>
    <w:p>
      <w:pPr>
        <w:spacing w:line="276" w:lineRule="auto" w:after="0"/>
        <w:ind w:firstLine="425"/>
        <w:jc w:val="both"/>
      </w:pPr>
      <w:r>
        <w:rPr>
          <w:rFonts w:ascii="Times New Roman" w:hAnsi="Times New Roman" w:cs="Times New Roman" w:eastAsia="Times New Roman"/>
          <w:b/>
          <w:sz w:val="24"/>
        </w:rPr>
        <w:t>7.6 — La copertura d'intelligence.</w:t>
      </w:r>
      <w:r>
        <w:rPr>
          <w:rFonts w:ascii="Times New Roman" w:hAnsi="Times New Roman" w:cs="Times New Roman" w:eastAsia="Times New Roman"/>
          <w:b w:val="0"/>
          <w:sz w:val="24"/>
        </w:rPr>
        <w:t xml:space="preserve"> Deuss impiegò l'ex dirigente della Central Intelligence Agency Theodore Shackley quale analista di rischio. </w:t>
      </w:r>
      <w:r>
        <w:rPr>
          <w:rFonts w:ascii="Times New Roman" w:hAnsi="Times New Roman" w:cs="Times New Roman" w:eastAsia="Times New Roman"/>
          <w:b/>
          <w:sz w:val="24"/>
        </w:rPr>
        <w:t>Il dato tocca il dominio terzo del corpus senza costituire condotta di apparato: un ex ufficiale assunto da un privato è un arco individuale, non un canale istituzionale, e la distinzione va tenuta ferma contro ogni lettura estensiva.</w:t>
      </w:r>
    </w:p>
    <w:p>
      <w:pPr>
        <w:spacing w:line="276" w:lineRule="auto" w:after="0"/>
        <w:ind w:firstLine="425"/>
        <w:jc w:val="both"/>
      </w:pPr>
      <w:r>
        <w:rPr>
          <w:rFonts w:ascii="Times New Roman" w:hAnsi="Times New Roman" w:cs="Times New Roman" w:eastAsia="Times New Roman"/>
          <w:b/>
          <w:sz w:val="24"/>
        </w:rPr>
        <w:t>7.7 — Il ritiro del millenovecentottantasette.</w:t>
      </w:r>
      <w:r>
        <w:rPr>
          <w:rFonts w:ascii="Times New Roman" w:hAnsi="Times New Roman" w:cs="Times New Roman" w:eastAsia="Times New Roman"/>
          <w:b w:val="0"/>
          <w:sz w:val="24"/>
        </w:rPr>
        <w:t xml:space="preserve"> La Transworld Oil annunciò il tredici-quattordici ottobre millenovecentottantasette la cessazione delle vendite al Sudafrica; Deuss dichiarò: </w:t>
      </w:r>
      <w:r>
        <w:rPr>
          <w:rFonts w:ascii="Times New Roman" w:hAnsi="Times New Roman" w:cs="Times New Roman" w:eastAsia="Times New Roman"/>
          <w:b/>
          <w:sz w:val="24"/>
        </w:rPr>
        <w:t>We don't believe in sanctions … But that does not mean we have to continue trading with South Africa.</w:t>
      </w:r>
      <w:r>
        <w:rPr>
          <w:rFonts w:ascii="Times New Roman" w:hAnsi="Times New Roman" w:cs="Times New Roman" w:eastAsia="Times New Roman"/>
          <w:b w:val="0"/>
          <w:sz w:val="24"/>
        </w:rPr>
        <w:t xml:space="preserve"> Il maggiore fornitore uscì dal traffico per calcolo reputazionale e commerciale, non per obbligo giuridico: la conferma comportamentale dell'asimmetria del punto 2.4.</w:t>
      </w:r>
    </w:p>
    <w:p>
      <w:pPr>
        <w:spacing w:line="276" w:lineRule="auto" w:after="0"/>
        <w:ind w:firstLine="425"/>
        <w:jc w:val="both"/>
      </w:pPr>
      <w:r>
        <w:rPr>
          <w:rFonts w:ascii="Times New Roman" w:hAnsi="Times New Roman" w:cs="Times New Roman" w:eastAsia="Times New Roman"/>
          <w:b/>
          <w:sz w:val="24"/>
        </w:rPr>
        <w:t>7.8 — La rappresaglia.</w:t>
      </w:r>
      <w:r>
        <w:rPr>
          <w:rFonts w:ascii="Times New Roman" w:hAnsi="Times New Roman" w:cs="Times New Roman" w:eastAsia="Times New Roman"/>
          <w:b w:val="0"/>
          <w:sz w:val="24"/>
        </w:rPr>
        <w:t xml:space="preserve"> La casa di Deuss ad Amsterdam fu incendiata nel millenovecentottantacinque da un gruppo autodenominatosi Pyromaniacs Against Apartheid: l'unica violenza fisica documentata dell'intero canale petrolifero fu diretta contro un intermediario, non da esso.</w:t>
      </w:r>
    </w:p>
    <w:p>
      <w:pPr>
        <w:spacing w:line="276" w:lineRule="auto" w:after="0"/>
        <w:ind w:firstLine="425"/>
        <w:jc w:val="both"/>
      </w:pPr>
      <w:r>
        <w:rPr>
          <w:rFonts w:ascii="Times New Roman" w:hAnsi="Times New Roman" w:cs="Times New Roman" w:eastAsia="Times New Roman"/>
          <w:b/>
          <w:sz w:val="24"/>
        </w:rPr>
        <w:t>7.9 — Gli operatori minori.</w:t>
      </w:r>
      <w:r>
        <w:rPr>
          <w:rFonts w:ascii="Times New Roman" w:hAnsi="Times New Roman" w:cs="Times New Roman" w:eastAsia="Times New Roman"/>
          <w:b w:val="0"/>
          <w:sz w:val="24"/>
        </w:rPr>
        <w:t xml:space="preserve"> Le fonti censiscono Helge Storch-Nielsen, di origine danese, console onorario del Perù a Città del Capo; il banchiere del Bahrein Ezra Nonoo; e l'avvocato britannico Maurice Sellier nell'organizzazione del canale omanita. </w:t>
      </w:r>
      <w:r>
        <w:rPr>
          <w:rFonts w:ascii="Times New Roman" w:hAnsi="Times New Roman" w:cs="Times New Roman" w:eastAsia="Times New Roman"/>
          <w:b/>
          <w:sz w:val="24"/>
        </w:rPr>
        <w:t>Quattro nazionalità maggiori e almeno tre minori: la rete non ebbe baricentro nazionale, e questa è la ragione strutturale per cui nessun singolo ordinamento poté processarla.</w:t>
      </w:r>
    </w:p>
    <w:p>
      <w:pPr>
        <w:spacing w:line="276" w:lineRule="auto" w:after="0"/>
        <w:ind w:firstLine="425"/>
        <w:jc w:val="both"/>
      </w:pPr>
      <w:r>
        <w:rPr>
          <w:rFonts w:ascii="Times New Roman" w:hAnsi="Times New Roman" w:cs="Times New Roman" w:eastAsia="Times New Roman"/>
          <w:b/>
          <w:sz w:val="24"/>
        </w:rPr>
        <w:t>7.10 — Le tecniche e le rotte.</w:t>
      </w:r>
      <w:r>
        <w:rPr>
          <w:rFonts w:ascii="Times New Roman" w:hAnsi="Times New Roman" w:cs="Times New Roman" w:eastAsia="Times New Roman"/>
          <w:b w:val="0"/>
          <w:sz w:val="24"/>
        </w:rPr>
        <w:t xml:space="preserve"> Doppia documentazione di carico, dichiarazioni di destinazione false, trasbordi in mare aperto, cambi di nome delle navi in navigazione, false bandiere; transiti per Rotterdam, per le Antille olandesi e per i terminali del Golfo. </w:t>
      </w:r>
      <w:r>
        <w:rPr>
          <w:rFonts w:ascii="Times New Roman" w:hAnsi="Times New Roman" w:cs="Times New Roman" w:eastAsia="Times New Roman"/>
          <w:b/>
          <w:sz w:val="24"/>
        </w:rPr>
        <w:t>Ognuna delle tecniche è documentata nel caso Salem del Capitolo quinto, che ne è il campione giudiziariamente accertato: il caso patologico prova la fisiologia del sistema.</w:t>
      </w:r>
    </w:p>
    <w:p>
      <w:pPr>
        <w:spacing w:line="276" w:lineRule="auto" w:after="0"/>
        <w:ind w:firstLine="0"/>
        <w:jc w:val="both"/>
      </w:pPr>
      <w:r>
        <w:rPr>
          <w:rFonts w:ascii="Times New Roman" w:hAnsi="Times New Roman" w:cs="Times New Roman" w:eastAsia="Times New Roman"/>
          <w:b/>
          <w:sz w:val="24"/>
        </w:rPr>
        <w:t>Capitolo ottavo — Le inchieste sudafricane, dal millenovecentottantaquattro all'eredità</w:t>
      </w:r>
    </w:p>
    <w:p>
      <w:pPr>
        <w:spacing w:line="276" w:lineRule="auto" w:after="0"/>
        <w:ind w:firstLine="425"/>
        <w:jc w:val="both"/>
      </w:pPr>
      <w:r>
        <w:rPr>
          <w:rFonts w:ascii="Times New Roman" w:hAnsi="Times New Roman" w:cs="Times New Roman" w:eastAsia="Times New Roman"/>
          <w:b/>
          <w:sz w:val="24"/>
        </w:rPr>
        <w:t>8.1 — L'origine dello scandalo.</w:t>
      </w:r>
      <w:r>
        <w:rPr>
          <w:rFonts w:ascii="Times New Roman" w:hAnsi="Times New Roman" w:cs="Times New Roman" w:eastAsia="Times New Roman"/>
          <w:b w:val="0"/>
          <w:sz w:val="24"/>
        </w:rPr>
        <w:t xml:space="preserve"> Nel millenovecentottantaquattro il deputato John Malcomess, del Progressive Federal Party, suggerì in Parlamento che i funzionari responsabili degli acquisti petroliferi stessero </w:t>
      </w:r>
      <w:r>
        <w:rPr>
          <w:rFonts w:ascii="Times New Roman" w:hAnsi="Times New Roman" w:cs="Times New Roman" w:eastAsia="Times New Roman"/>
          <w:b/>
          <w:sz w:val="24"/>
        </w:rPr>
        <w:t>creaming off something for themselves</w:t>
      </w:r>
      <w:r>
        <w:rPr>
          <w:rFonts w:ascii="Times New Roman" w:hAnsi="Times New Roman" w:cs="Times New Roman" w:eastAsia="Times New Roman"/>
          <w:b w:val="0"/>
          <w:sz w:val="24"/>
        </w:rPr>
        <w:t>: la frode interna, non l'embargo esterno, fu la porta d'ingresso parlamentare della materia.</w:t>
      </w:r>
    </w:p>
    <w:p>
      <w:pPr>
        <w:spacing w:line="276" w:lineRule="auto" w:after="0"/>
        <w:ind w:firstLine="425"/>
        <w:jc w:val="both"/>
      </w:pPr>
      <w:r>
        <w:rPr>
          <w:rFonts w:ascii="Times New Roman" w:hAnsi="Times New Roman" w:cs="Times New Roman" w:eastAsia="Times New Roman"/>
          <w:b/>
          <w:sz w:val="24"/>
        </w:rPr>
        <w:t>8.2 — Il rapporto dell'Advocate-General.</w:t>
      </w:r>
      <w:r>
        <w:rPr>
          <w:rFonts w:ascii="Times New Roman" w:hAnsi="Times New Roman" w:cs="Times New Roman" w:eastAsia="Times New Roman"/>
          <w:b w:val="0"/>
          <w:sz w:val="24"/>
        </w:rPr>
        <w:t xml:space="preserve"> L'inchiesta dell'Advocate-General del millenovecentottantaquattro sul procurement petrolifero produsse un rapporto con parti secretate: </w:t>
      </w:r>
      <w:r>
        <w:rPr>
          <w:rFonts w:ascii="Times New Roman" w:hAnsi="Times New Roman" w:cs="Times New Roman" w:eastAsia="Times New Roman"/>
          <w:b/>
          <w:sz w:val="24"/>
        </w:rPr>
        <w:t>è la sola inchiesta ufficiale coeva sul canale, ed è la prima delle due sedi candidate a elevare il grado del nodo Chiavelli oltre la fonte unica.</w:t>
      </w:r>
    </w:p>
    <w:p>
      <w:pPr>
        <w:spacing w:line="276" w:lineRule="auto" w:after="0"/>
        <w:ind w:firstLine="425"/>
        <w:jc w:val="both"/>
      </w:pPr>
      <w:r>
        <w:rPr>
          <w:rFonts w:ascii="Times New Roman" w:hAnsi="Times New Roman" w:cs="Times New Roman" w:eastAsia="Times New Roman"/>
          <w:b/>
          <w:sz w:val="24"/>
        </w:rPr>
        <w:t>8.3 — L'identificazione di Scholtz.</w:t>
      </w:r>
      <w:r>
        <w:rPr>
          <w:rFonts w:ascii="Times New Roman" w:hAnsi="Times New Roman" w:cs="Times New Roman" w:eastAsia="Times New Roman"/>
          <w:b w:val="0"/>
          <w:sz w:val="24"/>
        </w:rPr>
        <w:t xml:space="preserve"> Fu Clive Scholtz, nel capitolo del volume dello Shipping Research Bureau, a fornire la prima ricostruzione dell'identità dell'anonymous gossip che aveva innescato lo scandalo: il volume del millenovecentonovantacinque funge dunque anche da chiave dell'inchiesta del millenovecentottantaquattro.</w:t>
      </w:r>
    </w:p>
    <w:p>
      <w:pPr>
        <w:spacing w:line="276" w:lineRule="auto" w:after="0"/>
        <w:ind w:firstLine="425"/>
        <w:jc w:val="both"/>
      </w:pPr>
      <w:r>
        <w:rPr>
          <w:rFonts w:ascii="Times New Roman" w:hAnsi="Times New Roman" w:cs="Times New Roman" w:eastAsia="Times New Roman"/>
          <w:b/>
          <w:sz w:val="24"/>
        </w:rPr>
        <w:t>8.4 — L'ammissione istituzionale.</w:t>
      </w:r>
      <w:r>
        <w:rPr>
          <w:rFonts w:ascii="Times New Roman" w:hAnsi="Times New Roman" w:cs="Times New Roman" w:eastAsia="Times New Roman"/>
          <w:b w:val="0"/>
          <w:sz w:val="24"/>
        </w:rPr>
        <w:t xml:space="preserve"> L'ultimo ministro nazionalista delle Miniere e dell'Energia, George Bartlett, ammise: </w:t>
      </w:r>
      <w:r>
        <w:rPr>
          <w:rFonts w:ascii="Times New Roman" w:hAnsi="Times New Roman" w:cs="Times New Roman" w:eastAsia="Times New Roman"/>
          <w:b/>
          <w:sz w:val="24"/>
        </w:rPr>
        <w:t>The sanctions era demanded that government place a blanket of secrecy over our liquid fuel industry.</w:t>
      </w:r>
      <w:r>
        <w:rPr>
          <w:rFonts w:ascii="Times New Roman" w:hAnsi="Times New Roman" w:cs="Times New Roman" w:eastAsia="Times New Roman"/>
          <w:b w:val="0"/>
          <w:sz w:val="24"/>
        </w:rPr>
        <w:t xml:space="preserve"> La coltre di segreto non fu deviazione ma politica dichiarata: forma legislativa dell'ostruzione preventiva.</w:t>
      </w:r>
    </w:p>
    <w:p>
      <w:pPr>
        <w:spacing w:line="276" w:lineRule="auto" w:after="0"/>
        <w:ind w:firstLine="425"/>
        <w:jc w:val="both"/>
      </w:pPr>
      <w:r>
        <w:rPr>
          <w:rFonts w:ascii="Times New Roman" w:hAnsi="Times New Roman" w:cs="Times New Roman" w:eastAsia="Times New Roman"/>
          <w:b/>
          <w:sz w:val="24"/>
        </w:rPr>
        <w:t>8.5 — Il raccordo con Salem.</w:t>
      </w:r>
      <w:r>
        <w:rPr>
          <w:rFonts w:ascii="Times New Roman" w:hAnsi="Times New Roman" w:cs="Times New Roman" w:eastAsia="Times New Roman"/>
          <w:b w:val="0"/>
          <w:sz w:val="24"/>
        </w:rPr>
        <w:t xml:space="preserve"> Il riconoscimento parlamentare del millenovecentottantatré dei pagamenti della vicenda Salem, esposto al punto 5.9, precedette di un anno lo scandalo Malcomess: la sequenza emersione giudiziaria, ammissione contabile, inchiesta amministrativa si compì in tre anni, e si arrestò alla soglia della pubblicazione integrale.</w:t>
      </w:r>
    </w:p>
    <w:p>
      <w:pPr>
        <w:spacing w:line="276" w:lineRule="auto" w:after="0"/>
        <w:ind w:firstLine="425"/>
        <w:jc w:val="both"/>
      </w:pPr>
      <w:r>
        <w:rPr>
          <w:rFonts w:ascii="Times New Roman" w:hAnsi="Times New Roman" w:cs="Times New Roman" w:eastAsia="Times New Roman"/>
          <w:b/>
          <w:sz w:val="24"/>
        </w:rPr>
        <w:t>8.6 — La Commissione per la verità e la riconciliazione.</w:t>
      </w:r>
      <w:r>
        <w:rPr>
          <w:rFonts w:ascii="Times New Roman" w:hAnsi="Times New Roman" w:cs="Times New Roman" w:eastAsia="Times New Roman"/>
          <w:b w:val="0"/>
          <w:sz w:val="24"/>
        </w:rPr>
        <w:t xml:space="preserve"> Il quarto volume del rapporto della Truth and Reconciliation Commission, del millenovecentonovantotto, tratta le audizioni istituzionali su impresa e lavoro, includendo il settore petrolifero fra i comparti esaminati per il sostegno materiale al regime.</w:t>
      </w:r>
    </w:p>
    <w:p>
      <w:pPr>
        <w:spacing w:line="276" w:lineRule="auto" w:after="0"/>
        <w:ind w:firstLine="425"/>
        <w:jc w:val="both"/>
      </w:pPr>
      <w:r>
        <w:rPr>
          <w:rFonts w:ascii="Times New Roman" w:hAnsi="Times New Roman" w:cs="Times New Roman" w:eastAsia="Times New Roman"/>
          <w:b/>
          <w:sz w:val="24"/>
        </w:rPr>
        <w:t>8.7 — Le assenze del novembre millenovecentonovantasette.</w:t>
      </w:r>
      <w:r>
        <w:rPr>
          <w:rFonts w:ascii="Times New Roman" w:hAnsi="Times New Roman" w:cs="Times New Roman" w:eastAsia="Times New Roman"/>
          <w:b w:val="0"/>
          <w:sz w:val="24"/>
        </w:rPr>
        <w:t xml:space="preserve"> BP e Shell non si presentarono alle audizioni della Commissione sul ruolo delle imprese: </w:t>
      </w:r>
      <w:r>
        <w:rPr>
          <w:rFonts w:ascii="Times New Roman" w:hAnsi="Times New Roman" w:cs="Times New Roman" w:eastAsia="Times New Roman"/>
          <w:b/>
          <w:sz w:val="24"/>
        </w:rPr>
        <w:t>le due compagnie proprietarie della maggiore raffineria del Paese scelsero l'assenza dinanzi all'organo della transizione, e l'assenza è essa stessa un atto registrato.</w:t>
      </w:r>
    </w:p>
    <w:p>
      <w:pPr>
        <w:spacing w:line="276" w:lineRule="auto" w:after="0"/>
        <w:ind w:firstLine="425"/>
        <w:jc w:val="both"/>
      </w:pPr>
      <w:r>
        <w:rPr>
          <w:rFonts w:ascii="Times New Roman" w:hAnsi="Times New Roman" w:cs="Times New Roman" w:eastAsia="Times New Roman"/>
          <w:b/>
          <w:sz w:val="24"/>
        </w:rPr>
        <w:t>8.8 — La co-menzione con il dominio primo, e la sua disciplina.</w:t>
      </w:r>
      <w:r>
        <w:rPr>
          <w:rFonts w:ascii="Times New Roman" w:hAnsi="Times New Roman" w:cs="Times New Roman" w:eastAsia="Times New Roman"/>
          <w:b w:val="0"/>
          <w:sz w:val="24"/>
        </w:rPr>
        <w:t xml:space="preserve"> La letteratura accademica sull'impresa afrikaner sotto l'apartheid raggruppa Chiavelli, Marc Rich e Vito Palazzolo quali operatori esteri insediatisi nel Western Cape. </w:t>
      </w:r>
      <w:r>
        <w:rPr>
          <w:rFonts w:ascii="Times New Roman" w:hAnsi="Times New Roman" w:cs="Times New Roman" w:eastAsia="Times New Roman"/>
          <w:b/>
          <w:sz w:val="24"/>
        </w:rPr>
        <w:t>Il rilievo va trattato con la massima cura: è la prima co-menzione nominale fra il perimetro petrolifero e un soggetto del dominio primo del corpus, ma una co-menzione in una tipologia storiografica non è un nesso di condotta.</w:t>
      </w:r>
      <w:r>
        <w:rPr>
          <w:rFonts w:ascii="Times New Roman" w:hAnsi="Times New Roman" w:cs="Times New Roman" w:eastAsia="Times New Roman"/>
          <w:b w:val="0"/>
          <w:sz w:val="24"/>
        </w:rPr>
        <w:t xml:space="preserve"> La non convergenza del perimetro australe con la criminalità organizzata, accertata in forma debole dalla Triangolazione Atlantica, non è mutata da questo punto: essa riguarda le condotte, e nessuna condotta comune è documentata.</w:t>
      </w:r>
    </w:p>
    <w:p>
      <w:pPr>
        <w:spacing w:line="276" w:lineRule="auto" w:after="0"/>
        <w:ind w:firstLine="425"/>
        <w:jc w:val="both"/>
      </w:pPr>
      <w:r>
        <w:rPr>
          <w:rFonts w:ascii="Times New Roman" w:hAnsi="Times New Roman" w:cs="Times New Roman" w:eastAsia="Times New Roman"/>
          <w:b/>
          <w:sz w:val="24"/>
        </w:rPr>
        <w:t>8.9 — L'eredità post-democratica: Oilgate.</w:t>
      </w:r>
      <w:r>
        <w:rPr>
          <w:rFonts w:ascii="Times New Roman" w:hAnsi="Times New Roman" w:cs="Times New Roman" w:eastAsia="Times New Roman"/>
          <w:b w:val="0"/>
          <w:sz w:val="24"/>
        </w:rPr>
        <w:t xml:space="preserve"> Nel duemilaquattro lo scandalo Imvume-PetroSA vide undici milioni di rand di fondi statali confluire nell'African National Congress attraverso un intermediario petrolifero: </w:t>
      </w:r>
      <w:r>
        <w:rPr>
          <w:rFonts w:ascii="Times New Roman" w:hAnsi="Times New Roman" w:cs="Times New Roman" w:eastAsia="Times New Roman"/>
          <w:b/>
          <w:sz w:val="24"/>
        </w:rPr>
        <w:t>la struttura — l'intermediario privato fra l'ente petrolifero di Stato e il partito di governo — sopravvisse al regime che l'aveva generata, mutando beneficiario.</w:t>
      </w:r>
    </w:p>
    <w:p>
      <w:pPr>
        <w:spacing w:line="276" w:lineRule="auto" w:after="0"/>
        <w:ind w:firstLine="425"/>
        <w:jc w:val="both"/>
      </w:pPr>
      <w:r>
        <w:rPr>
          <w:rFonts w:ascii="Times New Roman" w:hAnsi="Times New Roman" w:cs="Times New Roman" w:eastAsia="Times New Roman"/>
          <w:b/>
          <w:sz w:val="24"/>
        </w:rPr>
        <w:t>8.10 — La continuità architettonica.</w:t>
      </w:r>
      <w:r>
        <w:rPr>
          <w:rFonts w:ascii="Times New Roman" w:hAnsi="Times New Roman" w:cs="Times New Roman" w:eastAsia="Times New Roman"/>
          <w:b w:val="0"/>
          <w:sz w:val="24"/>
        </w:rPr>
        <w:t xml:space="preserve"> Nel duemilaquindici lo Strategic Fuel Fund vendette quasi per intero le riserve strategiche a prezzi scontati, con l'approvazione della ministra Tina Joemat-Pettersson e la regia del direttore ad interim Sibusiso Gamede; il fondo resta a oggi controllato dal Central Energy Fund. </w:t>
      </w:r>
      <w:r>
        <w:rPr>
          <w:rFonts w:ascii="Times New Roman" w:hAnsi="Times New Roman" w:cs="Times New Roman" w:eastAsia="Times New Roman"/>
          <w:b/>
          <w:sz w:val="24"/>
        </w:rPr>
        <w:t>L'architettura dell'era dell'embargo — fondo strategico, ente centrale, segreto commerciale — attraversò intatta la transizione democratica: è un caso di eredità strutturale nel senso del terzo sottotipo degli Archi del corpus, interno all'ordinamento sudafricano.</w:t>
      </w:r>
    </w:p>
    <w:p>
      <w:pPr>
        <w:spacing w:line="276" w:lineRule="auto" w:after="0"/>
        <w:ind w:firstLine="0"/>
        <w:jc w:val="both"/>
      </w:pPr>
      <w:r>
        <w:rPr>
          <w:rFonts w:ascii="Times New Roman" w:hAnsi="Times New Roman" w:cs="Times New Roman" w:eastAsia="Times New Roman"/>
          <w:b/>
          <w:sz w:val="24"/>
        </w:rPr>
        <w:t>Capitolo nono — Il versante onusiano documentale</w:t>
      </w:r>
    </w:p>
    <w:p>
      <w:pPr>
        <w:spacing w:line="276" w:lineRule="auto" w:after="0"/>
        <w:ind w:firstLine="425"/>
        <w:jc w:val="both"/>
      </w:pPr>
      <w:r>
        <w:rPr>
          <w:rFonts w:ascii="Times New Roman" w:hAnsi="Times New Roman" w:cs="Times New Roman" w:eastAsia="Times New Roman"/>
          <w:b/>
          <w:sz w:val="24"/>
        </w:rPr>
        <w:t>9.1 — La serie S/AC.20.</w:t>
      </w:r>
      <w:r>
        <w:rPr>
          <w:rFonts w:ascii="Times New Roman" w:hAnsi="Times New Roman" w:cs="Times New Roman" w:eastAsia="Times New Roman"/>
          <w:b w:val="0"/>
          <w:sz w:val="24"/>
        </w:rPr>
        <w:t xml:space="preserve"> Il Comitato istituito dalla risoluzione quattrocentoventuno del millenovecentosettantasette operava sotto la segnatura S/AC.20: è la serie cui appartiene la lettera italiana S/AC.20/27 del ventisette giugno millenovecentottanta, già acquisita al corpus, con la quale l'Italia negò le accuse di violazione dell'embargo sulle armi.</w:t>
      </w:r>
    </w:p>
    <w:p>
      <w:pPr>
        <w:spacing w:line="276" w:lineRule="auto" w:after="0"/>
        <w:ind w:firstLine="425"/>
        <w:jc w:val="both"/>
      </w:pPr>
      <w:r>
        <w:rPr>
          <w:rFonts w:ascii="Times New Roman" w:hAnsi="Times New Roman" w:cs="Times New Roman" w:eastAsia="Times New Roman"/>
          <w:b/>
          <w:sz w:val="24"/>
        </w:rPr>
        <w:t>9.2 — Il verbale inaccessibile.</w:t>
      </w:r>
      <w:r>
        <w:rPr>
          <w:rFonts w:ascii="Times New Roman" w:hAnsi="Times New Roman" w:cs="Times New Roman" w:eastAsia="Times New Roman"/>
          <w:b w:val="0"/>
          <w:sz w:val="24"/>
        </w:rPr>
        <w:t xml:space="preserve"> Il documento S/AC.20/SR.25, recante l'audizione di Abdul Minty con le accuse all'Italia cui quella lettera rispondeva, </w:t>
      </w:r>
      <w:r>
        <w:rPr>
          <w:rFonts w:ascii="Times New Roman" w:hAnsi="Times New Roman" w:cs="Times New Roman" w:eastAsia="Times New Roman"/>
          <w:b/>
          <w:sz w:val="24"/>
        </w:rPr>
        <w:t>non è risultato accessibile nel sistema documentale delle Nazioni Unite: appartiene alla serie dei verbali a distribuzione ristretta, e l'esito è barriera di accesso, confermata per la terza sessione consecutiva.</w:t>
      </w:r>
      <w:r>
        <w:rPr>
          <w:rFonts w:ascii="Times New Roman" w:hAnsi="Times New Roman" w:cs="Times New Roman" w:eastAsia="Times New Roman"/>
          <w:b w:val="0"/>
          <w:sz w:val="24"/>
        </w:rPr>
        <w:t xml:space="preserve"> La condizione di chiusura resta la declassificazione o la consultazione in sede presso la Dag Hammarskjöld Library.</w:t>
      </w:r>
    </w:p>
    <w:p>
      <w:pPr>
        <w:spacing w:line="276" w:lineRule="auto" w:after="0"/>
        <w:ind w:firstLine="425"/>
        <w:jc w:val="both"/>
      </w:pPr>
      <w:r>
        <w:rPr>
          <w:rFonts w:ascii="Times New Roman" w:hAnsi="Times New Roman" w:cs="Times New Roman" w:eastAsia="Times New Roman"/>
          <w:b/>
          <w:sz w:val="24"/>
        </w:rPr>
        <w:t>9.3 — I rapporti del Gruppo intergovernativo.</w:t>
      </w:r>
      <w:r>
        <w:rPr>
          <w:rFonts w:ascii="Times New Roman" w:hAnsi="Times New Roman" w:cs="Times New Roman" w:eastAsia="Times New Roman"/>
          <w:b w:val="0"/>
          <w:sz w:val="24"/>
        </w:rPr>
        <w:t xml:space="preserve"> L'elenco documentale è quello del punto 2.6: quattro rapporti a doppia segnatura fra il millenovecentottantasette e il millenovecentonovantuno, di consistenza crescente, che costituiscono la contabilità pubblica ufficiale — per quanto non coercitiva — del traffico.</w:t>
      </w:r>
    </w:p>
    <w:p>
      <w:pPr>
        <w:spacing w:line="276" w:lineRule="auto" w:after="0"/>
        <w:ind w:firstLine="425"/>
        <w:jc w:val="both"/>
      </w:pPr>
      <w:r>
        <w:rPr>
          <w:rFonts w:ascii="Times New Roman" w:hAnsi="Times New Roman" w:cs="Times New Roman" w:eastAsia="Times New Roman"/>
          <w:b/>
          <w:sz w:val="24"/>
        </w:rPr>
        <w:t>9.4 — Il dibattito del millenovecentottantasette.</w:t>
      </w:r>
      <w:r>
        <w:rPr>
          <w:rFonts w:ascii="Times New Roman" w:hAnsi="Times New Roman" w:cs="Times New Roman" w:eastAsia="Times New Roman"/>
          <w:b w:val="0"/>
          <w:sz w:val="24"/>
        </w:rPr>
        <w:t xml:space="preserve"> Il verbale A/42/PV.69, della seduta del sedici novembre millenovecentottantasette, registra la discussione dell'Assemblea sul rapporto del Gruppo: è la sede in cui andrebbero cercate eventuali dichiarazioni di voto italiane sull'embargo petrolifero volontario adottato quattro giorni dopo.</w:t>
      </w:r>
    </w:p>
    <w:p>
      <w:pPr>
        <w:spacing w:line="276" w:lineRule="auto" w:after="0"/>
        <w:ind w:firstLine="425"/>
        <w:jc w:val="both"/>
      </w:pPr>
      <w:r>
        <w:rPr>
          <w:rFonts w:ascii="Times New Roman" w:hAnsi="Times New Roman" w:cs="Times New Roman" w:eastAsia="Times New Roman"/>
          <w:b/>
          <w:sz w:val="24"/>
        </w:rPr>
        <w:t>9.5 — Le audizioni di Amsterdam.</w:t>
      </w:r>
      <w:r>
        <w:rPr>
          <w:rFonts w:ascii="Times New Roman" w:hAnsi="Times New Roman" w:cs="Times New Roman" w:eastAsia="Times New Roman"/>
          <w:b w:val="0"/>
          <w:sz w:val="24"/>
        </w:rPr>
        <w:t xml:space="preserve"> Il Comitato speciale contro l'apartheid organizzò nel millenovecentottanta audizioni pubbliche sull'embargo petrolifero ad Amsterdam: la città dell'ufficio di ricerca divenne la sede dell'istruttoria pubblica internazionale, a conferma della supplenza che la società civile olandese esercitò sull'organo intergovernativo.</w:t>
      </w:r>
    </w:p>
    <w:p>
      <w:pPr>
        <w:spacing w:line="276" w:lineRule="auto" w:after="0"/>
        <w:ind w:firstLine="425"/>
        <w:jc w:val="both"/>
      </w:pPr>
      <w:r>
        <w:rPr>
          <w:rFonts w:ascii="Times New Roman" w:hAnsi="Times New Roman" w:cs="Times New Roman" w:eastAsia="Times New Roman"/>
          <w:b/>
          <w:sz w:val="24"/>
        </w:rPr>
        <w:t>9.6 — Il riconoscimento onusiano dell'ufficio.</w:t>
      </w:r>
      <w:r>
        <w:rPr>
          <w:rFonts w:ascii="Times New Roman" w:hAnsi="Times New Roman" w:cs="Times New Roman" w:eastAsia="Times New Roman"/>
          <w:b w:val="0"/>
          <w:sz w:val="24"/>
        </w:rPr>
        <w:t xml:space="preserve"> L'assistente segretario generale Iqbal Akhund visitò lo Shipping Research Bureau ad Amsterdam nel millenovecentottantacinque; l'ufficio collaborò stabilmente con l'African National Congress e con gli organismi delle Nazioni Unite. </w:t>
      </w:r>
      <w:r>
        <w:rPr>
          <w:rFonts w:ascii="Times New Roman" w:hAnsi="Times New Roman" w:cs="Times New Roman" w:eastAsia="Times New Roman"/>
          <w:b/>
          <w:sz w:val="24"/>
        </w:rPr>
        <w:t>L'organo privato certificava, l'organo pubblico recepiva: il rovesciamento dell'ordine istituzionale delle fonti è il tratto costante del canale petrolifero.</w:t>
      </w:r>
    </w:p>
    <w:p>
      <w:pPr>
        <w:spacing w:line="276" w:lineRule="auto" w:after="0"/>
        <w:ind w:firstLine="425"/>
        <w:jc w:val="both"/>
      </w:pPr>
      <w:r>
        <w:rPr>
          <w:rFonts w:ascii="Times New Roman" w:hAnsi="Times New Roman" w:cs="Times New Roman" w:eastAsia="Times New Roman"/>
          <w:b/>
          <w:sz w:val="24"/>
        </w:rPr>
        <w:t>9.7 — Il primo tentativo, millenovecentosessantuno.</w:t>
      </w:r>
      <w:r>
        <w:rPr>
          <w:rFonts w:ascii="Times New Roman" w:hAnsi="Times New Roman" w:cs="Times New Roman" w:eastAsia="Times New Roman"/>
          <w:b w:val="0"/>
          <w:sz w:val="24"/>
        </w:rPr>
        <w:t xml:space="preserve"> Il tredici novembre millenovecentosessantuno il Pakistan introdusse un emendamento a una bozza di risoluzione sull'apartheid che invitava tutti gli Stati membri ad astenersi dall'esportare petrolio al Sudafrica; l'emendamento mancò la maggioranza dei due terzi. Il ricordo è dello stesso Akhund, riportato nel volume dell'ufficio: </w:t>
      </w:r>
      <w:r>
        <w:rPr>
          <w:rFonts w:ascii="Times New Roman" w:hAnsi="Times New Roman" w:cs="Times New Roman" w:eastAsia="Times New Roman"/>
          <w:b/>
          <w:sz w:val="24"/>
        </w:rPr>
        <w:t>la genealogia dell'embargo petrolifero è più antica di quella dell'embargo sulle armi, e fallì per prima.</w:t>
      </w:r>
    </w:p>
    <w:p>
      <w:pPr>
        <w:spacing w:line="276" w:lineRule="auto" w:after="0"/>
        <w:ind w:firstLine="425"/>
        <w:jc w:val="both"/>
      </w:pPr>
      <w:r>
        <w:rPr>
          <w:rFonts w:ascii="Times New Roman" w:hAnsi="Times New Roman" w:cs="Times New Roman" w:eastAsia="Times New Roman"/>
          <w:b/>
          <w:sz w:val="24"/>
        </w:rPr>
        <w:t>9.8 — La prima menzione approvata.</w:t>
      </w:r>
      <w:r>
        <w:rPr>
          <w:rFonts w:ascii="Times New Roman" w:hAnsi="Times New Roman" w:cs="Times New Roman" w:eastAsia="Times New Roman"/>
          <w:b w:val="0"/>
          <w:sz w:val="24"/>
        </w:rPr>
        <w:t xml:space="preserve"> Il tredici novembre millenovecentosessantatré — due anni esatti dopo il tentativo pachistano — una risoluzione dell'Assemblea sulla Namibia incluse un appello una tantum a sanzioni petrolifere: la prima occorrenza approvata della materia passò dunque per il perimetro namibiano, non per quello sudafricano diretto.</w:t>
      </w:r>
    </w:p>
    <w:p>
      <w:pPr>
        <w:spacing w:line="276" w:lineRule="auto" w:after="0"/>
        <w:ind w:firstLine="425"/>
        <w:jc w:val="both"/>
      </w:pPr>
      <w:r>
        <w:rPr>
          <w:rFonts w:ascii="Times New Roman" w:hAnsi="Times New Roman" w:cs="Times New Roman" w:eastAsia="Times New Roman"/>
          <w:b/>
          <w:sz w:val="24"/>
        </w:rPr>
        <w:t>9.9 — L'Italia nei rapporti del Gruppo.</w:t>
      </w:r>
      <w:r>
        <w:rPr>
          <w:rFonts w:ascii="Times New Roman" w:hAnsi="Times New Roman" w:cs="Times New Roman" w:eastAsia="Times New Roman"/>
          <w:b w:val="0"/>
          <w:sz w:val="24"/>
        </w:rPr>
        <w:t xml:space="preserve"> Nei rapporti del Gruppo intergovernativo reperiti </w:t>
      </w:r>
      <w:r>
        <w:rPr>
          <w:rFonts w:ascii="Times New Roman" w:hAnsi="Times New Roman" w:cs="Times New Roman" w:eastAsia="Times New Roman"/>
          <w:b/>
          <w:sz w:val="24"/>
        </w:rPr>
        <w:t>non è stata individuata una menzione specifica dell'Italia; la verifica sui testi integrali resta aperta</w:t>
      </w:r>
      <w:r>
        <w:rPr>
          <w:rFonts w:ascii="Times New Roman" w:hAnsi="Times New Roman" w:cs="Times New Roman" w:eastAsia="Times New Roman"/>
          <w:b w:val="0"/>
          <w:sz w:val="24"/>
        </w:rPr>
        <w:t>, e la voce è iscritta come mancato reperimento e non come esito negativo verificato.</w:t>
      </w:r>
    </w:p>
    <w:p>
      <w:pPr>
        <w:spacing w:line="276" w:lineRule="auto" w:after="0"/>
        <w:ind w:firstLine="425"/>
        <w:jc w:val="both"/>
      </w:pPr>
      <w:r>
        <w:rPr>
          <w:rFonts w:ascii="Times New Roman" w:hAnsi="Times New Roman" w:cs="Times New Roman" w:eastAsia="Times New Roman"/>
          <w:b/>
          <w:sz w:val="24"/>
        </w:rPr>
        <w:t>9.10 — La revoca.</w:t>
      </w:r>
      <w:r>
        <w:rPr>
          <w:rFonts w:ascii="Times New Roman" w:hAnsi="Times New Roman" w:cs="Times New Roman" w:eastAsia="Times New Roman"/>
          <w:b w:val="0"/>
          <w:sz w:val="24"/>
        </w:rPr>
        <w:t xml:space="preserve"> L'embargo fu revocato alla fine del millenovecentonovantatré, con la risoluzione A/48/L.31/Rev.1 dell'otto dicembre millenovecentonovantatré, a valle della decisione del Consiglio Esecutivo di Transizione sudafricano: </w:t>
      </w:r>
      <w:r>
        <w:rPr>
          <w:rFonts w:ascii="Times New Roman" w:hAnsi="Times New Roman" w:cs="Times New Roman" w:eastAsia="Times New Roman"/>
          <w:b/>
          <w:sz w:val="24"/>
        </w:rPr>
        <w:t>la revoca precedette le elezioni dell'aprile millenovecentonovantaquattro, e chiuse il regime raccomandatario prima ancora che il regime politico che lo aveva motivato cessasse formalmente.</w:t>
      </w:r>
    </w:p>
    <w:p>
      <w:pPr>
        <w:spacing w:line="276" w:lineRule="auto" w:after="0"/>
        <w:ind w:firstLine="0"/>
        <w:jc w:val="both"/>
      </w:pPr>
      <w:r>
        <w:rPr>
          <w:rFonts w:ascii="Times New Roman" w:hAnsi="Times New Roman" w:cs="Times New Roman" w:eastAsia="Times New Roman"/>
          <w:b/>
          <w:sz w:val="24"/>
        </w:rPr>
        <w:t>Capitolo decimo — L'apparato italiano: la smentita, le competenze, la tavola</w:t>
      </w:r>
    </w:p>
    <w:p>
      <w:pPr>
        <w:spacing w:line="276" w:lineRule="auto" w:after="0"/>
        <w:ind w:firstLine="425"/>
        <w:jc w:val="both"/>
      </w:pPr>
      <w:r>
        <w:rPr>
          <w:rFonts w:ascii="Times New Roman" w:hAnsi="Times New Roman" w:cs="Times New Roman" w:eastAsia="Times New Roman"/>
          <w:b/>
          <w:sz w:val="24"/>
        </w:rPr>
        <w:t>10.1 — La smentita dell'esito negativo, enunciata subito.</w:t>
      </w:r>
      <w:r>
        <w:rPr>
          <w:rFonts w:ascii="Times New Roman" w:hAnsi="Times New Roman" w:cs="Times New Roman" w:eastAsia="Times New Roman"/>
          <w:b w:val="0"/>
          <w:sz w:val="24"/>
        </w:rPr>
        <w:t xml:space="preserve"> La Triangolazione Atlantica Australe aveva dichiarato, al blocco cinquemilasettecentosedici, di non avere reperito nelle fonti italiane accessibili alcuna menzione di Marino Chiavelli. </w:t>
      </w:r>
      <w:r>
        <w:rPr>
          <w:rFonts w:ascii="Times New Roman" w:hAnsi="Times New Roman" w:cs="Times New Roman" w:eastAsia="Times New Roman"/>
          <w:b/>
          <w:sz w:val="24"/>
        </w:rPr>
        <w:t>La presente ricerca smentisce quell'esito: l'Unità del nove gennaio millenovecentonovantatré pubblicò l'obituario È morto Chiavelli il quinto uomo più ricco del mondo, e la menzione italiana esiste.</w:t>
      </w:r>
      <w:r>
        <w:rPr>
          <w:rFonts w:ascii="Times New Roman" w:hAnsi="Times New Roman" w:cs="Times New Roman" w:eastAsia="Times New Roman"/>
          <w:b w:val="0"/>
          <w:sz w:val="24"/>
        </w:rPr>
        <w:t xml:space="preserve"> È la seconda smentita di un esito negativo che la serie registri a proprio carico, e si iscrive come correzione formale al corpus.</w:t>
      </w:r>
    </w:p>
    <w:p>
      <w:pPr>
        <w:spacing w:line="276" w:lineRule="auto" w:after="0"/>
        <w:ind w:firstLine="425"/>
        <w:jc w:val="both"/>
      </w:pPr>
      <w:r>
        <w:rPr>
          <w:rFonts w:ascii="Times New Roman" w:hAnsi="Times New Roman" w:cs="Times New Roman" w:eastAsia="Times New Roman"/>
          <w:b/>
          <w:sz w:val="24"/>
        </w:rPr>
        <w:t>10.2 — Il contenuto delle fonti italiane.</w:t>
      </w:r>
      <w:r>
        <w:rPr>
          <w:rFonts w:ascii="Times New Roman" w:hAnsi="Times New Roman" w:cs="Times New Roman" w:eastAsia="Times New Roman"/>
          <w:b w:val="0"/>
          <w:sz w:val="24"/>
        </w:rPr>
        <w:t xml:space="preserve"> L'obituario, a firma Giuseppe Vittori, conferma la nascita mantovana, la residenza sudafricana dal millenovecentosettantasei, l'ascesa iniziata in Ghana, l'impero oltre tremila miliardi di lire e la morte per leucemia; la Gazzetta di Mantova del diciannove novembre duemilatredici aggiunge il dettaglio anagrafico di Magnacavallo e Villa Poma; la rivista dei sommelier marchigiani reca la data di morte errata. </w:t>
      </w:r>
      <w:r>
        <w:rPr>
          <w:rFonts w:ascii="Times New Roman" w:hAnsi="Times New Roman" w:cs="Times New Roman" w:eastAsia="Times New Roman"/>
          <w:b/>
          <w:sz w:val="24"/>
        </w:rPr>
        <w:t>Tre menzioni, tutte biografico-patrimoniali: nessuna tocca il contratto Lucina né il canale petrolifero.</w:t>
      </w:r>
    </w:p>
    <w:p>
      <w:pPr>
        <w:spacing w:line="276" w:lineRule="auto" w:after="0"/>
        <w:ind w:firstLine="425"/>
        <w:jc w:val="both"/>
      </w:pPr>
      <w:r>
        <w:rPr>
          <w:rFonts w:ascii="Times New Roman" w:hAnsi="Times New Roman" w:cs="Times New Roman" w:eastAsia="Times New Roman"/>
          <w:b/>
          <w:sz w:val="24"/>
        </w:rPr>
        <w:t>10.3 — La qualificazione precisa della smentita.</w:t>
      </w:r>
      <w:r>
        <w:rPr>
          <w:rFonts w:ascii="Times New Roman" w:hAnsi="Times New Roman" w:cs="Times New Roman" w:eastAsia="Times New Roman"/>
          <w:b w:val="0"/>
          <w:sz w:val="24"/>
        </w:rPr>
        <w:t xml:space="preserve"> Essa investe la stampa e non gli atti: </w:t>
      </w:r>
      <w:r>
        <w:rPr>
          <w:rFonts w:ascii="Times New Roman" w:hAnsi="Times New Roman" w:cs="Times New Roman" w:eastAsia="Times New Roman"/>
          <w:b/>
          <w:sz w:val="24"/>
        </w:rPr>
        <w:t>il blocco cinquemilasettecentosedici va emendato da nessuna menzione in fonti italiane a nessun atto parlamentare né procedimento giudiziario reperito; menzioni di stampa esistenti, prive del versante petrolifero.</w:t>
      </w:r>
      <w:r>
        <w:rPr>
          <w:rFonts w:ascii="Times New Roman" w:hAnsi="Times New Roman" w:cs="Times New Roman" w:eastAsia="Times New Roman"/>
          <w:b w:val="0"/>
          <w:sz w:val="24"/>
        </w:rPr>
        <w:t xml:space="preserve"> La stampa italiana registrò il ricco emigrato e ignorò il barone dell'embargo: l'effetto lampione del corpus, in forma giornalistica.</w:t>
      </w:r>
    </w:p>
    <w:p>
      <w:pPr>
        <w:spacing w:line="276" w:lineRule="auto" w:after="0"/>
        <w:ind w:firstLine="425"/>
        <w:jc w:val="both"/>
      </w:pPr>
      <w:r>
        <w:rPr>
          <w:rFonts w:ascii="Times New Roman" w:hAnsi="Times New Roman" w:cs="Times New Roman" w:eastAsia="Times New Roman"/>
          <w:b/>
          <w:sz w:val="24"/>
        </w:rPr>
        <w:t>10.4 — Gli atti parlamentari.</w:t>
      </w:r>
      <w:r>
        <w:rPr>
          <w:rFonts w:ascii="Times New Roman" w:hAnsi="Times New Roman" w:cs="Times New Roman" w:eastAsia="Times New Roman"/>
          <w:b w:val="0"/>
          <w:sz w:val="24"/>
        </w:rPr>
        <w:t xml:space="preserve"> Non è stata individuata alcuna menzione di Chiavelli o del contratto Lucina negli atti di Camera e Senato; </w:t>
      </w:r>
      <w:r>
        <w:rPr>
          <w:rFonts w:ascii="Times New Roman" w:hAnsi="Times New Roman" w:cs="Times New Roman" w:eastAsia="Times New Roman"/>
          <w:b/>
          <w:sz w:val="24"/>
        </w:rPr>
        <w:t>la banca dati del Sindacato Ispettivo è interrogabile per parola chiave soltanto dalla quattordicesima legislatura, sicché per il periodo millenovecentosettantanove-millenovecentonovantatré l'esito negativo non è meccanicamente verificabile e richiede spoglio manuale.</w:t>
      </w:r>
      <w:r>
        <w:rPr>
          <w:rFonts w:ascii="Times New Roman" w:hAnsi="Times New Roman" w:cs="Times New Roman" w:eastAsia="Times New Roman"/>
          <w:b w:val="0"/>
          <w:sz w:val="24"/>
        </w:rPr>
        <w:t xml:space="preserve"> Mancato reperimento, non insieme vuoto verificato.</w:t>
      </w:r>
    </w:p>
    <w:p>
      <w:pPr>
        <w:spacing w:line="276" w:lineRule="auto" w:after="0"/>
        <w:ind w:firstLine="425"/>
        <w:jc w:val="both"/>
      </w:pPr>
      <w:r>
        <w:rPr>
          <w:rFonts w:ascii="Times New Roman" w:hAnsi="Times New Roman" w:cs="Times New Roman" w:eastAsia="Times New Roman"/>
          <w:b/>
          <w:sz w:val="24"/>
        </w:rPr>
        <w:t>10.5 — I procedimenti giudiziari.</w:t>
      </w:r>
      <w:r>
        <w:rPr>
          <w:rFonts w:ascii="Times New Roman" w:hAnsi="Times New Roman" w:cs="Times New Roman" w:eastAsia="Times New Roman"/>
          <w:b w:val="0"/>
          <w:sz w:val="24"/>
        </w:rPr>
        <w:t xml:space="preserve"> Non risultano sentenze o procedimenti italiani a carico di Chiavelli; l'Unità accenna a difficoltà finanziarie dopo la guerra del Golfo senza riferimento ad alcun procedimento penale. Mancato reperimento.</w:t>
      </w:r>
    </w:p>
    <w:p>
      <w:pPr>
        <w:spacing w:line="276" w:lineRule="auto" w:after="0"/>
        <w:ind w:firstLine="425"/>
        <w:jc w:val="both"/>
      </w:pPr>
      <w:r>
        <w:rPr>
          <w:rFonts w:ascii="Times New Roman" w:hAnsi="Times New Roman" w:cs="Times New Roman" w:eastAsia="Times New Roman"/>
          <w:b/>
          <w:sz w:val="24"/>
        </w:rPr>
        <w:t>10.6 — La grande stampa nazionale.</w:t>
      </w:r>
      <w:r>
        <w:rPr>
          <w:rFonts w:ascii="Times New Roman" w:hAnsi="Times New Roman" w:cs="Times New Roman" w:eastAsia="Times New Roman"/>
          <w:b w:val="0"/>
          <w:sz w:val="24"/>
        </w:rPr>
        <w:t xml:space="preserve"> Non sono state reperite menzioni nel Corriere della Sera, nella Repubblica e nella Stampa; </w:t>
      </w:r>
      <w:r>
        <w:rPr>
          <w:rFonts w:ascii="Times New Roman" w:hAnsi="Times New Roman" w:cs="Times New Roman" w:eastAsia="Times New Roman"/>
          <w:b/>
          <w:sz w:val="24"/>
        </w:rPr>
        <w:t>i loro archivi storici degli anni Ottanta e Novanta sono in larga parte a pagamento e non indicizzati liberamente: barriera di accesso, e l'assenza vale non reperito, non inesistente.</w:t>
      </w:r>
    </w:p>
    <w:p>
      <w:pPr>
        <w:spacing w:line="276" w:lineRule="auto" w:after="0"/>
        <w:ind w:firstLine="425"/>
        <w:jc w:val="both"/>
      </w:pPr>
      <w:r>
        <w:rPr>
          <w:rFonts w:ascii="Times New Roman" w:hAnsi="Times New Roman" w:cs="Times New Roman" w:eastAsia="Times New Roman"/>
          <w:b/>
          <w:sz w:val="24"/>
        </w:rPr>
        <w:t>10.7 — La competenza fiscale.</w:t>
      </w:r>
      <w:r>
        <w:rPr>
          <w:rFonts w:ascii="Times New Roman" w:hAnsi="Times New Roman" w:cs="Times New Roman" w:eastAsia="Times New Roman"/>
          <w:b w:val="0"/>
          <w:sz w:val="24"/>
        </w:rPr>
        <w:t xml:space="preserve"> La giurisdizione sui redditi esteri di un cittadino italiano spettava al Ministero delle Finanze secondo il principio della tassazione mondiale del residente, dal decreto del Presidente della Repubblica 597 del millenovecentosettantatré al testo unico 917 del millenovecentottantasei: il residente fiscale è tassato sul reddito ovunque prodotto, il non residente solo su quello di fonte italiana. </w:t>
      </w:r>
      <w:r>
        <w:rPr>
          <w:rFonts w:ascii="Times New Roman" w:hAnsi="Times New Roman" w:cs="Times New Roman" w:eastAsia="Times New Roman"/>
          <w:b/>
          <w:sz w:val="24"/>
        </w:rPr>
        <w:t>La dichiarazione di residenza permanente sudafricana attestata dal punto 4.6 aveva dunque l'effetto di sottrarre le provvigioni del contratto al fisco italiano: questo, e non altro, è il significato della formula informò gli italiani.</w:t>
      </w:r>
    </w:p>
    <w:p>
      <w:pPr>
        <w:spacing w:line="276" w:lineRule="auto" w:after="0"/>
        <w:ind w:firstLine="425"/>
        <w:jc w:val="both"/>
      </w:pPr>
      <w:r>
        <w:rPr>
          <w:rFonts w:ascii="Times New Roman" w:hAnsi="Times New Roman" w:cs="Times New Roman" w:eastAsia="Times New Roman"/>
          <w:b/>
          <w:sz w:val="24"/>
        </w:rPr>
        <w:t>10.8 — La posizione consolare.</w:t>
      </w:r>
      <w:r>
        <w:rPr>
          <w:rFonts w:ascii="Times New Roman" w:hAnsi="Times New Roman" w:cs="Times New Roman" w:eastAsia="Times New Roman"/>
          <w:b w:val="0"/>
          <w:sz w:val="24"/>
        </w:rPr>
        <w:t xml:space="preserve"> L'Anagrafe degli Italiani Residenti all'Estero fu istituita soltanto con la legge 470 del ventisette ottobre millenovecentottantotto: </w:t>
      </w:r>
      <w:r>
        <w:rPr>
          <w:rFonts w:ascii="Times New Roman" w:hAnsi="Times New Roman" w:cs="Times New Roman" w:eastAsia="Times New Roman"/>
          <w:b/>
          <w:sz w:val="24"/>
        </w:rPr>
        <w:t>durante gli anni del contratto Lucina essa non esisteva</w:t>
      </w:r>
      <w:r>
        <w:rPr>
          <w:rFonts w:ascii="Times New Roman" w:hAnsi="Times New Roman" w:cs="Times New Roman" w:eastAsia="Times New Roman"/>
          <w:b w:val="0"/>
          <w:sz w:val="24"/>
        </w:rPr>
        <w:t>, e la posizione dell'italiano all'estero correva sullo schedario consolare — per Chiavelli, il Consolato di Johannesburg — e sulla cancellazione anagrafica presso il comune di origine ai sensi della legge 1228 del millenovecentocinquantaquattro. Il quarto apparato competente identificato dalla Triangolazione Atlantica ne esce precisato nei suoi due rami, tributario e consolare, con le rispettive basi normative.</w:t>
      </w:r>
    </w:p>
    <w:p>
      <w:pPr>
        <w:spacing w:line="276" w:lineRule="auto" w:after="0"/>
        <w:ind w:firstLine="425"/>
        <w:jc w:val="both"/>
      </w:pPr>
      <w:r>
        <w:rPr>
          <w:rFonts w:ascii="Times New Roman" w:hAnsi="Times New Roman" w:cs="Times New Roman" w:eastAsia="Times New Roman"/>
          <w:b/>
          <w:sz w:val="24"/>
        </w:rPr>
        <w:t>10.9 — Gli obblighi valutari.</w:t>
      </w:r>
      <w:r>
        <w:rPr>
          <w:rFonts w:ascii="Times New Roman" w:hAnsi="Times New Roman" w:cs="Times New Roman" w:eastAsia="Times New Roman"/>
          <w:b w:val="0"/>
          <w:sz w:val="24"/>
        </w:rPr>
        <w:t xml:space="preserve"> Nel periodo vigevano stringenti controlli valutari amministrati dall'Ufficio Italiano dei Cambi presso la Banca d'Italia e, per gli scambi, dal Ministero del Commercio con l'Estero; la circostanza che il reddito non fosse mai portato né in Sudafrica né in Italia si inquadra nell'elusione tanto fiscale quanto valutaria. </w:t>
      </w:r>
      <w:r>
        <w:rPr>
          <w:rFonts w:ascii="Times New Roman" w:hAnsi="Times New Roman" w:cs="Times New Roman" w:eastAsia="Times New Roman"/>
          <w:b/>
          <w:sz w:val="24"/>
        </w:rPr>
        <w:t>Inferenza contestuale, dichiarata come tale: nessun procedimento la attesta.</w:t>
      </w:r>
      <w:r>
        <w:rPr>
          <w:rFonts w:ascii="Times New Roman" w:hAnsi="Times New Roman" w:cs="Times New Roman" w:eastAsia="Times New Roman"/>
          <w:b w:val="0"/>
          <w:sz w:val="24"/>
        </w:rPr>
        <w:t xml:space="preserve"> Il quarto apparato si articola dunque in tre rami — tributario, consolare, valutario — e nessuno dei tre ha lasciato, nelle fonti accessibili, un atto reperito.</w:t>
      </w:r>
    </w:p>
    <w:p>
      <w:pPr>
        <w:spacing w:line="276" w:lineRule="auto" w:after="0"/>
        <w:ind w:firstLine="425"/>
        <w:jc w:val="both"/>
      </w:pPr>
      <w:r>
        <w:rPr>
          <w:rFonts w:ascii="Times New Roman" w:hAnsi="Times New Roman" w:cs="Times New Roman" w:eastAsia="Times New Roman"/>
          <w:b/>
          <w:sz w:val="24"/>
        </w:rPr>
        <w:t>10.10 — La tavola delle acquisizioni non conseguite, per rendimento atteso.</w:t>
      </w:r>
      <w:r>
        <w:rPr>
          <w:rFonts w:ascii="Times New Roman" w:hAnsi="Times New Roman" w:cs="Times New Roman" w:eastAsia="Times New Roman"/>
          <w:b w:val="0"/>
          <w:sz w:val="24"/>
        </w:rPr>
        <w:t xml:space="preserve"> Voce prima: il voto italiano sulla risoluzione 2775 (XXVI) del millenovecentosettantuno; sede i verbali A/PV presso la Dag Hammarskjöld Library; condizione il recupero del verbale della seduta plenaria del ventinove novembre; rendimento alto. Voce seconda: il verbale S/AC.20/SR.25 del millenovecentottanta; sede gli archivi del Consiglio di Sicurezza, serie ristretta; condizione la declassificazione o la consultazione in sede; rendimento alto. Voce terza: le menzioni nella grande stampa italiana; sede gli archivi storici a pagamento delle tre testate; condizione l'accesso agli archivi digitalizzati millenovecentosettantanove-millenovecentonovantatré; rendimento medio-alto. Voce quarta: gli atti parlamentari del periodo; sede gli archivi storici di Camera e Senato; condizione lo spoglio manuale del Sindacato Ispettivo anteriore alla quattordicesima legislatura; rendimento medio. Voce quinta: il fascicolo consolare di Johannesburg e i registri anagrafici di Villa Poma e Magnacavallo; condizione l'accesso amministrativo con legittimazione; rendimento medio, con scioglimento della divergenza natale. Voce sesta: il rapporto integrale dell'Advocate-General del millenovecentottantaquattro; sede gli archivi parlamentari sudafricani; condizione il reperimento delle parti non secretate; rendimento medio, con possibile elevazione di grado del nodo. </w:t>
      </w:r>
      <w:r>
        <w:rPr>
          <w:rFonts w:ascii="Times New Roman" w:hAnsi="Times New Roman" w:cs="Times New Roman" w:eastAsia="Times New Roman"/>
          <w:b/>
          <w:sz w:val="24"/>
        </w:rPr>
        <w:t>A esse si aggiungono, quali condizioni di scioglimento della divergenza capitale del punto 7.4, la monografia su Deuss e il rapporto Secret Oil Deliveries 1981-1982.</w:t>
      </w:r>
    </w:p>
    <w:p>
      <w:pPr>
        <w:spacing w:line="276" w:lineRule="auto" w:after="0"/>
        <w:ind w:firstLine="425"/>
        <w:jc w:val="both"/>
      </w:pPr>
      <w:r>
        <w:rPr>
          <w:rFonts w:ascii="Times New Roman" w:hAnsi="Times New Roman" w:cs="Times New Roman" w:eastAsia="Times New Roman"/>
          <w:b/>
          <w:sz w:val="24"/>
        </w:rPr>
        <w:t>Sintesi del dato nuovo acquisito.</w:t>
      </w:r>
      <w:r>
        <w:rPr>
          <w:rFonts w:ascii="Times New Roman" w:hAnsi="Times New Roman" w:cs="Times New Roman" w:eastAsia="Times New Roman"/>
          <w:b w:val="0"/>
          <w:sz w:val="24"/>
        </w:rPr>
        <w:t xml:space="preserve"> Il presente registro consolida in cento sottocapitoli il canale petrolifero dell'embargo al Sudafrica: la dipendenza strutturale e il suo costo ammesso dal vertice del regime; l'asimmetria giuridica fra l'embargo obbligatorio sulle armi e quello mai reso vincolante sul petrolio; la contabilità privata dello Shipping Research Bureau quale sola fonte sistematica, con la sua matrice ecclesiale e la sua natura di parte; il nodo Chiavelli in forma integrale, con la natura fiscale della formula sugli italiani, il grado di fonte unica e le due divergenze anagrafiche; il caso Salem quale campione giudiziario delle tecniche, privo di nesso documentato con il nodo; il vertice Rich con la riemersione congressuale del duemilauno; la rete degli intermediari con la divergenza capitale sull'attribuzione del contratto Lucina; le inchieste sudafricane dall'Advocate-General alla Commissione per la verità, con la co-menzione disciplinata del dominio primo; il versante onusiano con la barriera confermata sul verbale Minty; e, sopra ogni cosa, </w:t>
      </w:r>
      <w:r>
        <w:rPr>
          <w:rFonts w:ascii="Times New Roman" w:hAnsi="Times New Roman" w:cs="Times New Roman" w:eastAsia="Times New Roman"/>
          <w:b/>
          <w:sz w:val="24"/>
        </w:rPr>
        <w:t>la smentita dell'esito negativo italiano del blocco cinquemilasettecentosedici, con la sua qualificazione esatta: la stampa italiana menzionò l'uomo e tacque il canale.</w:t>
      </w:r>
      <w:r>
        <w:rPr>
          <w:rFonts w:ascii="Times New Roman" w:hAnsi="Times New Roman" w:cs="Times New Roman" w:eastAsia="Times New Roman"/>
          <w:b w:val="0"/>
          <w:sz w:val="24"/>
        </w:rPr>
        <w:t xml:space="preserve"> Restano aperte le sei voci della tavola e la divergenza Lucina, che è ora la pendenza analitica di massimo rendimento dell'intero perimetro australe.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canale petrolifero verso Pretoria - dieci Capitoli in cento Sottocapitoli</dc:title>
  <dc:subject>Il nodo Chiavelli, la divergenza Lucina, la smentita dell'esito negativo italiano</dc:subject>
  <dc:creator>Luigi De Michele</dc:creator>
  <cp:keywords/>
  <dc:description>generated by python-docx</dc:description>
  <cp:lastModifiedBy/>
  <cp:revision>1</cp:revision>
  <dcterms:created xsi:type="dcterms:W3CDTF">2013-12-23T23:15:00Z</dcterms:created>
  <dcterms:modified xsi:type="dcterms:W3CDTF">2013-12-23T23:15:00Z</dcterms:modified>
  <cp:category/>
</cp:coreProperties>
</file>