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cs="Times New Roman" w:eastAsia="Times New Roman"/>
          <w:b/>
          <w:sz w:val="36"/>
        </w:rPr>
        <w:t>ITALIA NERA</w:t>
      </w:r>
    </w:p>
    <w:p>
      <w:pPr>
        <w:spacing w:line="276" w:lineRule="auto"/>
        <w:jc w:val="center"/>
      </w:pPr>
      <w:r>
        <w:rPr>
          <w:rFonts w:ascii="Times New Roman" w:hAnsi="Times New Roman" w:cs="Times New Roman" w:eastAsia="Times New Roman"/>
          <w:b/>
          <w:sz w:val="32"/>
        </w:rPr>
        <w:t>IL SACRO E L'EVERSIONE</w:t>
      </w:r>
    </w:p>
    <w:p>
      <w:pPr>
        <w:spacing w:line="276" w:lineRule="auto"/>
        <w:jc w:val="center"/>
      </w:pPr>
      <w:r>
        <w:rPr>
          <w:rFonts w:ascii="Times New Roman" w:hAnsi="Times New Roman" w:cs="Times New Roman" w:eastAsia="Times New Roman"/>
          <w:b/>
          <w:sz w:val="26"/>
        </w:rPr>
        <w:t>Esoterismo, religione e metafisica nella storia nera della Repubblica</w:t>
      </w:r>
    </w:p>
    <w:p>
      <w:pPr>
        <w:spacing w:line="276" w:lineRule="auto"/>
        <w:jc w:val="center"/>
      </w:pPr>
      <w:r>
        <w:rPr>
          <w:rFonts w:ascii="Times New Roman" w:hAnsi="Times New Roman" w:cs="Times New Roman" w:eastAsia="Times New Roman"/>
          <w:b/>
          <w:sz w:val="24"/>
        </w:rPr>
        <w:t>Triangolazione: Evola e il tradizionalismo, Terza Posizione, il registro del satanismo, il fattore Vaticano e il caso Moro</w:t>
      </w:r>
    </w:p>
    <w:p>
      <w:pPr>
        <w:spacing w:line="276" w:lineRule="auto"/>
        <w:jc w:val="both"/>
      </w:pPr>
    </w:p>
    <w:p>
      <w:pPr>
        <w:spacing w:line="276" w:lineRule="auto"/>
        <w:jc w:val="center"/>
      </w:pPr>
      <w:r>
        <w:rPr>
          <w:rFonts w:ascii="Times New Roman" w:hAnsi="Times New Roman" w:cs="Times New Roman" w:eastAsia="Times New Roman"/>
          <w:b/>
          <w:sz w:val="22"/>
        </w:rPr>
        <w:t>Monografia autonoma della serie — Edizione prima, ventuno agosto duemilaventisei</w:t>
      </w:r>
    </w:p>
    <w:p>
      <w:pPr>
        <w:spacing w:line="276" w:lineRule="auto"/>
        <w:jc w:val="both"/>
      </w:pPr>
    </w:p>
    <w:p>
      <w:pPr>
        <w:spacing w:line="276" w:lineRule="auto"/>
        <w:jc w:val="left"/>
      </w:pPr>
      <w:r>
        <w:rPr>
          <w:rFonts w:ascii="Times New Roman" w:hAnsi="Times New Roman" w:cs="Times New Roman" w:eastAsia="Times New Roman"/>
          <w:b/>
          <w:sz w:val="24"/>
        </w:rPr>
        <w:t>NOTA DI COMPOSIZIONE E AVVERTENZA</w:t>
      </w:r>
    </w:p>
    <w:p>
      <w:pPr>
        <w:spacing w:line="276" w:lineRule="auto"/>
        <w:ind w:firstLine="425"/>
        <w:jc w:val="both"/>
      </w:pPr>
      <w:r>
        <w:rPr>
          <w:rFonts w:ascii="Times New Roman" w:hAnsi="Times New Roman" w:cs="Times New Roman" w:eastAsia="Times New Roman"/>
          <w:b w:val="0"/>
          <w:sz w:val="24"/>
        </w:rPr>
        <w:t>La presente monografia risponde alla richiesta del committente di attingere all'intero corpus documentale disponibile — il censimento integrato, la monografia su Aginter Press, il corpus sul caso Moro, i registri del progetto e i dossier sul versante religioso e metafisico — e di triangolare la materia del sacro, dell'esoterico e dello spirituale con il caso Moro, con il fattore Vaticano e con i filoni dell'eversione nera, con blocchi mirati su Terza Posizione, sul satanismo e su Julius Evola. Il documento è una prima edizione di lavoro: la base documentale del progetto è in parte non verificata, e ogni asserzione qui riportata vale nei limiti del grado probatorio dichiarato. Per ogni persona nominata vale la presunzione d'innocenza; per le persone viventi vale la disciplina rafforzata esposta nella nota che segue e richiamata nei capitoli pertinenti. Nessuna fonte vietata dal protocollo del progetto è stata impiegata.</w:t>
      </w:r>
    </w:p>
    <w:p>
      <w:pPr>
        <w:spacing w:line="276" w:lineRule="auto"/>
        <w:jc w:val="left"/>
      </w:pPr>
      <w:r>
        <w:rPr>
          <w:rFonts w:ascii="Times New Roman" w:hAnsi="Times New Roman" w:cs="Times New Roman" w:eastAsia="Times New Roman"/>
          <w:b/>
          <w:sz w:val="24"/>
        </w:rPr>
        <w:t>NOTA SUL METODO — IL PRESIDIO ANTI-CABALISTICO</w:t>
      </w:r>
    </w:p>
    <w:p>
      <w:pPr>
        <w:spacing w:line="276" w:lineRule="auto"/>
        <w:ind w:firstLine="425"/>
        <w:jc w:val="both"/>
      </w:pPr>
      <w:r>
        <w:rPr>
          <w:rFonts w:ascii="Times New Roman" w:hAnsi="Times New Roman" w:cs="Times New Roman" w:eastAsia="Times New Roman"/>
          <w:b w:val="0"/>
          <w:sz w:val="24"/>
        </w:rPr>
        <w:t xml:space="preserve">Il campo che questa monografia attraversa è il più esposto di tutti al vizio che la Nota Metodologica del progetto chiama il Pollo di Popper. La materia esoterica esercita una seduzione strutturale sull'analista: la cabala occulta — l'idea di una regia unica, segreta e metafisica dietro la storia — è la forma paradigmatica del bias di conferma, perché per costruzione ogni dato può esserle ricondotto e nessun dato può falsificarla. Il presidio adottato è triplice. Primo: l'esoterico è qui oggetto di studio, mai chiave esplicativa; si documenta chi credeva, che cosa, con quali effetti politici e criminali, senza mai assumere che la credenza fosse vera né che spieghi da sola gli eventi. Secondo: ogni nodo porta il proprio grado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la convergenza di almeno tre fonti indipendenti ed eterogenee,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due fonti o una singola fonte di alta affidabilità,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l'ipotesi da verificare — e il proprio falsificatore, ossia l'indicazione di che cosa, se trovato, lo smentirebbe. Terzo: le assenze documentate sono registrate come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risultato di pari dignità rispetto alle presenze; e sulle ipotesi interpretative si applica l'analisi delle ipotesi concorrenti di Heuer, valutando non quale ipotesi accumuli più conferme ma quale sia meno contraddetta. Vige inoltre il filtro omonimico, che in questa materia ha un'applicazione immediata e obbligatoria, esposta nel capitolo sul satanismo.</w:t>
      </w:r>
    </w:p>
    <w:p>
      <w:pPr>
        <w:spacing w:line="276" w:lineRule="auto"/>
        <w:jc w:val="both"/>
      </w:pPr>
    </w:p>
    <w:p>
      <w:pPr>
        <w:spacing w:line="276" w:lineRule="auto"/>
        <w:jc w:val="left"/>
      </w:pPr>
      <w:r>
        <w:rPr>
          <w:rFonts w:ascii="Times New Roman" w:hAnsi="Times New Roman" w:cs="Times New Roman" w:eastAsia="Times New Roman"/>
          <w:b/>
          <w:sz w:val="28"/>
        </w:rPr>
        <w:t>FASE PRIMA — IMPIANTO: I TRE REGISTRI DEL SACRO</w:t>
      </w:r>
    </w:p>
    <w:p>
      <w:pPr>
        <w:spacing w:line="276" w:lineRule="auto"/>
        <w:ind w:firstLine="425"/>
        <w:jc w:val="both"/>
      </w:pPr>
      <w:r>
        <w:rPr>
          <w:rFonts w:ascii="Times New Roman" w:hAnsi="Times New Roman" w:cs="Times New Roman" w:eastAsia="Times New Roman"/>
          <w:b w:val="0"/>
          <w:sz w:val="24"/>
        </w:rPr>
        <w:t>Il sacro attraversa la storia nera della Repubblica su tre registri distinti, che l'opera tiene rigorosamente separati perché rispondono a logiche probatorie diverse. Il primo registro è quello della religione istituzionale: la Santa Sede come attore storico documentato, con la sua diplomazia, le sue finanze, la sua mediazione nelle crisi — e, nel caso Moro, con un intervento diretto del pontefice che gli atti della Commissione parlamentare hanno ricostruito nei dettagli. Il secondo registro è quello dell'esoterismo politico: la corrente tradizionalista che da Julius Evola scende, per vie documentate dalla storiografia e dagli atti giudiziari, dentro l'eversione nera — il Centro Studi Ordine Nuovo, il Gruppo di Ar, la mistica legionaria di Terza Posizione. Il terzo registro è quello del leggendario e del panico morale: il satanismo come fenomeno criminale documentato in casi circoscritti e, insieme, come macchina accusatoria capace di produrre falsi colpevoli — un doppio volto che impone la regola di ammissione più severa dell'intera opera.</w:t>
      </w:r>
    </w:p>
    <w:p>
      <w:pPr>
        <w:spacing w:line="276" w:lineRule="auto"/>
        <w:ind w:firstLine="425"/>
        <w:jc w:val="both"/>
      </w:pPr>
      <w:r>
        <w:rPr>
          <w:rFonts w:ascii="Times New Roman" w:hAnsi="Times New Roman" w:cs="Times New Roman" w:eastAsia="Times New Roman"/>
          <w:b w:val="0"/>
          <w:sz w:val="24"/>
        </w:rPr>
        <w:t>La Nota Metodologica del progetto colloca la coppia Religione per Terrorismo tra le coppie inter-dominio meno dense ma potenzialmente più rivelatrici proprio per la loro rarità. Questa monografia ne è la verifica sul campo: i punti in cui il sacro tocca l'eversione sono pochi, ma ciascuno di essi — l'asse cattolico-integralista di Aginter, la lettera di Paolo VI ai sequestratori di Moro, la provvista per il riscatto, la seduta di Zappolino — è un nodo ad alta densità informativa, dove convergono domini che di norma non comunicano.</w:t>
      </w:r>
    </w:p>
    <w:p>
      <w:pPr>
        <w:spacing w:line="276" w:lineRule="auto"/>
        <w:jc w:val="left"/>
      </w:pPr>
      <w:r>
        <w:rPr>
          <w:rFonts w:ascii="Times New Roman" w:hAnsi="Times New Roman" w:cs="Times New Roman" w:eastAsia="Times New Roman"/>
          <w:b/>
          <w:sz w:val="28"/>
        </w:rPr>
        <w:t>FASE SECONDA — IL POLO TRADIZIONALISTA: EVOLA, ORDINE NUOVO, IL GRUPPO DI AR</w:t>
      </w:r>
    </w:p>
    <w:p>
      <w:pPr>
        <w:spacing w:line="276" w:lineRule="auto"/>
        <w:ind w:firstLine="425"/>
        <w:jc w:val="both"/>
      </w:pPr>
      <w:r>
        <w:rPr>
          <w:rFonts w:ascii="Times New Roman" w:hAnsi="Times New Roman" w:cs="Times New Roman" w:eastAsia="Times New Roman"/>
          <w:b w:val="0"/>
          <w:sz w:val="24"/>
        </w:rPr>
        <w:t xml:space="preserve">Giulio Cesare Andrea Evola, detto Julius, nasce a Roma il diciannove maggio milleottocentonovantotto e vi muore l'undici giugno millenovecentosettantaquattro. Filosofo, pittore ed esoterista, teorico del tradizionalismo, non fu mai iscritto al Partito Nazionale Fascista né, nel dopoguerra, al Movimento Sociale Italiano: le biografie convergenti e gli atti del processo del millenovecentocinquantuno lo attestano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sua posizione rispetto al fascismo fu quella di chi intendeva rettificarlo in senso spirituale e aristocratico, in nome di valori che non erano quelli originari del regime; e proprio questa collocazione — al di sopra e di lato rispetto alla politica militante — è la chiave del paradosso che la storiografia ha consegnato: personalmente estraneo all'attivismo, Evola ne divenne il breviario.</w:t>
      </w:r>
    </w:p>
    <w:p>
      <w:pPr>
        <w:spacing w:line="276" w:lineRule="auto"/>
        <w:ind w:firstLine="425"/>
        <w:jc w:val="both"/>
      </w:pPr>
      <w:r>
        <w:rPr>
          <w:rFonts w:ascii="Times New Roman" w:hAnsi="Times New Roman" w:cs="Times New Roman" w:eastAsia="Times New Roman"/>
          <w:b w:val="0"/>
          <w:sz w:val="24"/>
        </w:rPr>
        <w:t xml:space="preserve">Il paradosso ha una data giudiziaria. Nel millenovecentocinquantuno Evola viene arrestato con l'accusa di apologia del fascismo e di essere l'ispiratore dei Fasci di Azione Rivoluzionaria; il processo ai FAR si conclude il venti novembre millenovecentocinquantuno con l'assoluzione con formula piena, difensore Francesco Carnelutti. Dagli atti risultò che Evola aveva più volte invitato i giovani a desistere da ogni forma di attivismo politico e a respingere qualsiasi pratica violenta. Il dato regge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 atti processuali, autobiografia, storiografia — e il suo falsificatore sarebbe un documento d'archivio che attestasse un'istigazione diretta: allo stato non risulta, e l'assenza è essa stessa un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xml:space="preserve"> da tenere fermo contro le ricostruzioni che fanno di Evola il mandante intellettuale in senso penale dello stragismo.</w:t>
      </w:r>
    </w:p>
    <w:p>
      <w:pPr>
        <w:spacing w:line="276" w:lineRule="auto"/>
        <w:ind w:firstLine="425"/>
        <w:jc w:val="both"/>
      </w:pPr>
      <w:r>
        <w:rPr>
          <w:rFonts w:ascii="Times New Roman" w:hAnsi="Times New Roman" w:cs="Times New Roman" w:eastAsia="Times New Roman"/>
          <w:b w:val="0"/>
          <w:sz w:val="24"/>
        </w:rPr>
        <w:t xml:space="preserve">Ma l'estraneità personale non chiude la questione storica: la apre. Nel millenovecentocinquantasei, al congresso milanese del Movimento Sociale, la corrente intransigente e spiritualista di matrice evoliana guidata da Pino Rauti — con Lello Graziani e Sergio Baldassini — rompe con la linea moderata di Arturo Michelini e fonda a Roma il Centro Studi Ordine Nuovo, che avrà in Evola l'ideologo di riferimento e in Adriano Romualdi e Clemente Graziani le figure chiave, fino allo scioglimento del millenovecentosettantatré. Il nesso genetico fra la corrente evoliana e Ordine Nuovo è dato storiografico consolidato,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Ed è dentro quest'alveo che matura il caso più grave: Franco Freda, nato a Padova l'undici febbraio millenovecentoquarantuno, fonda nel millenovecentosessantatré il Gruppo di Ar sulla filosofia di Evola e dà vita alle Edizioni di Ar, che pubblicano i classici del pensiero antimoderno — da Evola a Guénon, fino alla collana Paganitas inaugurata nel millenovecentosettantotto — e il suo stesso pamphlet sulla disintegrazione del sistema.</w:t>
      </w:r>
    </w:p>
    <w:p>
      <w:pPr>
        <w:spacing w:line="276" w:lineRule="auto"/>
        <w:ind w:firstLine="425"/>
        <w:jc w:val="both"/>
      </w:pPr>
      <w:r>
        <w:rPr>
          <w:rFonts w:ascii="Times New Roman" w:hAnsi="Times New Roman" w:cs="Times New Roman" w:eastAsia="Times New Roman"/>
          <w:b w:val="0"/>
          <w:sz w:val="24"/>
        </w:rPr>
        <w:t xml:space="preserve">Su Freda la verità giudiziaria è doppia, e va riportata per intero perché la persona è vivente e la disciplina del progetto impone la formulazione esatta. Da un lato, Freda e Giovanni Ventura furono ritenuti responsabili dei ventuno attentati della campagna del millenovecentosessantanove e condannati a quindici anni di reclusione; per la strage di piazza Fontana, invece, furono assolti per insufficienza di prove con sentenza divenuta irrevocabile nel millenovecentottantasette, quando la Cassazione confermò le assoluzioni d'appello di Catanzaro e di Bari. Dall'altro lato, la Corte di Cassazione, sezione seconda penale, con la sentenza n. 21998 depositata il dieci giugno duemilacinque, ha affermato che la strage fu realizzata da un gruppo eversivo costituito a Padova nell'alveo di Ordine Nuovo e capitanato da Franco Freda e Giovanni Ventura, i quali tuttavia non erano più processabili in forza del divieto di doppio giudizio. Entrambe le proposizioni sono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 sentenze pubbliche — e vanno tenute insieme senza sconti: l'assoluzione irrevocabile e l'attribuzione storica della Cassazione coesistono nell'ordinamento, e l'opera le riporta entrambe, senza sostituirsi al giudice. Al medesimo registro dei fatti pubblici appartengono lo scioglimento nel duemila del Fronte Nazionale fondato da Freda nel millenovecentonovanta, con la condanna sua e di altri quarantotto aderenti per tentata ricostituzione del partito fascista, come riportato dalle fonti citate in apparato.</w:t>
      </w:r>
    </w:p>
    <w:p>
      <w:pPr>
        <w:spacing w:line="276" w:lineRule="auto"/>
        <w:ind w:firstLine="425"/>
        <w:jc w:val="both"/>
      </w:pPr>
      <w:r>
        <w:rPr>
          <w:rFonts w:ascii="Times New Roman" w:hAnsi="Times New Roman" w:cs="Times New Roman" w:eastAsia="Times New Roman"/>
          <w:b w:val="0"/>
          <w:sz w:val="24"/>
        </w:rPr>
        <w:t>Il punto analitico che questa fase consegna è la funzione di breviario: l'opera evoliana — in particolare la dottrina dell'apoliteia di Cavalcare la tigre, la rivolta contro il mondo moderno, l'aristocrazia dello spirito — fu letta dalla militanza come legittimazione metapolitica dell'azione, al di là e talvolta contro le intenzioni dichiarate dell'autore. La distinzione fra responsabilità penale dell'uomo, mai accertata, e funzione storica del corpus dottrinario, ampiamente documentata, è il primo risultato stabile della triangolazione.</w:t>
      </w:r>
    </w:p>
    <w:p>
      <w:pPr>
        <w:spacing w:line="276" w:lineRule="auto"/>
        <w:jc w:val="left"/>
      </w:pPr>
      <w:r>
        <w:rPr>
          <w:rFonts w:ascii="Times New Roman" w:hAnsi="Times New Roman" w:cs="Times New Roman" w:eastAsia="Times New Roman"/>
          <w:b/>
          <w:sz w:val="28"/>
        </w:rPr>
        <w:t>FASE TERZA — TERZA POSIZIONE: LA MISTICA LEGIONARIA</w:t>
      </w:r>
    </w:p>
    <w:p>
      <w:pPr>
        <w:spacing w:line="276" w:lineRule="auto"/>
        <w:ind w:firstLine="425"/>
        <w:jc w:val="both"/>
      </w:pPr>
      <w:r>
        <w:rPr>
          <w:rFonts w:ascii="Times New Roman" w:hAnsi="Times New Roman" w:cs="Times New Roman" w:eastAsia="Times New Roman"/>
          <w:b w:val="0"/>
          <w:sz w:val="24"/>
        </w:rPr>
        <w:t xml:space="preserve">Terza Posizione nasce a Roma nel millenovecentosettantotto per iniziativa di Roberto Fiore, Gabriele Adinolfi e Giuseppe Dimitri, come sbocco del gruppo Lotta Studentesca costituito due anni prima negli ambienti della Libreria Romana gestita da Walter Spedicato, con Nanni De Angelis fra i fondatori. Il dato è </w:t>
      </w:r>
      <w:r>
        <w:rPr>
          <w:rFonts w:ascii="Times New Roman" w:hAnsi="Times New Roman" w:cs="Times New Roman" w:eastAsia="Times New Roman"/>
          <w:b/>
          <w:sz w:val="24"/>
        </w:rPr>
        <w:t>Livello A</w:t>
      </w:r>
      <w:r>
        <w:rPr>
          <w:rFonts w:ascii="Times New Roman" w:hAnsi="Times New Roman" w:cs="Times New Roman" w:eastAsia="Times New Roman"/>
          <w:b w:val="0"/>
          <w:sz w:val="24"/>
        </w:rPr>
        <w:t>: convergono la storiografia accademica — Franco Ferraresi, Threats to Democracy, Princeton University Press — la memorialistica degli stessi protagonisti e le ricostruzioni giornalistiche. La formula identitaria del movimento, consegnata al suo inno — né fronte rosso né reazione — rivendicava un'equidistanza dalla sinistra marxista e dalla destra reazionaria e capitalista; la sua matrice culturale attingeva al tradizionalismo evoliano e alla mistica legionaria di ascendenza codreanista, con un'accentuazione spirituale e sacrificale che distingue Terza Posizione dalle sigle coeve e la colloca a pieno titolo nel perimetro di questa monografia: l'eversione come milizia dal linguaggio religioso.</w:t>
      </w:r>
    </w:p>
    <w:p>
      <w:pPr>
        <w:spacing w:line="276" w:lineRule="auto"/>
        <w:ind w:firstLine="425"/>
        <w:jc w:val="both"/>
      </w:pPr>
      <w:r>
        <w:rPr>
          <w:rFonts w:ascii="Times New Roman" w:hAnsi="Times New Roman" w:cs="Times New Roman" w:eastAsia="Times New Roman"/>
          <w:b w:val="0"/>
          <w:sz w:val="24"/>
        </w:rPr>
        <w:t xml:space="preserve">La traiettoria giudiziaria è documentata e va riportata con la disciplina delle persone viventi. Nel millenovecentosettantanove una parte della militanza scivolò verso le parole d'ordine dei Nuclei Armati Rivoluzionari, e alcuni quadri — fra i quali Giuseppe Dimitri — praticarono una doppia militanza fra piazza e clandestinità armata. Fra agosto e settembre del millenovecentottanta, dopo la strage della stazione di Bologna, le Procure di Bologna e di Roma emisero mandati di cattura verso numerosi dirigenti; il movimento fu sciolto nel millenovecentottantadue. Roberto Fiore riparò prima in Libano e poi a Londra, dove fu arrestato nel millenovecentottantadue su mandato internazionale; le autorità britanniche negarono l'estradizione ritenendo la richiesta di natura politica; nel millenovecentottantacinque la Corte d'Appello di Roma lo condannò per associazione sovversiva e banda armata. Dalle indagini sulla strage di Bologna Fiore risultò completamente estraneo: la formula ricorre identica nelle fonti di agenzia e di stampa citate in apparato, e l'opera la riporta come dato acquisito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 fatti successivi — l'attività imprenditoriale londinese con Massimo Morsello, la fondazione di Forza Nuova nel millenovecentonovantasette, le vicende giudiziarie recenti di cronaca — appartengono al registro dei fatti pubblici attribuiti e nulla di questo capitolo autorizza inferenze associative ulteriori: Fiore e Adinolfi sono viventi, e su di loro valgono soltanto i fatti documentati qui elencati con le rispettive fonti, nella piena presunzione d'innocenza per ogni profilo non coperto da giudicato.</w:t>
      </w:r>
    </w:p>
    <w:p>
      <w:pPr>
        <w:spacing w:line="276" w:lineRule="auto"/>
        <w:ind w:firstLine="425"/>
        <w:jc w:val="both"/>
      </w:pPr>
      <w:r>
        <w:rPr>
          <w:rFonts w:ascii="Times New Roman" w:hAnsi="Times New Roman" w:cs="Times New Roman" w:eastAsia="Times New Roman"/>
          <w:b w:val="0"/>
          <w:sz w:val="24"/>
        </w:rPr>
        <w:t xml:space="preserve">Giuseppe Dimitri, detto Peppe, nato a Roma il ventisette settembre millenovecentocinquantasei e morto a Roma il trenta marzo duemilasei, passò ai Nuclei Armati Rivoluzionari; alla sua biografia gli atti e la memorialistica ascrivono episodi di violenza gravissima, fra cui l'aggressione a martellate dell'aprile millenovecentosettantotto contro uno studente quindicenne davanti al liceo Vivona e la rapina all'armeria Omnia Sport del quindici marzo millenovecentosettantanove. Nanni De Angelis, dirigente del movimento, morì a Roma il cinque ottobre millenovecentottanta a ventidue anni. Questi dati, riferiti a persone decedute, restano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nei limiti delle fonti citate.</w:t>
      </w:r>
    </w:p>
    <w:p>
      <w:pPr>
        <w:spacing w:line="276" w:lineRule="auto"/>
        <w:jc w:val="left"/>
      </w:pPr>
      <w:r>
        <w:rPr>
          <w:rFonts w:ascii="Times New Roman" w:hAnsi="Times New Roman" w:cs="Times New Roman" w:eastAsia="Times New Roman"/>
          <w:b/>
          <w:sz w:val="28"/>
        </w:rPr>
        <w:t>FASE QUARTA — IL FATTORE VATICANO NEL CASO MORO: LA LETTERA E LA PROVVISTA</w:t>
      </w:r>
    </w:p>
    <w:p>
      <w:pPr>
        <w:spacing w:line="276" w:lineRule="auto"/>
        <w:ind w:firstLine="425"/>
        <w:jc w:val="both"/>
      </w:pPr>
      <w:r>
        <w:rPr>
          <w:rFonts w:ascii="Times New Roman" w:hAnsi="Times New Roman" w:cs="Times New Roman" w:eastAsia="Times New Roman"/>
          <w:b w:val="0"/>
          <w:sz w:val="24"/>
        </w:rPr>
        <w:t xml:space="preserve">Il sequestro di Aldo Moro — rapito in via Fani il sedici marzo millenovecentosettantotto con l'uccisione dei cinque uomini della scorta, Oreste Leonardi, Domenico Ricci, Raffaele Iozzino, Giulio Rivera e Francesco Zizzi, e trattenuto per cinquantacinque giorni fino al ritrovamento del corpo in via Caetani il nove maggio — vide l'intervento personale e documentato di Paolo VI, amico di studi e di vita dello statista. Il ventuno aprile millenovecentosettantotto il pontefice scrisse di suo pugno la lettera agli uomini delle Brigate Rosse, resa pubblica il giorno seguente e conservata negli atti ufficiali della Santa Sede: vi si legge la supplica in ginocchio a liberare l'onorevole Aldo Moro, semplicemente, senza condizioni. Il testo è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nella forma più piena: documento pubblico dell'autorità che lo ha emesso.</w:t>
      </w:r>
    </w:p>
    <w:p>
      <w:pPr>
        <w:spacing w:line="276" w:lineRule="auto"/>
        <w:ind w:firstLine="425"/>
        <w:jc w:val="both"/>
      </w:pPr>
      <w:r>
        <w:rPr>
          <w:rFonts w:ascii="Times New Roman" w:hAnsi="Times New Roman" w:cs="Times New Roman" w:eastAsia="Times New Roman"/>
          <w:b w:val="0"/>
          <w:sz w:val="24"/>
        </w:rPr>
        <w:t xml:space="preserve">Attorno alla lettera gli atti e la ricerca hanno ricostruito due circostanze di secondo grado. La prima riguarda la redazione: secondo le carte pubblicate da Riccardo Ferrigato per le Edizioni San Paolo, la stesura autografa recava la formula senza alcuna imbarazzante condizione, e l'aggettivo scomparve nella versione definitiva, corretta sotto dettatura dal segretario del pontefice, don Pasquale Macchi; il dato, fondato su documentazione edita ma non ancora riscontrata su tre canali eterogenei, resta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seconda riguarda il canale operativo: monsignor Cesare Curioni, responsabile dei cappellani delle carceri, fu investito direttamente da Paolo VI del tentativo di liberazione e attivò contatti sia con brigatisti detenuti sia con un interlocutore rimasto ignoto, incontrato nella metropolitana di Napoli e in città del nord; nel corso di una telefonata notturna il pontefice lesse a Curioni la lettera, accogliendone alcune correzioni. La fonte è la testimonianza resa alla Commissione parlamentare sul caso Moro da monsignor Fabio Fabbri, segretario di Curioni: una singola fonte di alta affidabilità istituzionale,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ind w:firstLine="425"/>
        <w:jc w:val="both"/>
      </w:pPr>
      <w:r>
        <w:rPr>
          <w:rFonts w:ascii="Times New Roman" w:hAnsi="Times New Roman" w:cs="Times New Roman" w:eastAsia="Times New Roman"/>
          <w:b w:val="0"/>
          <w:sz w:val="24"/>
        </w:rPr>
        <w:t xml:space="preserve">Il nodo più delicato è la provvista per il riscatto. Sempre secondo la testimonianza di Fabbri, il sei maggio millenovecentosettantotto, a Castel Gandolfo, Paolo VI sollevò il panno che copriva una consolle del suo studio mostrando mazzette di dollari per un controvalore di circa dieci miliardi di lire, destinate al riscatto; poche ore dopo giunse da Roma la notizia che il riscatto non poteva essere consegnato. Fabbri si è detto convinto che il denaro non provenisse dallo IOR e ha posto la domanda su quale Stato estero avesse interesse a procurare la somma; le fonti vaticane interpellate hanno dichiarato di ignorare chi procurò la provvista e dove finì. Il quadro probatorio va dunque scomposto: l'esistenza del tentativo di riscatto e della provvista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 testimonianza istituzionale resa in sede parlamentare, con riscontri convergenti di stampa qualificata —; la provenienza e la destinazione della somma sono un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xml:space="preserve"> dichiarato dalle stesse fonti; l'ipotesi di un finanziatore statale estero interessato a condizionare la Santa Sede resta un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esplicitamente marcato come tale, il cui falsificatore sarebbe l'identificazione documentale del canale di provvista. La preghiera del perdono pronunciata da Paolo VI nella commemorazione del tredici maggio millenovecentosettantotto chiude il quadro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jc w:val="left"/>
      </w:pPr>
      <w:r>
        <w:rPr>
          <w:rFonts w:ascii="Times New Roman" w:hAnsi="Times New Roman" w:cs="Times New Roman" w:eastAsia="Times New Roman"/>
          <w:b/>
          <w:sz w:val="28"/>
        </w:rPr>
        <w:t>FASE QUINTA — L'EPISODIO DI ZAPPOLINO: L'ESOTERICO COME VELO INFORMATIVO</w:t>
      </w:r>
    </w:p>
    <w:p>
      <w:pPr>
        <w:spacing w:line="276" w:lineRule="auto"/>
        <w:ind w:firstLine="425"/>
        <w:jc w:val="both"/>
      </w:pPr>
      <w:r>
        <w:rPr>
          <w:rFonts w:ascii="Times New Roman" w:hAnsi="Times New Roman" w:cs="Times New Roman" w:eastAsia="Times New Roman"/>
          <w:b w:val="0"/>
          <w:sz w:val="24"/>
        </w:rPr>
        <w:t>Il due aprile millenovecentosettantotto, diciassette giorni dopo via Fani, dodici adulti si riunirono con i figli nella casa di campagna dell'economista Alberto Clò in località Zappolino, sull'Appennino bolognese: Mario e Gabriella Baldassarri, Franco e Gabriella Bernardi, Adriana, Alberto, Carlo e Licia Clò, Emilia Fanciulli, Fabio Gobbo, Flavia e Romano Prodi. Nel pomeriggio, per il maltempo, i presenti si dedicarono al cosiddetto gioco del piattino, evocando per gioco gli spiriti di Luigi Sturzo e Giorgio La Pira; fra parole e numeri senza senso emersero le indicazioni Viterbo, Bolsena e Gradoli. Nessuno dei presenti dichiarò di conoscere un paese con quel nome, che fu individuato su un atlante. Il quattro aprile Prodi riferì l'accaduto alle autorità; il sei aprile le forze dell'ordine perquisirono il borgo di Gradoli in provincia di Viterbo, con esito nullo. Il diciotto aprile, per una perdita d'acqua, fu scoperto il covo brigatista di via Gradoli novantasei a Roma, base di Mario Moretti e Barbara Balzerani.</w:t>
      </w:r>
    </w:p>
    <w:p>
      <w:pPr>
        <w:spacing w:line="276" w:lineRule="auto"/>
        <w:ind w:firstLine="425"/>
        <w:jc w:val="both"/>
      </w:pPr>
      <w:r>
        <w:rPr>
          <w:rFonts w:ascii="Times New Roman" w:hAnsi="Times New Roman" w:cs="Times New Roman" w:eastAsia="Times New Roman"/>
          <w:b w:val="0"/>
          <w:sz w:val="24"/>
        </w:rPr>
        <w:t xml:space="preserve">L'evento in sé è documentato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con una solidità rara: la lettera firmata dai dodici partecipanti, datata tre febbraio millenovecentottantuno e indirizzata al presidente della Commissione parlamentare d'inchiesta Dante Schietroma; l'audizione di Romano Prodi del dieci giugno millenovecentottantuno; il verbale della Commissione Stragi del diciassette giugno millenovecentonovantotto; la concordanza mai smentita, in oltre quarant'anni, di tutti i partecipanti. Ciò che resta aperto è l'interpretazione, e qui l'opera applica l'analisi delle ipotesi concorrenti. Ipotesi prima: coincidenza autentica, statisticamente improbabile ma non impossibile, favorita dalla salienza retrospettiva del toponimo. Ipotesi seconda: suggestione o conoscenza inconsapevole di uno dei presenti, affiorata nel meccanismo ideomotorio del gioco. Ipotesi terza: il velo — la forma esoterica scelta, consapevolmente o meno, per schermare una fonte umana che non poteva essere nominata, in ambienti accademici bolognesi che avevano contatti con l'area dell'Autonomia; è la domanda lasciata agli atti dal senatore Sergio Flamigni, chi abbia ispirato lo spirito che evocò il nome di Gradoli. Nessuna delle tre ipotesi dispone oggi di un elemento risolutivo: la terza, la più feconda per l'opera, resta un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cui falsificatore in un senso sarebbe l'identificazione della fonte umana, e nell'altro la piena tenuta della testimonianza collettiva, che dopo quattro decenni non presenta crepe. A margine, un dettaglio acquisito dalle ricostruzioni citate in apparato e mantenuto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la segnalazione degli inquilini di via Gradoli che chiesero di far pervenire un appunto a un dirigente della questura di Roma poi risultato negli elenchi della loggia P2 — un innesto fra i domini che, se confermato su base documentale piena, andrà elevato di grado nel registro federato.</w:t>
      </w:r>
    </w:p>
    <w:p>
      <w:pPr>
        <w:spacing w:line="276" w:lineRule="auto"/>
        <w:ind w:firstLine="425"/>
        <w:jc w:val="both"/>
      </w:pPr>
      <w:r>
        <w:rPr>
          <w:rFonts w:ascii="Times New Roman" w:hAnsi="Times New Roman" w:cs="Times New Roman" w:eastAsia="Times New Roman"/>
          <w:b w:val="0"/>
          <w:sz w:val="24"/>
        </w:rPr>
        <w:t>Il valore metodologico dell'episodio eccede il caso Moro: Zappolino è il paradigma dell'esoterico come velo informativo, la funzione più concreta che il soprannaturale svolge nella storia nera — non causa degli eventi, ma involucro socialmente accettabile di un'informazione che non può circolare nuda. È l'esatto rovescio della cabala: qui non è l'occulto a spiegare la storia, ma la storia a spiegare l'uso dell'occulto.</w:t>
      </w:r>
    </w:p>
    <w:p>
      <w:pPr>
        <w:spacing w:line="276" w:lineRule="auto"/>
        <w:jc w:val="left"/>
      </w:pPr>
      <w:r>
        <w:rPr>
          <w:rFonts w:ascii="Times New Roman" w:hAnsi="Times New Roman" w:cs="Times New Roman" w:eastAsia="Times New Roman"/>
          <w:b/>
          <w:sz w:val="28"/>
        </w:rPr>
        <w:t>FASE SESTA — IL REGISTRO DEL SATANISMO: IL DOCUMENTATO E IL PANICO</w:t>
      </w:r>
    </w:p>
    <w:p>
      <w:pPr>
        <w:spacing w:line="276" w:lineRule="auto"/>
        <w:ind w:firstLine="425"/>
        <w:jc w:val="both"/>
      </w:pPr>
      <w:r>
        <w:rPr>
          <w:rFonts w:ascii="Times New Roman" w:hAnsi="Times New Roman" w:cs="Times New Roman" w:eastAsia="Times New Roman"/>
          <w:b w:val="0"/>
          <w:sz w:val="24"/>
        </w:rPr>
        <w:t>Il satanismo entra nell'opera con la regola di ammissione più severa: fa fede soltanto ciò che è passato per il vaglio giudiziario o documentale, perché questo è il campo in cui la storia italiana ha prodotto, a pochi anni di distanza, sia il crimine satanista reale sia il falso colpevole fabbricato dal panico morale. I due poli vanno tenuti insieme, perché soltanto insieme fondano la regola.</w:t>
      </w:r>
    </w:p>
    <w:p>
      <w:pPr>
        <w:spacing w:line="276" w:lineRule="auto"/>
        <w:ind w:firstLine="425"/>
        <w:jc w:val="both"/>
      </w:pPr>
      <w:r>
        <w:rPr>
          <w:rFonts w:ascii="Times New Roman" w:hAnsi="Times New Roman" w:cs="Times New Roman" w:eastAsia="Times New Roman"/>
          <w:b w:val="0"/>
          <w:sz w:val="24"/>
        </w:rPr>
        <w:t xml:space="preserve">Il polo documentato è il caso delle Bestie di Satana. Per gli omicidi di Chiara Marino e Fabio Tollis e per quello di Mariangela Pezzotta, la Corte d'assise di Busto Arsizio, il trentuno gennaio duemilasei, condannò Nicola Sapone a due ergastoli con isolamento diurno, Paolo Leoni e Marco Zampollo a ventisei anni, Elisabetta Ballarin a ventiquattro anni e tre mesi, Eros Monterosso a ventiquattro anni; nel giugno duemilasei la Corte d'assise d'appello di Milano ridusse ad Andrea Volpe, già condannato a trenta anni, la pena a venti anni, e a Pietro Guerrieri da sedici a dodici anni e otto mesi; il quindici maggio duemilasette l'appello confermò per Sapone il doppio ergastolo e portò Leoni all'ergastolo. Le condanne sono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lettura criminologica prevalente, riportata dalle fonti, riconduce il fenomeno più ai drammi personali e agli stupefacenti che a una struttura cultuale: anche il satanismo documentato, cioè, resiste alla tentazione della spiegazione occulta.</w:t>
      </w:r>
    </w:p>
    <w:p>
      <w:pPr>
        <w:spacing w:line="276" w:lineRule="auto"/>
        <w:ind w:firstLine="425"/>
        <w:jc w:val="both"/>
      </w:pPr>
      <w:r>
        <w:rPr>
          <w:rFonts w:ascii="Times New Roman" w:hAnsi="Times New Roman" w:cs="Times New Roman" w:eastAsia="Times New Roman"/>
          <w:b w:val="0"/>
          <w:sz w:val="24"/>
        </w:rPr>
        <w:t xml:space="preserve">Il polo del panico è il caso dei Bambini di Satana. Fra il millenovecentonovantasei e il millenovecentonovantasette, a Bologna, Marco Dimitri e altri esponenti dell'associazione da lui presieduta furono accusati di violenza su minori e di omicidio rituale; l'inchiesta produsse una lunga carcerazione preventiva e un processo mediatico devastante; le sentenze dichiararono inattendibile la testimone principale e gli imputati furono assolti in ogni grado, con l'assoluzione in appello, nel duemila, richiesta dalla stessa Procura generale. Il caso — ricostruito da Antonella Beccaria in Bambini di Satana, Stampa Alternativa, duemilasei, con prefazione di Carlo Lucarelli — è il paradigma italiano del panico satanico: l'accusa di occulto come macchina che genera colpevoli inesistenti. Le assoluzioni sono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la conseguenza metodologica è vincolante per l'intera opera: ogni tesi di regia satanico-esoterica dello stragismo o dei grandi delitti, in assenza di sentenze o documenti primari,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quando non a un puro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e va maneggiata sapendo che in questo campo il falso positivo ha già distrutto vite reali.</w:t>
      </w:r>
    </w:p>
    <w:p>
      <w:pPr>
        <w:spacing w:line="276" w:lineRule="auto"/>
        <w:ind w:firstLine="425"/>
        <w:jc w:val="both"/>
      </w:pPr>
      <w:r>
        <w:rPr>
          <w:rFonts w:ascii="Times New Roman" w:hAnsi="Times New Roman" w:cs="Times New Roman" w:eastAsia="Times New Roman"/>
          <w:b w:val="0"/>
          <w:sz w:val="24"/>
        </w:rPr>
        <w:t>Qui scatta, obbligatorio, il filtro omonimico del progetto: Giuseppe Dimitri detto Peppe, cofondatore di Terza Posizione e poi militante dei Nuclei Armati Rivoluzionari, nato a Roma nel millenovecentocinquantasei e morto nel duemilasei, è persona del tutto distinta da Marco Dimitri, presidente dei Bambini di Satana, nato a Bologna nel millenovecentosessantatré e morto nel duemilaventuno. Nessuna delle due biografie può essere attinta per l'altra; l'omonimia del cognome, in un'opera che incrocia eversione nera e satanismo, è il punto esatto in cui un errore di attribuzione diventerebbe diffamazione della memoria. Il registro comparato interno del progetto — il dossier sui Maestri Cosmici della Aetherius Society, con la sua classificazione probatoria per scheda — mostra infine che la medesima scala di gradi regge anche il campo religioso-metafisico non criminale: la disciplina è una sola, qualunque sia l'oggetto.</w:t>
      </w:r>
    </w:p>
    <w:p>
      <w:pPr>
        <w:spacing w:line="276" w:lineRule="auto"/>
        <w:jc w:val="left"/>
      </w:pPr>
      <w:r>
        <w:rPr>
          <w:rFonts w:ascii="Times New Roman" w:hAnsi="Times New Roman" w:cs="Times New Roman" w:eastAsia="Times New Roman"/>
          <w:b/>
          <w:sz w:val="28"/>
        </w:rPr>
        <w:t>FASE SETTIMA — L'ASSE CATTOLICO-INTEGRALISTA: IL RIPORTO DALLA CAMPAGNA AGINTER</w:t>
      </w:r>
    </w:p>
    <w:p>
      <w:pPr>
        <w:spacing w:line="276" w:lineRule="auto"/>
        <w:ind w:firstLine="425"/>
        <w:jc w:val="both"/>
      </w:pPr>
      <w:r>
        <w:rPr>
          <w:rFonts w:ascii="Times New Roman" w:hAnsi="Times New Roman" w:cs="Times New Roman" w:eastAsia="Times New Roman"/>
          <w:b w:val="0"/>
          <w:sz w:val="24"/>
        </w:rPr>
        <w:t xml:space="preserve">La monografia su Aginter Press, già consegnata e gradata, ha stabilito i nodi che qui si richiamano senza rifare l'istruttoria. Yves Guérin-Sérac, fondatore e direttore della centrale di Lisbona, è descritto dalle deposizioni di Vincenzo Vinciguerra come un fondamentalista cattolico, e la sigla-madre della struttura — Ordre et Tradition — porta nel nome stesso il programma controrivoluzionario di matrice religiosa; la rete dottrinale rinvia all'ambiente de La Cité Catholique di Jean Ousset, laboratorio dell'integralismo cattolico di guerra rivoluzionaria. L'asse regge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Esso realizza, in forma storicamente concreta, la coppia rara Religione per Terrorismo: non una chiesa che arma, ma una teologia politica che fornisce all'eversione il proprio linguaggio d'ordine, la propria antropologia del nemico e la propria giustificazione sacrificale. Resta fermo, dal medesimo capitolo, lo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xml:space="preserve"> sul versante degli archivi statunitensi: nessun documento primario finora reperito nomina Aginter, Guérin-Sérac od Ordre et Tradition.</w:t>
      </w:r>
    </w:p>
    <w:p>
      <w:pPr>
        <w:spacing w:line="276" w:lineRule="auto"/>
        <w:jc w:val="left"/>
      </w:pPr>
      <w:r>
        <w:rPr>
          <w:rFonts w:ascii="Times New Roman" w:hAnsi="Times New Roman" w:cs="Times New Roman" w:eastAsia="Times New Roman"/>
          <w:b/>
          <w:sz w:val="28"/>
        </w:rPr>
        <w:t>FASE OTTAVA — CAPITOLO DI TRIANGOLAZIONE</w:t>
      </w:r>
    </w:p>
    <w:p>
      <w:pPr>
        <w:spacing w:line="276" w:lineRule="auto"/>
        <w:ind w:firstLine="425"/>
        <w:jc w:val="both"/>
      </w:pPr>
      <w:r>
        <w:rPr>
          <w:rFonts w:ascii="Times New Roman" w:hAnsi="Times New Roman" w:cs="Times New Roman" w:eastAsia="Times New Roman"/>
          <w:b w:val="0"/>
          <w:sz w:val="24"/>
        </w:rPr>
        <w:t>Si registrano, in forma enumerata e gradata, i nodi acquisiti dalla presente campagna, ciascuno con il proprio falsificatore.</w:t>
      </w:r>
    </w:p>
    <w:p>
      <w:pPr>
        <w:spacing w:line="276" w:lineRule="auto"/>
        <w:ind w:firstLine="425"/>
        <w:jc w:val="both"/>
      </w:pPr>
      <w:r>
        <w:rPr>
          <w:rFonts w:ascii="Times New Roman" w:hAnsi="Times New Roman" w:cs="Times New Roman" w:eastAsia="Times New Roman"/>
          <w:b w:val="0"/>
          <w:sz w:val="24"/>
        </w:rPr>
        <w:t xml:space="preserve">Nodo primo. Julius Evola non fu mai iscritto al Partito Nazionale Fascista né al Movimento Sociale Italiano.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Falsificatore: reperimento di una tessera o di un atto di iscrizione d'archivio.</w:t>
      </w:r>
    </w:p>
    <w:p>
      <w:pPr>
        <w:spacing w:line="276" w:lineRule="auto"/>
        <w:ind w:firstLine="425"/>
        <w:jc w:val="both"/>
      </w:pPr>
      <w:r>
        <w:rPr>
          <w:rFonts w:ascii="Times New Roman" w:hAnsi="Times New Roman" w:cs="Times New Roman" w:eastAsia="Times New Roman"/>
          <w:b w:val="0"/>
          <w:sz w:val="24"/>
        </w:rPr>
        <w:t xml:space="preserve">Nodo secondo. Arrestato nel millenovecentocinquantuno quale presunto ispiratore dei FAR, Evola fu assolto con formula piena il venti novembre millenovecentocinquantuno, difeso da Francesco Carnelutti; agli atti risultò il suo invito ai giovani a desistere dall'attivismo e dalla violenza.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Falsificatore: atti processuali di segno contrario.</w:t>
      </w:r>
    </w:p>
    <w:p>
      <w:pPr>
        <w:spacing w:line="276" w:lineRule="auto"/>
        <w:ind w:firstLine="425"/>
        <w:jc w:val="both"/>
      </w:pPr>
      <w:r>
        <w:rPr>
          <w:rFonts w:ascii="Times New Roman" w:hAnsi="Times New Roman" w:cs="Times New Roman" w:eastAsia="Times New Roman"/>
          <w:b w:val="0"/>
          <w:sz w:val="24"/>
        </w:rPr>
        <w:t xml:space="preserve">Nodo terzo. Il Centro Studi Ordine Nuovo nasce nel millenovecentocinquantasei dalla corrente intransigente e spiritualista evoliana del Movimento Sociale, per iniziativa di Pino Rauti, con Evola quale ideologo di riferimento, fino allo scioglimento del millenovecentosettantatré.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ind w:firstLine="425"/>
        <w:jc w:val="both"/>
      </w:pPr>
      <w:r>
        <w:rPr>
          <w:rFonts w:ascii="Times New Roman" w:hAnsi="Times New Roman" w:cs="Times New Roman" w:eastAsia="Times New Roman"/>
          <w:b w:val="0"/>
          <w:sz w:val="24"/>
        </w:rPr>
        <w:t xml:space="preserve">Nodo quarto. Franco Freda fonda nel millenovecentosessantatré il Gruppo di Ar su base evoliana e ne deriva le Edizioni di Ar, editrici di Evola e Guénon e della collana Paganitas dal millenovecentosettantotto.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 fonte autobiografica dell'editore e storiografia convergente.</w:t>
      </w:r>
    </w:p>
    <w:p>
      <w:pPr>
        <w:spacing w:line="276" w:lineRule="auto"/>
        <w:ind w:firstLine="425"/>
        <w:jc w:val="both"/>
      </w:pPr>
      <w:r>
        <w:rPr>
          <w:rFonts w:ascii="Times New Roman" w:hAnsi="Times New Roman" w:cs="Times New Roman" w:eastAsia="Times New Roman"/>
          <w:b w:val="0"/>
          <w:sz w:val="24"/>
        </w:rPr>
        <w:t xml:space="preserve">Nodo quinto. Su piazza Fontana coesistono l'assoluzione irrevocabile di Freda e Ventura, definitiva dal millenovecentottantasette, e l'attribuzione della Cassazione, sentenza n. 21998 del duemilacinque, al gruppo eversivo padovano nell'alveo di Ordine Nuovo capitanato dai medesimi, non più processabili per divieto di doppio giudizio; ai medesimi era stata inflitta la condanna a quindici anni per gli attentati del millenovecentosessantanove.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entrambe le proposizioni. Falsificatore: revisione o desecretazione che alteri il quadro.</w:t>
      </w:r>
    </w:p>
    <w:p>
      <w:pPr>
        <w:spacing w:line="276" w:lineRule="auto"/>
        <w:ind w:firstLine="425"/>
        <w:jc w:val="both"/>
      </w:pPr>
      <w:r>
        <w:rPr>
          <w:rFonts w:ascii="Times New Roman" w:hAnsi="Times New Roman" w:cs="Times New Roman" w:eastAsia="Times New Roman"/>
          <w:b w:val="0"/>
          <w:sz w:val="24"/>
        </w:rPr>
        <w:t xml:space="preserve">Nodo sesto. Terza Posizione è fondata a Roma nel millenovecentosettantotto da Roberto Fiore, Gabriele Adinolfi e Giuseppe Dimitri, dall'alveo di Lotta Studentesca; formula identitaria né fronte rosso né reazione; matrice tradizionalista e legionaria.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ind w:firstLine="425"/>
        <w:jc w:val="both"/>
      </w:pPr>
      <w:r>
        <w:rPr>
          <w:rFonts w:ascii="Times New Roman" w:hAnsi="Times New Roman" w:cs="Times New Roman" w:eastAsia="Times New Roman"/>
          <w:b w:val="0"/>
          <w:sz w:val="24"/>
        </w:rPr>
        <w:t xml:space="preserve">Nodo settimo. Fra agosto e settembre millenovecentottanta, dopo la strage di Bologna, mandati di cattura colpiscono i dirigenti; Fiore ripara in Libano e a Londra, è arrestato nel millenovecentottantadue, l'estradizione è negata, ed è condannato nel millenovecentottantacinque dalla Corte d'Appello di Roma per associazione sovversiva e banda armata; dalle indagini sulla strage risulta completamente estraneo.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con disciplina delle persone viventi.</w:t>
      </w:r>
    </w:p>
    <w:p>
      <w:pPr>
        <w:spacing w:line="276" w:lineRule="auto"/>
        <w:ind w:firstLine="425"/>
        <w:jc w:val="both"/>
      </w:pPr>
      <w:r>
        <w:rPr>
          <w:rFonts w:ascii="Times New Roman" w:hAnsi="Times New Roman" w:cs="Times New Roman" w:eastAsia="Times New Roman"/>
          <w:b w:val="0"/>
          <w:sz w:val="24"/>
        </w:rPr>
        <w:t xml:space="preserve">Nodo ottavo. Giuseppe Dimitri, cofondatore, passa ai Nuclei Armati Rivoluzionari; deceduto nel duemilasei.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nei limiti delle fonti. Nodo nono, regola operativa: filtro omonimico obbligatorio fra Giuseppe Dimitri e Marco Dimitri, persone distinte per anagrafe, città e vicenda.</w:t>
      </w:r>
    </w:p>
    <w:p>
      <w:pPr>
        <w:spacing w:line="276" w:lineRule="auto"/>
        <w:ind w:firstLine="425"/>
        <w:jc w:val="both"/>
      </w:pPr>
      <w:r>
        <w:rPr>
          <w:rFonts w:ascii="Times New Roman" w:hAnsi="Times New Roman" w:cs="Times New Roman" w:eastAsia="Times New Roman"/>
          <w:b w:val="0"/>
          <w:sz w:val="24"/>
        </w:rPr>
        <w:t xml:space="preserve">Nodo decimo. La lettera di Paolo VI agli uomini delle Brigate Rosse, ventuno aprile millenovecentosettantotto, con la supplica a liberare Moro semplicemente, senza condizioni, è documento pubblico della Santa Sede.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ind w:firstLine="425"/>
        <w:jc w:val="both"/>
      </w:pPr>
      <w:r>
        <w:rPr>
          <w:rFonts w:ascii="Times New Roman" w:hAnsi="Times New Roman" w:cs="Times New Roman" w:eastAsia="Times New Roman"/>
          <w:b w:val="0"/>
          <w:sz w:val="24"/>
        </w:rPr>
        <w:t xml:space="preserve">Nodo undicesimo. La stesura autografa recava la formula senza alcuna imbarazzante condizione, emendata sotto dettatura di don Pasquale Macchi.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 documentazione edita. Falsificatore: l'autografo integrale.</w:t>
      </w:r>
    </w:p>
    <w:p>
      <w:pPr>
        <w:spacing w:line="276" w:lineRule="auto"/>
        <w:ind w:firstLine="425"/>
        <w:jc w:val="both"/>
      </w:pPr>
      <w:r>
        <w:rPr>
          <w:rFonts w:ascii="Times New Roman" w:hAnsi="Times New Roman" w:cs="Times New Roman" w:eastAsia="Times New Roman"/>
          <w:b w:val="0"/>
          <w:sz w:val="24"/>
        </w:rPr>
        <w:t xml:space="preserve">Nodo dodicesimo. Monsignor Cesare Curioni fu investito da Paolo VI del tentativo di liberazione e attivò canali con detenuti e con un interlocutore ignoto; il sei maggio millenovecentosettantotto, a Castel Gandolfo, il pontefice mostrò una provvista in dollari per circa dieci miliardi di lire destinata al riscatto, poi non consegnabile.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sulla testimonianza di monsignor Fabio Fabbri alla Commissione Moro. Provenienza e destino della provvista: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xml:space="preserve"> dichiarato dalle stesse fonti vaticane; ipotesi di un finanziatore statale estero: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Falsificatore: identificazione documentale del canale.</w:t>
      </w:r>
    </w:p>
    <w:p>
      <w:pPr>
        <w:spacing w:line="276" w:lineRule="auto"/>
        <w:ind w:firstLine="425"/>
        <w:jc w:val="both"/>
      </w:pPr>
      <w:r>
        <w:rPr>
          <w:rFonts w:ascii="Times New Roman" w:hAnsi="Times New Roman" w:cs="Times New Roman" w:eastAsia="Times New Roman"/>
          <w:b w:val="0"/>
          <w:sz w:val="24"/>
        </w:rPr>
        <w:t xml:space="preserve">Nodo tredicesimo. La seduta di Zappolino del due aprile millenovecentosettantotto è evento documentato: lettera dei dodici del tre febbraio millenovecentottantuno al presidente Schietroma, audizione Prodi del dieci giugno millenovecentottantuno, verbale della Commissione Stragi del diciassette giugno millenovecentonovantotto.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come evento.</w:t>
      </w:r>
    </w:p>
    <w:p>
      <w:pPr>
        <w:spacing w:line="276" w:lineRule="auto"/>
        <w:ind w:firstLine="425"/>
        <w:jc w:val="both"/>
      </w:pPr>
      <w:r>
        <w:rPr>
          <w:rFonts w:ascii="Times New Roman" w:hAnsi="Times New Roman" w:cs="Times New Roman" w:eastAsia="Times New Roman"/>
          <w:b w:val="0"/>
          <w:sz w:val="24"/>
        </w:rPr>
        <w:t xml:space="preserve">Nodo quattordicesimo. Le indicazioni Viterbo, Bolsena e Gradoli; la segnalazione del quattro aprile; la perquisizione del borgo di Gradoli il sei aprile con esito nullo; la scoperta del covo di via Gradoli novantasei il diciotto aprile per una perdita d'acqua.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ind w:firstLine="425"/>
        <w:jc w:val="both"/>
      </w:pPr>
      <w:r>
        <w:rPr>
          <w:rFonts w:ascii="Times New Roman" w:hAnsi="Times New Roman" w:cs="Times New Roman" w:eastAsia="Times New Roman"/>
          <w:b w:val="0"/>
          <w:sz w:val="24"/>
        </w:rPr>
        <w:t xml:space="preserve">Nodo quindicesimo. L'ipotesi del velo — una fonte umana schermata dalla forma esoterica, negli ambienti accademici in contatto con l'area dell'Autonomia —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in analisi delle ipotesi concorrenti con la coincidenza autentica e con l'affioramento ideomotorio. Falsificatori: identificazione della fonte, ovvero la tenuta ultradecennale della testimonianza collettiva.</w:t>
      </w:r>
    </w:p>
    <w:p>
      <w:pPr>
        <w:spacing w:line="276" w:lineRule="auto"/>
        <w:ind w:firstLine="425"/>
        <w:jc w:val="both"/>
      </w:pPr>
      <w:r>
        <w:rPr>
          <w:rFonts w:ascii="Times New Roman" w:hAnsi="Times New Roman" w:cs="Times New Roman" w:eastAsia="Times New Roman"/>
          <w:b w:val="0"/>
          <w:sz w:val="24"/>
        </w:rPr>
        <w:t xml:space="preserve">Nodo sedicesimo. L'appunto degli inquilini di via Gradoli indirizzato a un dirigente della questura di Roma poi risultato negli elenchi della P2. </w:t>
      </w:r>
      <w:r>
        <w:rPr>
          <w:rFonts w:ascii="Times New Roman" w:hAnsi="Times New Roman" w:cs="Times New Roman" w:eastAsia="Times New Roman"/>
          <w:b/>
          <w:sz w:val="24"/>
        </w:rPr>
        <w:t>Livello B</w:t>
      </w:r>
      <w:r>
        <w:rPr>
          <w:rFonts w:ascii="Times New Roman" w:hAnsi="Times New Roman" w:cs="Times New Roman" w:eastAsia="Times New Roman"/>
          <w:b w:val="0"/>
          <w:sz w:val="24"/>
        </w:rPr>
        <w:t>, da elevare o cassare su base documentale piena.</w:t>
      </w:r>
    </w:p>
    <w:p>
      <w:pPr>
        <w:spacing w:line="276" w:lineRule="auto"/>
        <w:ind w:firstLine="425"/>
        <w:jc w:val="both"/>
      </w:pPr>
      <w:r>
        <w:rPr>
          <w:rFonts w:ascii="Times New Roman" w:hAnsi="Times New Roman" w:cs="Times New Roman" w:eastAsia="Times New Roman"/>
          <w:b w:val="0"/>
          <w:sz w:val="24"/>
        </w:rPr>
        <w:t xml:space="preserve">Nodo diciassettesimo. Le condanne per gli omicidi delle Bestie di Satana — assise di Busto Arsizio trentuno gennaio duemilasei, appello di Milano quindici maggio duemilasette — sono definitive.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Lettura criminologica: droga e drammi personali più che struttura cultuale.</w:t>
      </w:r>
    </w:p>
    <w:p>
      <w:pPr>
        <w:spacing w:line="276" w:lineRule="auto"/>
        <w:ind w:firstLine="425"/>
        <w:jc w:val="both"/>
      </w:pPr>
      <w:r>
        <w:rPr>
          <w:rFonts w:ascii="Times New Roman" w:hAnsi="Times New Roman" w:cs="Times New Roman" w:eastAsia="Times New Roman"/>
          <w:b w:val="0"/>
          <w:sz w:val="24"/>
        </w:rPr>
        <w:t xml:space="preserve">Nodo diciottesimo. Le assoluzioni piene dei Bambini di Satana, con richiesta della stessa Procura generale in appello nel duemila e testimone principale dichiarata inattendibile, costituiscono il paradigma italiano del panico satanico.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Conseguenza vincolante: ogni tesi di regia satanico-esoterica priva di riscontro giudiziario o documentale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 </w:t>
      </w:r>
      <w:r>
        <w:rPr>
          <w:rFonts w:ascii="Times New Roman" w:hAnsi="Times New Roman" w:cs="Times New Roman" w:eastAsia="Times New Roman"/>
          <w:b/>
          <w:sz w:val="24"/>
        </w:rPr>
        <w:t>Stato Zero</w:t>
      </w:r>
      <w:r>
        <w:rPr>
          <w:rFonts w:ascii="Times New Roman" w:hAnsi="Times New Roman" w:cs="Times New Roman" w:eastAsia="Times New Roman"/>
          <w:b w:val="0"/>
          <w:sz w:val="24"/>
        </w:rPr>
        <w:t>.</w:t>
      </w:r>
    </w:p>
    <w:p>
      <w:pPr>
        <w:spacing w:line="276" w:lineRule="auto"/>
        <w:ind w:firstLine="425"/>
        <w:jc w:val="both"/>
      </w:pPr>
      <w:r>
        <w:rPr>
          <w:rFonts w:ascii="Times New Roman" w:hAnsi="Times New Roman" w:cs="Times New Roman" w:eastAsia="Times New Roman"/>
          <w:b w:val="0"/>
          <w:sz w:val="24"/>
        </w:rPr>
        <w:t xml:space="preserve">Nodo diciannovesimo. L'asse cattolico-integralista di Aginter — Guérin-Sérac fondamentalista cattolico, Ordre et Tradition, l'ambiente de La Cité Catholique di Ousset — regge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realizza la coppia rara Religione per Terrorismo; permane lo </w:t>
      </w:r>
      <w:r>
        <w:rPr>
          <w:rFonts w:ascii="Times New Roman" w:hAnsi="Times New Roman" w:cs="Times New Roman" w:eastAsia="Times New Roman"/>
          <w:b/>
          <w:sz w:val="24"/>
        </w:rPr>
        <w:t>Stato Zero</w:t>
      </w:r>
      <w:r>
        <w:rPr>
          <w:rFonts w:ascii="Times New Roman" w:hAnsi="Times New Roman" w:cs="Times New Roman" w:eastAsia="Times New Roman"/>
          <w:b w:val="0"/>
          <w:sz w:val="24"/>
        </w:rPr>
        <w:t xml:space="preserve"> sugli archivi statunitensi.</w:t>
      </w:r>
    </w:p>
    <w:p>
      <w:pPr>
        <w:spacing w:line="276" w:lineRule="auto"/>
        <w:jc w:val="left"/>
      </w:pPr>
      <w:r>
        <w:rPr>
          <w:rFonts w:ascii="Times New Roman" w:hAnsi="Times New Roman" w:cs="Times New Roman" w:eastAsia="Times New Roman"/>
          <w:b/>
          <w:sz w:val="24"/>
        </w:rPr>
        <w:t>Sintesi del dato nuovo acquisito</w:t>
      </w:r>
    </w:p>
    <w:p>
      <w:pPr>
        <w:spacing w:line="276" w:lineRule="auto"/>
        <w:ind w:firstLine="425"/>
        <w:jc w:val="both"/>
      </w:pPr>
      <w:r>
        <w:rPr>
          <w:rFonts w:ascii="Times New Roman" w:hAnsi="Times New Roman" w:cs="Times New Roman" w:eastAsia="Times New Roman"/>
          <w:b w:val="0"/>
          <w:sz w:val="24"/>
        </w:rPr>
        <w:t xml:space="preserve">La campagna consegna tre acquisizioni stabili. Primo: nella storia nera della Repubblica il sacro non opera come causa occulta ma in tre funzioni documentabili — breviario dottrinale che legittima la milizia, canale istituzionale che negozia nelle crisi, velo che scherma l'informazione — e ciascuna funzione è risultata gradabile con gli strumenti ordinari dell'opera. Secondo: i due casi giudiziari del satanismo, tenuti insieme, fondano la regola di ammissione del registro e il suo presidio contro il falso positivo. Terzo: la coppia rara Religione per Terrorismo possiede ora due realizzazioni gradate — l'asse integralista di Aginter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la mistica legionaria di Terza Posizione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come matrice culturale — mentre ogni regia esoterica unitaria resta, allo stato, </w:t>
      </w:r>
      <w:r>
        <w:rPr>
          <w:rFonts w:ascii="Times New Roman" w:hAnsi="Times New Roman" w:cs="Times New Roman" w:eastAsia="Times New Roman"/>
          <w:b/>
          <w:sz w:val="24"/>
        </w:rPr>
        <w:t>Stato Zero</w:t>
      </w:r>
      <w:r>
        <w:rPr>
          <w:rFonts w:ascii="Times New Roman" w:hAnsi="Times New Roman" w:cs="Times New Roman" w:eastAsia="Times New Roman"/>
          <w:b w:val="0"/>
          <w:sz w:val="24"/>
        </w:rPr>
        <w:t>.</w:t>
      </w:r>
    </w:p>
    <w:p>
      <w:pPr>
        <w:spacing w:line="276" w:lineRule="auto"/>
        <w:jc w:val="left"/>
      </w:pPr>
      <w:r>
        <w:rPr>
          <w:rFonts w:ascii="Times New Roman" w:hAnsi="Times New Roman" w:cs="Times New Roman" w:eastAsia="Times New Roman"/>
          <w:b/>
          <w:sz w:val="28"/>
        </w:rPr>
        <w:t>APPARATO — FONTI, STATO DEI BLOCCHI, DISCIPLINE E RISERVE</w:t>
      </w:r>
    </w:p>
    <w:p>
      <w:pPr>
        <w:spacing w:line="276" w:lineRule="auto"/>
        <w:ind w:firstLine="425"/>
        <w:jc w:val="both"/>
      </w:pPr>
      <w:r>
        <w:rPr>
          <w:rFonts w:ascii="Times New Roman" w:hAnsi="Times New Roman" w:cs="Times New Roman" w:eastAsia="Times New Roman"/>
          <w:b w:val="0"/>
          <w:sz w:val="24"/>
        </w:rPr>
        <w:t>Stato dei cinquanta blocchi richiesti. Nella presente sessione sono stati eseguiti, con ricerca sequenziale per singole interrogazioni come impone la regola permanente del progetto, sei blocchi di verifica primaria — Evola e il processo ai FAR; Terza Posizione e le traiettorie dei fondatori; la seduta di Zappolino; la lettera di Paolo VI e la provvista per il riscatto; Freda, il Gruppo di Ar e la sentenza del duemilacinque; il doppio polo del satanismo — cui si aggiungono i riporti già gradati della campagna Aginter sull'asse cattolico-integralista e sugli Stati Zero d'archivio. Ne risultano diciannove nodi gradati. I blocchi restanti — fra cui Hyperion e l'emendazione del toponimo parigino, l'ambiente esoterico interno a Ordine Nuovo, il filone dei presunti mandanti esoterici nei grandi delitti seriali, il versante vaticano ulteriore — procederanno per strati nelle sessioni successive, uno strato sostanziale per volta: dichiararli eseguiti in blocco sarebbe una finzione che il metodo vieta.</w:t>
      </w:r>
    </w:p>
    <w:p>
      <w:pPr>
        <w:spacing w:line="276" w:lineRule="auto"/>
        <w:ind w:firstLine="425"/>
        <w:jc w:val="both"/>
      </w:pPr>
      <w:r>
        <w:rPr>
          <w:rFonts w:ascii="Times New Roman" w:hAnsi="Times New Roman" w:cs="Times New Roman" w:eastAsia="Times New Roman"/>
          <w:b w:val="0"/>
          <w:sz w:val="24"/>
        </w:rPr>
        <w:t>Fonti esterne consultate nella sessione, con data di controllo ventuno agosto duemilaventisei: gli atti pubblicati dalla Santa Sede per il testo integrale della lettera di Paolo VI; le ricostruzioni di agenzia e di stampa sul riscatto fondate sulla testimonianza di monsignor Fabbri alla Commissione Moro; la documentazione della Commissione parlamentare d'inchiesta e della Commissione Stragi sull'episodio di Zappolino, per come riportata dalle ricostruzioni citate, con la lettera dei dodici e l'audizione Prodi; la storiografia accademica su Terza Posizione e sulla destra radicale, in primo luogo Franco Ferraresi per Princeton University Press; le biografie e gli atti sul processo ai FAR; la massima e i passaggi della sentenza della Cassazione n. 21998 del duemilacinque; le sentenze di assise e d'appello sul caso delle Bestie di Satana; la ricostruzione di Antonella Beccaria sul caso dei Bambini di Satana. Corpus interno del progetto attinto: la monografia Aginter Press già consegnata con le sue impronte; il corpus Moro del progetto; il dossier sui Maestri Cosmici quale registro comparato. Nessuna fonte vietata dal protocollo è stata impiegata.</w:t>
      </w:r>
    </w:p>
    <w:p>
      <w:pPr>
        <w:spacing w:line="276" w:lineRule="auto"/>
        <w:ind w:firstLine="425"/>
        <w:jc w:val="both"/>
      </w:pPr>
      <w:r>
        <w:rPr>
          <w:rFonts w:ascii="Times New Roman" w:hAnsi="Times New Roman" w:cs="Times New Roman" w:eastAsia="Times New Roman"/>
          <w:b w:val="0"/>
          <w:sz w:val="24"/>
        </w:rPr>
        <w:t>Disciplina delle persone viventi. Roberto Fiore, Gabriele Adinolfi e Franco Freda sono viventi: di ciascuno questo documento riporta esclusivamente fatti pubblici documentati con la relativa fonte — sentenze, atti, storiografia, memorialistica — nella formulazione giudizialmente esatta, inclusa l'estraneità di Fiore alla strage di Bologna e la coesistenza, per Freda, dell'assoluzione irrevocabile e dell'attribuzione della Cassazione del duemilacinque. Nessuna inferenza associativa ulteriore è autorizzata dal presente testo. Riserva permanente, in una riga: questo è un documento di lavoro non certificato nel senso legale; prima di qualunque diffusione pubblica è necessaria la verifica puntuale voce per voce e la revisione di un legale, valendo l'inquadramento su diffamazione e scriminanti già consegnato agli atti del progetto.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