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0"/>
        <w:ind w:firstLine="0"/>
        <w:jc w:val="center"/>
      </w:pPr>
      <w:r>
        <w:rPr>
          <w:rFonts w:ascii="Times New Roman" w:hAnsi="Times New Roman" w:cs="Times New Roman" w:eastAsia="Times New Roman"/>
          <w:b/>
          <w:sz w:val="24"/>
        </w:rPr>
        <w:t>ITALIA NERA</w:t>
      </w:r>
    </w:p>
    <w:p>
      <w:pPr>
        <w:spacing w:lineRule="auto" w:line="276" w:before="0" w:after="0"/>
        <w:ind w:firstLine="0"/>
        <w:jc w:val="center"/>
      </w:pPr>
    </w:p>
    <w:p>
      <w:pPr>
        <w:spacing w:lineRule="auto" w:line="276" w:before="0" w:after="0"/>
        <w:ind w:firstLine="0"/>
        <w:jc w:val="center"/>
      </w:pPr>
      <w:r>
        <w:rPr>
          <w:rFonts w:ascii="Times New Roman" w:hAnsi="Times New Roman" w:cs="Times New Roman" w:eastAsia="Times New Roman"/>
          <w:b/>
          <w:sz w:val="24"/>
        </w:rPr>
        <w:t>REGISTRO DI TRIANGOLAZIONE DEL CORPUS</w:t>
      </w:r>
    </w:p>
    <w:p>
      <w:pPr>
        <w:spacing w:lineRule="auto" w:line="276" w:before="0" w:after="0"/>
        <w:ind w:firstLine="0"/>
        <w:jc w:val="center"/>
      </w:pPr>
    </w:p>
    <w:p>
      <w:pPr>
        <w:spacing w:lineRule="auto" w:line="276" w:before="0" w:after="0"/>
        <w:ind w:firstLine="0"/>
        <w:jc w:val="center"/>
      </w:pPr>
      <w:r>
        <w:rPr>
          <w:rFonts w:ascii="Times New Roman" w:hAnsi="Times New Roman" w:cs="Times New Roman" w:eastAsia="Times New Roman"/>
          <w:sz w:val="24"/>
        </w:rPr>
        <w:t>«Spine, ambienti e Stati Zero»: incrocio analitico di diciannove ricognizioni storiografico-archivistiche</w:t>
      </w:r>
    </w:p>
    <w:p>
      <w:pPr>
        <w:spacing w:lineRule="auto" w:line="276" w:before="0" w:after="0"/>
        <w:ind w:firstLine="0"/>
        <w:jc w:val="center"/>
      </w:pPr>
    </w:p>
    <w:p>
      <w:pPr>
        <w:spacing w:lineRule="auto" w:line="276" w:before="0" w:after="0"/>
        <w:ind w:firstLine="0"/>
        <w:jc w:val="center"/>
      </w:pPr>
      <w:r>
        <w:rPr>
          <w:rFonts w:ascii="Times New Roman" w:hAnsi="Times New Roman" w:cs="Times New Roman" w:eastAsia="Times New Roman"/>
          <w:sz w:val="24"/>
        </w:rPr>
        <w:t>Ramo mediterraneo-ecclesiale, asse australe e ponte eversivo</w:t>
      </w:r>
    </w:p>
    <w:p>
      <w:pPr>
        <w:spacing w:lineRule="auto" w:line="276" w:before="0" w:after="0"/>
        <w:ind w:firstLine="0"/>
        <w:jc w:val="center"/>
      </w:pPr>
    </w:p>
    <w:p>
      <w:pPr>
        <w:spacing w:lineRule="auto" w:line="276" w:before="0" w:after="0"/>
        <w:ind w:firstLine="0"/>
        <w:jc w:val="center"/>
      </w:pPr>
    </w:p>
    <w:p>
      <w:pPr>
        <w:spacing w:lineRule="auto" w:line="276" w:before="0" w:after="0"/>
        <w:ind w:firstLine="0"/>
        <w:jc w:val="center"/>
      </w:pPr>
      <w:r>
        <w:rPr>
          <w:rFonts w:ascii="Times New Roman" w:hAnsi="Times New Roman" w:cs="Times New Roman" w:eastAsia="Times New Roman"/>
          <w:sz w:val="24"/>
        </w:rPr>
        <w:t>Luigi De Michele</w:t>
      </w:r>
    </w:p>
    <w:p>
      <w:pPr>
        <w:spacing w:lineRule="auto" w:line="276" w:before="0" w:after="0"/>
        <w:ind w:firstLine="0"/>
        <w:jc w:val="center"/>
      </w:pPr>
    </w:p>
    <w:p>
      <w:pPr>
        <w:spacing w:lineRule="auto" w:line="276" w:before="160" w:after="0"/>
        <w:ind w:firstLine="0"/>
        <w:jc w:val="left"/>
      </w:pPr>
      <w:r>
        <w:rPr>
          <w:rFonts w:ascii="Times New Roman" w:hAnsi="Times New Roman" w:cs="Times New Roman" w:eastAsia="Times New Roman"/>
          <w:sz w:val="24"/>
        </w:rPr>
        <w:t>Nota di edizione</w:t>
      </w:r>
    </w:p>
    <w:p>
      <w:pPr>
        <w:spacing w:lineRule="auto" w:line="276" w:before="0" w:after="0"/>
        <w:ind w:firstLine="425"/>
        <w:jc w:val="both"/>
      </w:pPr>
      <w:r>
        <w:rPr>
          <w:rFonts w:ascii="Times New Roman" w:hAnsi="Times New Roman" w:cs="Times New Roman" w:eastAsia="Times New Roman"/>
          <w:sz w:val="24"/>
        </w:rPr>
        <w:t xml:space="preserve">Questo registro triangola i diciannove documenti unici trasmessi dall’autore — riconosciuta ed espunta una sola coppia esattamente duplicata — senza ricorso ad alcuna fonte esterna: il materiale d’incrocio è il corpus stesso. La gradazione segue il Sistema Savona: </w:t>
      </w:r>
      <w:r>
        <w:rPr>
          <w:rFonts w:ascii="Times New Roman" w:hAnsi="Times New Roman" w:cs="Times New Roman" w:eastAsia="Times New Roman"/>
          <w:b/>
          <w:sz w:val="24"/>
        </w:rPr>
        <w:t>A</w:t>
      </w:r>
      <w:r>
        <w:rPr>
          <w:rFonts w:ascii="Times New Roman" w:hAnsi="Times New Roman" w:cs="Times New Roman" w:eastAsia="Times New Roman"/>
          <w:sz w:val="24"/>
        </w:rPr>
        <w:t xml:space="preserve"> indica il dato documentato da fonti coeve concordi, atti o sentenze; </w:t>
      </w:r>
      <w:r>
        <w:rPr>
          <w:rFonts w:ascii="Times New Roman" w:hAnsi="Times New Roman" w:cs="Times New Roman" w:eastAsia="Times New Roman"/>
          <w:b/>
          <w:sz w:val="24"/>
        </w:rPr>
        <w:t>B</w:t>
      </w:r>
      <w:r>
        <w:rPr>
          <w:rFonts w:ascii="Times New Roman" w:hAnsi="Times New Roman" w:cs="Times New Roman" w:eastAsia="Times New Roman"/>
          <w:sz w:val="24"/>
        </w:rPr>
        <w:t xml:space="preserve"> il dato indiziario o desumibile da fonte unica di alta affidabilità; </w:t>
      </w:r>
      <w:r>
        <w:rPr>
          <w:rFonts w:ascii="Times New Roman" w:hAnsi="Times New Roman" w:cs="Times New Roman" w:eastAsia="Times New Roman"/>
          <w:b/>
          <w:sz w:val="24"/>
        </w:rPr>
        <w:t>C</w:t>
      </w:r>
      <w:r>
        <w:rPr>
          <w:rFonts w:ascii="Times New Roman" w:hAnsi="Times New Roman" w:cs="Times New Roman" w:eastAsia="Times New Roman"/>
          <w:sz w:val="24"/>
        </w:rPr>
        <w:t xml:space="preserve"> l’ipotesi da verificare; la formula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registra le assenze accertate e gli errori come risultati di primo ordine. Si osservano i divieti metodologici propri delle ricognizioni triangolate: non trattare la contemporaneità cronologica come prova di nesso; non trattare l’appartenenza a una medesima organizzazione ombrello come prova di un rapporto operativo; far gravare l’onere della prova su chi afferma la connessione, sicché una connessione non documentata è, ai fini del registro, inesistente. La triangolazione non procede documento per documento, ma per snodi di connessione, che è il modo in cui il corpus si tiene insieme.</w:t>
      </w:r>
    </w:p>
    <w:p>
      <w:pPr>
        <w:spacing w:lineRule="auto" w:line="276" w:before="160" w:after="0"/>
        <w:ind w:firstLine="0"/>
        <w:jc w:val="left"/>
      </w:pPr>
      <w:r>
        <w:rPr>
          <w:rFonts w:ascii="Times New Roman" w:hAnsi="Times New Roman" w:cs="Times New Roman" w:eastAsia="Times New Roman"/>
          <w:sz w:val="24"/>
        </w:rPr>
        <w:t>Parte I — Impianto e spina moroteo</w:t>
      </w:r>
    </w:p>
    <w:p>
      <w:pPr>
        <w:spacing w:lineRule="auto" w:line="276" w:before="120" w:after="0"/>
        <w:ind w:firstLine="0"/>
        <w:jc w:val="left"/>
      </w:pPr>
      <w:r>
        <w:rPr>
          <w:rFonts w:ascii="Times New Roman" w:hAnsi="Times New Roman" w:cs="Times New Roman" w:eastAsia="Times New Roman"/>
          <w:sz w:val="24"/>
        </w:rPr>
        <w:t>Capitolo I — L’oggetto della triangolazione e il risultato dominante</w:t>
      </w:r>
    </w:p>
    <w:p>
      <w:pPr>
        <w:spacing w:lineRule="auto" w:line="276" w:before="0" w:after="0"/>
        <w:ind w:firstLine="425"/>
        <w:jc w:val="both"/>
      </w:pPr>
      <w:r>
        <w:rPr>
          <w:rFonts w:ascii="Times New Roman" w:hAnsi="Times New Roman" w:cs="Times New Roman" w:eastAsia="Times New Roman"/>
          <w:sz w:val="24"/>
        </w:rPr>
        <w:t xml:space="preserve">Il termine di triangolazione ricorrente nell’intero fascio è </w:t>
      </w:r>
      <w:r>
        <w:rPr>
          <w:rFonts w:ascii="Times New Roman" w:hAnsi="Times New Roman" w:cs="Times New Roman" w:eastAsia="Times New Roman"/>
          <w:b/>
          <w:sz w:val="24"/>
        </w:rPr>
        <w:t>Aldo Moro Ministro degli Affari Esteri (1969-1974)</w:t>
      </w:r>
      <w:r>
        <w:rPr>
          <w:rFonts w:ascii="Times New Roman" w:hAnsi="Times New Roman" w:cs="Times New Roman" w:eastAsia="Times New Roman"/>
          <w:sz w:val="24"/>
        </w:rPr>
        <w:t>, presente in tredici delle diciannove ricognizioni. Attorno a questa spina si dispongono tre macro-cluster: l’asse australe, che tratta il Sudafrica dell’apartheid e la Namibia, le forniture militari e la condotta italiana alle Nazioni Unite; il fascio mediterraneo-ecclesiale, che segue l’Opus Dei e la Santa Sede fra Germania, Portogallo, Grecia e Turchia; e il ponte eversivo, che ha per oggetto Aginter Press e Franz Josef Strauß. I tre cluster sono saldati da un pugno di nodi comuni: la Santa Sede di Paolo VI, il Portogallo dell’Estado Novo con la polizia politica PIDE-DGS, i servizi d’intelligence (CIA, BND-Organizzazione Gehlen, BOSS sudafricano, KYP greco) e la famiglia democristiana europea riunita nell’Unione Europea Democristiana.</w:t>
      </w:r>
    </w:p>
    <w:p>
      <w:pPr>
        <w:spacing w:lineRule="auto" w:line="276" w:before="0" w:after="0"/>
        <w:ind w:firstLine="425"/>
        <w:jc w:val="both"/>
      </w:pPr>
      <w:r>
        <w:rPr>
          <w:rFonts w:ascii="Times New Roman" w:hAnsi="Times New Roman" w:cs="Times New Roman" w:eastAsia="Times New Roman"/>
          <w:sz w:val="24"/>
        </w:rPr>
        <w:t xml:space="preserve">Il risultato che l’incrocio produce non è un legame nascosto, ma il suo contrario. Applicato con coerenza alla disciplina probatoria dichiarata, il corpus converge su uno </w:t>
      </w:r>
      <w:r>
        <w:rPr>
          <w:rFonts w:ascii="Times New Roman" w:hAnsi="Times New Roman" w:cs="Times New Roman" w:eastAsia="Times New Roman"/>
          <w:b/>
          <w:sz w:val="24"/>
        </w:rPr>
        <w:t>Stato Zero sistematico</w:t>
      </w:r>
      <w:r>
        <w:rPr>
          <w:rFonts w:ascii="Times New Roman" w:hAnsi="Times New Roman" w:cs="Times New Roman" w:eastAsia="Times New Roman"/>
          <w:sz w:val="24"/>
        </w:rPr>
        <w:t xml:space="preserve"> dei nessi diretti personalmente riferibili a Moro, mentre il tessuto connettivo reale risulta ovunque istituzionale e d’ambiente — la stessa Roma, la stessa famiglia democristiana, la stessa cornice atlantica — e non operativo. Questa è l’architettura che il registro documenta: una rete a spine e ambienti, non una catena occulta unificata. Ogni capitolo della Parte II isola uno snodo e ne gradua gli archi; la Parte III raccoglie le due sole acquisizioni di primo ordine che l’incrocio impone all’attenzione dell’autore — una contraddizione interna al corpus e una prova popperiana sull’ipotesi-madre del progetto.</w:t>
      </w:r>
    </w:p>
    <w:p>
      <w:pPr>
        <w:spacing w:lineRule="auto" w:line="276" w:before="120" w:after="0"/>
        <w:ind w:firstLine="0"/>
        <w:jc w:val="left"/>
      </w:pPr>
      <w:r>
        <w:rPr>
          <w:rFonts w:ascii="Times New Roman" w:hAnsi="Times New Roman" w:cs="Times New Roman" w:eastAsia="Times New Roman"/>
          <w:sz w:val="24"/>
        </w:rPr>
        <w:t>Capitolo II — La spina moroteo e la lezione del «silenzio dello Stato»</w:t>
      </w:r>
    </w:p>
    <w:p>
      <w:pPr>
        <w:spacing w:lineRule="auto" w:line="276" w:before="0" w:after="0"/>
        <w:ind w:firstLine="425"/>
        <w:jc w:val="both"/>
      </w:pPr>
      <w:r>
        <w:rPr>
          <w:rFonts w:ascii="Times New Roman" w:hAnsi="Times New Roman" w:cs="Times New Roman" w:eastAsia="Times New Roman"/>
          <w:sz w:val="24"/>
        </w:rPr>
        <w:t xml:space="preserve">Su ogni oggetto secondario — Opus Dei, Christlich-Soziale Union, apartheid, dossier coloniale portoghese, Aginter Press — le ricognizioni convergono nel dichiarare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il nesso personale con Moro: nessun documento lo collega all’Opus Dei in alcuna veste, né alla questione sudafricana o namibiana, né a un asse con la CSU o con Strauß, né a un incontro bilaterale con quest’ultimo nel periodo 1969-1974. La ragione strutturale è ricorrente e coerente: un ministro degli Esteri tratta con governi e con ministri di controparte, non con partiti d’opposizione stranieri, sicché gli interlocutori istituzionali di Moro furono Brandt e Scheel, non gli esponenti bavaresi, e l’Africa australe era estranea alle sue priorità dichiarate — Mediterraneo, mondo arabo, alleanza atlantica, integrazione europea.</w:t>
      </w:r>
    </w:p>
    <w:p>
      <w:pPr>
        <w:spacing w:lineRule="auto" w:line="276" w:before="0" w:after="0"/>
        <w:ind w:firstLine="425"/>
        <w:jc w:val="both"/>
      </w:pPr>
      <w:r>
        <w:rPr>
          <w:rFonts w:ascii="Times New Roman" w:hAnsi="Times New Roman" w:cs="Times New Roman" w:eastAsia="Times New Roman"/>
          <w:sz w:val="24"/>
        </w:rPr>
        <w:t xml:space="preserve">La ricognizione sul caso libico introduce però la correzione che tiene insieme l’intero fascio e che vincola l’interpretazione di tutti gli Stati Zero morotei. Dove esistono studi fondati sull’archivio diplomatico — Libia 1970-1971, con la gestione dell’esodo, il canale con Tripoli e la scelta delle compensazioni economiche indirette; Cina; Osimo; Helsinki — l’azione di Moro </w:t>
      </w:r>
      <w:r>
        <w:rPr>
          <w:rFonts w:ascii="Times New Roman" w:hAnsi="Times New Roman" w:cs="Times New Roman" w:eastAsia="Times New Roman"/>
          <w:b/>
          <w:sz w:val="24"/>
        </w:rPr>
        <w:t>emerge</w:t>
      </w:r>
      <w:r>
        <w:rPr>
          <w:rFonts w:ascii="Times New Roman" w:hAnsi="Times New Roman" w:cs="Times New Roman" w:eastAsia="Times New Roman"/>
          <w:sz w:val="24"/>
        </w:rPr>
        <w:t xml:space="preserve"> e va graduata </w:t>
      </w:r>
      <w:r>
        <w:rPr>
          <w:rFonts w:ascii="Times New Roman" w:hAnsi="Times New Roman" w:cs="Times New Roman" w:eastAsia="Times New Roman"/>
          <w:b/>
          <w:sz w:val="24"/>
        </w:rPr>
        <w:t>A</w:t>
      </w:r>
      <w:r>
        <w:rPr>
          <w:rFonts w:ascii="Times New Roman" w:hAnsi="Times New Roman" w:cs="Times New Roman" w:eastAsia="Times New Roman"/>
          <w:sz w:val="24"/>
        </w:rPr>
        <w:t>. Dove tali studi mancano, il silenzio è in parte archivistico e non comportamentale, aggravato dal fatto che la collana dei Documenti Diplomatici Italiani non ha raggiunto gli anni Sessanta-Settanta e che le serie della Farnesina posteriori al 1949 hanno consultabilità condizionata. Ne discende un rilievo di secondo ordine che governa l’intero registro: i molti Stato Zero personali riferiti a Moro misurano, in parte, l’assenza di studi più che l’assenza di atti, e vanno perciò dichiarati come esiti negativi di pieno valore ma soggetti a revisione qualora si aprissero le sedi archivistiche competenti.</w:t>
      </w:r>
    </w:p>
    <w:p>
      <w:pPr>
        <w:spacing w:lineRule="auto" w:line="276" w:before="160" w:after="0"/>
        <w:ind w:firstLine="0"/>
        <w:jc w:val="left"/>
      </w:pPr>
      <w:r>
        <w:rPr>
          <w:rFonts w:ascii="Times New Roman" w:hAnsi="Times New Roman" w:cs="Times New Roman" w:eastAsia="Times New Roman"/>
          <w:sz w:val="24"/>
        </w:rPr>
        <w:t>Parte II — I sette nodi della rete documentale</w:t>
      </w:r>
    </w:p>
    <w:p>
      <w:pPr>
        <w:spacing w:lineRule="auto" w:line="276" w:before="120" w:after="0"/>
        <w:ind w:firstLine="0"/>
        <w:jc w:val="left"/>
      </w:pPr>
      <w:r>
        <w:rPr>
          <w:rFonts w:ascii="Times New Roman" w:hAnsi="Times New Roman" w:cs="Times New Roman" w:eastAsia="Times New Roman"/>
          <w:sz w:val="24"/>
        </w:rPr>
        <w:t>Capitolo III — Nodo B: la Santa Sede interlocutrice comune</w:t>
      </w:r>
    </w:p>
    <w:p>
      <w:pPr>
        <w:spacing w:lineRule="auto" w:line="276" w:before="0" w:after="0"/>
        <w:ind w:firstLine="425"/>
        <w:jc w:val="both"/>
      </w:pPr>
      <w:r>
        <w:rPr>
          <w:rFonts w:ascii="Times New Roman" w:hAnsi="Times New Roman" w:cs="Times New Roman" w:eastAsia="Times New Roman"/>
          <w:sz w:val="24"/>
        </w:rPr>
        <w:t xml:space="preserve">Il Vaticano di Paolo VI è il vero nodo di intermediazione del fascio, quello con la più alta centralità di betweenness: interlocutore comune di Portogallo e Italia sul dossier coloniale; protagonista del ridisegno diocesano oltre la linea Oder-Neisse con le costituzioni apostoliche del 28 giugno 1972; soggetto che tenne il Sudafrica dell’apartheid a distanza diplomatica per l’intera durata del regime, stabilendo relazioni piene soltanto il 15 giugno 1994 con Giovanni Paolo II e Nelson Mandela ed erigendo la nunziatura di Pretoria il 25 giugno 1994, dopo aver mantenuto per decenni la sola delegazione apostolica istituita il 7 dicembre 1922; e soggetto che escluse deliberatamente Pretoria dal viaggio pontificio del settembre 1988. La condanna cattolica dell’apartheid fu precoce e ferma sul piano magisteriale — episcopato locale dal 1957, Paolo VI, Giovanni Paolo II — ma diplomaticamente la Santa Sede tenne il regime a distanza, e questo doppio registro, magisteriale e diplomatico, è esso stesso un dato di </w:t>
      </w:r>
      <w:r>
        <w:rPr>
          <w:rFonts w:ascii="Times New Roman" w:hAnsi="Times New Roman" w:cs="Times New Roman" w:eastAsia="Times New Roman"/>
          <w:b/>
          <w:sz w:val="24"/>
        </w:rPr>
        <w:t>A</w:t>
      </w:r>
      <w:r>
        <w:rPr>
          <w:rFonts w:ascii="Times New Roman" w:hAnsi="Times New Roman" w:cs="Times New Roman" w:eastAsia="Times New Roman"/>
          <w:sz w:val="24"/>
        </w:rPr>
        <w:t>.</w:t>
      </w:r>
    </w:p>
    <w:p>
      <w:pPr>
        <w:spacing w:lineRule="auto" w:line="276" w:before="0" w:after="0"/>
        <w:ind w:firstLine="425"/>
        <w:jc w:val="both"/>
      </w:pPr>
      <w:r>
        <w:rPr>
          <w:rFonts w:ascii="Times New Roman" w:hAnsi="Times New Roman" w:cs="Times New Roman" w:eastAsia="Times New Roman"/>
          <w:sz w:val="24"/>
        </w:rPr>
        <w:t>Qui la triangolazione fa emergere una contraddizione interna al corpus, che il registro anticipa e che la Parte III scioglie: la ricognizione sulle due Germanie afferma l’esistenza di una documentazione che attesterebbe il nesso, e non la sola prossimità, fra la ratifica del Trattato di Varsavia e l’atto pontificio del 28 giugno 1972; la ricognizione dedicata alla comunicazione vaticana di quello stesso giorno falsifica invece la tesi che vi sia un richiamo espresso al trattato. Il limite che pesa su ogni conclusione relativa alle intenzioni della Santa Sede è dichiarato e insuperabile allo stato: l’Archivio Apostolico Vaticano è chiuso oltre l’ottobre 1958, sicché ogni lettura delle intenzioni resta inferenza e non accertamento.</w:t>
      </w:r>
    </w:p>
    <w:p>
      <w:pPr>
        <w:spacing w:lineRule="auto" w:line="276" w:before="120" w:after="0"/>
        <w:ind w:firstLine="0"/>
        <w:jc w:val="left"/>
      </w:pPr>
      <w:r>
        <w:rPr>
          <w:rFonts w:ascii="Times New Roman" w:hAnsi="Times New Roman" w:cs="Times New Roman" w:eastAsia="Times New Roman"/>
          <w:sz w:val="24"/>
        </w:rPr>
        <w:t>Capitolo IV — Nodo C: l’Opus Dei come oggetto strutturale autonomo</w:t>
      </w:r>
    </w:p>
    <w:p>
      <w:pPr>
        <w:spacing w:lineRule="auto" w:line="276" w:before="0" w:after="0"/>
        <w:ind w:firstLine="425"/>
        <w:jc w:val="both"/>
      </w:pPr>
      <w:r>
        <w:rPr>
          <w:rFonts w:ascii="Times New Roman" w:hAnsi="Times New Roman" w:cs="Times New Roman" w:eastAsia="Times New Roman"/>
          <w:sz w:val="24"/>
        </w:rPr>
        <w:t xml:space="preserve">Sette ricognizioni sottopongono a prova un modello bipartito: l’ente si radica dove coesistono una maggioranza cattolica della popolazione e un ceto universitario e professionale cattolico autoctono; dove tale ceto manca, l’ente si insedia per trapianto di personale e non si radica; il diagnostico che distingue radicamento e trapianto è la provenienza dei numerari. L’incrocio dei casi mostra un oggetto che vive indipendentemente da Moro. Il caso tedesco, con l’inizio del lavoro stabile nel 1952, </w:t>
      </w:r>
      <w:r>
        <w:rPr>
          <w:rFonts w:ascii="Times New Roman" w:hAnsi="Times New Roman" w:cs="Times New Roman" w:eastAsia="Times New Roman"/>
          <w:b/>
          <w:sz w:val="24"/>
        </w:rPr>
        <w:t>falsifica con certezza documentale</w:t>
      </w:r>
      <w:r>
        <w:rPr>
          <w:rFonts w:ascii="Times New Roman" w:hAnsi="Times New Roman" w:cs="Times New Roman" w:eastAsia="Times New Roman"/>
          <w:sz w:val="24"/>
        </w:rPr>
        <w:t xml:space="preserve"> la prima condizione, poiché la Repubblica Federale era a maggioranza relativa protestante, ma </w:t>
      </w:r>
      <w:r>
        <w:rPr>
          <w:rFonts w:ascii="Times New Roman" w:hAnsi="Times New Roman" w:cs="Times New Roman" w:eastAsia="Times New Roman"/>
          <w:b/>
          <w:sz w:val="24"/>
        </w:rPr>
        <w:t>conferma pienamente</w:t>
      </w:r>
      <w:r>
        <w:rPr>
          <w:rFonts w:ascii="Times New Roman" w:hAnsi="Times New Roman" w:cs="Times New Roman" w:eastAsia="Times New Roman"/>
          <w:sz w:val="24"/>
        </w:rPr>
        <w:t xml:space="preserve"> la seconda, essendovi un milieu cattolico socialmente organizzato; i casi turco e greco confermano il modello per assenza, mancando in entrambi tanto la maggioranza cattolica quanto il ceto professionale cattolico, e infatti l’ente non vi ha presenza. Il Portogallo presenta un insediamento reale — dal 5 febbraio 1945, su sollecitazione riconducibile a suor Lúcia di Fátima — ma privo del ruolo tecnocratico-governativo che l’ente ebbe in Spagna, e per di più sorvegliato per decenni dalla PIDE-DGS nel sospetto, mai provato, di una cospirazione.</w:t>
      </w:r>
    </w:p>
    <w:p>
      <w:pPr>
        <w:spacing w:lineRule="auto" w:line="276" w:before="0" w:after="0"/>
        <w:ind w:firstLine="425"/>
        <w:jc w:val="both"/>
      </w:pPr>
      <w:r>
        <w:rPr>
          <w:rFonts w:ascii="Times New Roman" w:hAnsi="Times New Roman" w:cs="Times New Roman" w:eastAsia="Times New Roman"/>
          <w:sz w:val="24"/>
        </w:rPr>
        <w:t xml:space="preserve">Il test di falsificazione sui sette casi extraeuropei riporta le complicazioni anziché appianarle e ribadisce che il caso tedesco falsifica la sola prima condizione, non la proposizione congiunta, la cui verifica resta affidata ai casi non ancora studiati. Sul piano della triangolazione con la spina moroteo l’esito è univoco: il nesso Moro-Opus Dei è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in ogni Paese esaminato — Germania, Portogallo, Grecia, Turchia — e negativa è anche la ricerca nei documenti statunitensi desecretati, dove per il Portogallo non esiste alcun analogo del rapporto CIA del 22 maggio 1970 sul gabinetto franchista. L’Opus Dei resta dunque una regolarità empirica autonoma, saldata al fascio solo dall’ambiente cattolico e dalla mediazione della Santa Sede, non da un arco operativo con il ministro.</w:t>
      </w:r>
    </w:p>
    <w:p>
      <w:pPr>
        <w:spacing w:lineRule="auto" w:line="276" w:before="120" w:after="0"/>
        <w:ind w:firstLine="0"/>
        <w:jc w:val="left"/>
      </w:pPr>
      <w:r>
        <w:rPr>
          <w:rFonts w:ascii="Times New Roman" w:hAnsi="Times New Roman" w:cs="Times New Roman" w:eastAsia="Times New Roman"/>
          <w:sz w:val="24"/>
        </w:rPr>
        <w:t>Capitolo V — Nodo D: Aginter Press, lo scarto fra canale informativo e canale diplomatico</w:t>
      </w:r>
    </w:p>
    <w:p>
      <w:pPr>
        <w:spacing w:lineRule="auto" w:line="276" w:before="0" w:after="0"/>
        <w:ind w:firstLine="425"/>
        <w:jc w:val="both"/>
      </w:pPr>
      <w:r>
        <w:rPr>
          <w:rFonts w:ascii="Times New Roman" w:hAnsi="Times New Roman" w:cs="Times New Roman" w:eastAsia="Times New Roman"/>
          <w:sz w:val="24"/>
        </w:rPr>
        <w:t xml:space="preserve">Aginter Press e Yves Guérin-Sérac — pseudonimo di Yves Guillou, ex ufficiale dell’11ème Demi-Brigade Parachutiste du Choc e membro fondatore dell’Organisation Armée Secrète, attivo a Lisbona dal settembre 1966 all’aprile 1974 sotto la protezione della PIDE-DGS — sono il ponte fra la strategia della tensione e l’asse autoritario iberico-lusitano. L’incrocio delle ricognizioni pertinenti fissa quattro gradi distinti e non confondibili. È di grado </w:t>
      </w:r>
      <w:r>
        <w:rPr>
          <w:rFonts w:ascii="Times New Roman" w:hAnsi="Times New Roman" w:cs="Times New Roman" w:eastAsia="Times New Roman"/>
          <w:b/>
          <w:sz w:val="24"/>
        </w:rPr>
        <w:t>A/B</w:t>
      </w:r>
      <w:r>
        <w:rPr>
          <w:rFonts w:ascii="Times New Roman" w:hAnsi="Times New Roman" w:cs="Times New Roman" w:eastAsia="Times New Roman"/>
          <w:sz w:val="24"/>
        </w:rPr>
        <w:t xml:space="preserve"> il canale informativo e giudiziario italiano: l’appunto del servizio informativo militare del 16 dicembre 1969, conservato nel fascicolo intestato a Guérin-Sérac, che indicò la pista quattro giorni dopo Piazza Fontana; l’ordinanza del giudice istruttore Guido Salvini del 18 marzo 1995, che qualifica «assai probabile», non «accertato», l’intervento di Aginter sul piano dell’ispirazione e in parte su quello operativo; l’incontro fra Guérin-Sérac e Pino Rauti a Roma nel gennaio 1968, organizzato dall’informatore del Ministero dell’Interno Armando Mortilla, alias ARISTO.</w:t>
      </w:r>
    </w:p>
    <w:p>
      <w:pPr>
        <w:spacing w:lineRule="auto" w:line="276" w:before="0" w:after="0"/>
        <w:ind w:firstLine="425"/>
        <w:jc w:val="both"/>
      </w:pPr>
      <w:r>
        <w:rPr>
          <w:rFonts w:ascii="Times New Roman" w:hAnsi="Times New Roman" w:cs="Times New Roman" w:eastAsia="Times New Roman"/>
          <w:sz w:val="24"/>
        </w:rPr>
        <w:t xml:space="preserve">È di grado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il canale diplomatico italiano: benché la Repubblica mantenesse a Lisbona un’ambasciata funzionante e una rete consolare per l’intero periodo di attività di Aginter, di una circolazione del nome Guérin-Sérac per il canale diplomatico non esiste, allo stato, alcuna traccia; e lo scarto fra il canale informativo, che nominò quel nome, e il canale diplomatico, che tace, è esso stesso il risultato principale di quella ricognizione. È di </w:t>
      </w:r>
      <w:r>
        <w:rPr>
          <w:rFonts w:ascii="Times New Roman" w:hAnsi="Times New Roman" w:cs="Times New Roman" w:eastAsia="Times New Roman"/>
          <w:b/>
          <w:sz w:val="24"/>
        </w:rPr>
        <w:t>grado medio</w:t>
      </w:r>
      <w:r>
        <w:rPr>
          <w:rFonts w:ascii="Times New Roman" w:hAnsi="Times New Roman" w:cs="Times New Roman" w:eastAsia="Times New Roman"/>
          <w:sz w:val="24"/>
        </w:rPr>
        <w:t xml:space="preserve"> il solo legame tedesco che regga, quello con il BND o Organizzazione Gehlen, noto per fonte secondaria — la ricostruzione di Stuart Christie del 1984 ripresa dalla saggistica — e privo di segnatura archivistica primaria. È infine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il nesso con la CSU, la Hanns-Seidel-Stiftung o Strauß. Un solo filo, di grado medio e per fonte secondaria, connette questo nodo al cluster australe: nella lista dei servizi che si sarebbero avvalsi dell’ufficio di spionaggio di Aginter compare, accanto a CIA, Dirección General de Seguridad spagnola e KYP greco, anche il </w:t>
      </w:r>
      <w:r>
        <w:rPr>
          <w:rFonts w:ascii="Times New Roman" w:hAnsi="Times New Roman" w:cs="Times New Roman" w:eastAsia="Times New Roman"/>
          <w:b/>
          <w:sz w:val="24"/>
        </w:rPr>
        <w:t>BOSS</w:t>
      </w:r>
      <w:r>
        <w:rPr>
          <w:rFonts w:ascii="Times New Roman" w:hAnsi="Times New Roman" w:cs="Times New Roman" w:eastAsia="Times New Roman"/>
          <w:sz w:val="24"/>
        </w:rPr>
        <w:t xml:space="preserve"> sudafricano.</w:t>
      </w:r>
    </w:p>
    <w:p>
      <w:pPr>
        <w:spacing w:lineRule="auto" w:line="276" w:before="120" w:after="0"/>
        <w:ind w:firstLine="0"/>
        <w:jc w:val="left"/>
      </w:pPr>
      <w:r>
        <w:rPr>
          <w:rFonts w:ascii="Times New Roman" w:hAnsi="Times New Roman" w:cs="Times New Roman" w:eastAsia="Times New Roman"/>
          <w:sz w:val="24"/>
        </w:rPr>
        <w:t>Capitolo VI — Nodo E: Strauß e la CSU, attore autonomo e non anello di una catena occulta</w:t>
      </w:r>
    </w:p>
    <w:p>
      <w:pPr>
        <w:spacing w:lineRule="auto" w:line="276" w:before="0" w:after="0"/>
        <w:ind w:firstLine="425"/>
        <w:jc w:val="both"/>
      </w:pPr>
      <w:r>
        <w:rPr>
          <w:rFonts w:ascii="Times New Roman" w:hAnsi="Times New Roman" w:cs="Times New Roman" w:eastAsia="Times New Roman"/>
          <w:sz w:val="24"/>
        </w:rPr>
        <w:t xml:space="preserve">Le due ricognizioni su Franz Josef Strauß convergono in uno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sul nesso Aginter-CSU. La sola affermazione contraria — quella dei giornalisti Egmont Koch e Oliver Schröm nel documentario ZDF del 16 febbraio 2000, che riferisce contatti fra agenti di Aginter e Marcel Hepp, referente personale di Strauß — poggia esclusivamente su quel documentario e va qualificata come </w:t>
      </w:r>
      <w:r>
        <w:rPr>
          <w:rFonts w:ascii="Times New Roman" w:hAnsi="Times New Roman" w:cs="Times New Roman" w:eastAsia="Times New Roman"/>
          <w:b/>
          <w:sz w:val="24"/>
        </w:rPr>
        <w:t>tesi non sostenuta</w:t>
      </w:r>
      <w:r>
        <w:rPr>
          <w:rFonts w:ascii="Times New Roman" w:hAnsi="Times New Roman" w:cs="Times New Roman" w:eastAsia="Times New Roman"/>
          <w:sz w:val="24"/>
        </w:rPr>
        <w:t>; e il silenzio della biografia di Horst Möller edita da Piper nel 2015, fondata sull’accesso completo al lascito Strauß conservato nell’archivio della Hanns-Seidel-Stiftung, è un dato probatorio di primaria importanza, perché la sede più probabile di un eventuale nesso è precisamente quel lascito, e l’opera che lo ha scandagliato tace.</w:t>
      </w:r>
    </w:p>
    <w:p>
      <w:pPr>
        <w:spacing w:lineRule="auto" w:line="276" w:before="0" w:after="0"/>
        <w:ind w:firstLine="425"/>
        <w:jc w:val="both"/>
      </w:pPr>
      <w:r>
        <w:rPr>
          <w:rFonts w:ascii="Times New Roman" w:hAnsi="Times New Roman" w:cs="Times New Roman" w:eastAsia="Times New Roman"/>
          <w:sz w:val="24"/>
        </w:rPr>
        <w:t>Ciò che le fonti documentano è un uomo di governo dalla propria, spregiudicata politica estera, non un cospiratore internazionale: i colloqui con Pinochet nel novembre 1977 (</w:t>
      </w:r>
      <w:r>
        <w:rPr>
          <w:rFonts w:ascii="Times New Roman" w:hAnsi="Times New Roman" w:cs="Times New Roman" w:eastAsia="Times New Roman"/>
          <w:b/>
          <w:sz w:val="24"/>
        </w:rPr>
        <w:t>A</w:t>
      </w:r>
      <w:r>
        <w:rPr>
          <w:rFonts w:ascii="Times New Roman" w:hAnsi="Times New Roman" w:cs="Times New Roman" w:eastAsia="Times New Roman"/>
          <w:sz w:val="24"/>
        </w:rPr>
        <w:t>), con la precisazione che la presunta visita alla Colonia Dignidad non ebbe mai luogo né fu mai in programma; i buoni rapporti con Stroessner; il coinvolgimento nella fornitura mimetizzata di sommergibili al Sudafrica di Botha negli anni 1984-1986, su cui circolarono voci di provvigioni qualificate come tali (</w:t>
      </w:r>
      <w:r>
        <w:rPr>
          <w:rFonts w:ascii="Times New Roman" w:hAnsi="Times New Roman" w:cs="Times New Roman" w:eastAsia="Times New Roman"/>
          <w:b/>
          <w:sz w:val="24"/>
        </w:rPr>
        <w:t>B</w:t>
      </w:r>
      <w:r>
        <w:rPr>
          <w:rFonts w:ascii="Times New Roman" w:hAnsi="Times New Roman" w:cs="Times New Roman" w:eastAsia="Times New Roman"/>
          <w:sz w:val="24"/>
        </w:rPr>
        <w:t>); il credito miliardario alla Repubblica Democratica Tedesca del 1° luglio 1983, mediato con Alexander Schalck-Golodkowski e documentato dal Bundesarchiv (</w:t>
      </w:r>
      <w:r>
        <w:rPr>
          <w:rFonts w:ascii="Times New Roman" w:hAnsi="Times New Roman" w:cs="Times New Roman" w:eastAsia="Times New Roman"/>
          <w:b/>
          <w:sz w:val="24"/>
        </w:rPr>
        <w:t>A</w:t>
      </w:r>
      <w:r>
        <w:rPr>
          <w:rFonts w:ascii="Times New Roman" w:hAnsi="Times New Roman" w:cs="Times New Roman" w:eastAsia="Times New Roman"/>
          <w:sz w:val="24"/>
        </w:rPr>
        <w:t>); l’affare Spiegel dell’ottobre 1962, il cui unico canale verso un apparato di polizia iberico passò per l’addetto militare tedesco a Madrid, colonnello Achim Oster, e non per i servizi franchisti (</w:t>
      </w:r>
      <w:r>
        <w:rPr>
          <w:rFonts w:ascii="Times New Roman" w:hAnsi="Times New Roman" w:cs="Times New Roman" w:eastAsia="Times New Roman"/>
          <w:b/>
          <w:sz w:val="24"/>
        </w:rPr>
        <w:t>A</w:t>
      </w:r>
      <w:r>
        <w:rPr>
          <w:rFonts w:ascii="Times New Roman" w:hAnsi="Times New Roman" w:cs="Times New Roman" w:eastAsia="Times New Roman"/>
          <w:sz w:val="24"/>
        </w:rPr>
        <w:t xml:space="preserve">). Il suo unico incontro diretto con un ministro italiano documentato è il progetto nucleare trilaterale del 1957-1958 con Paolo Emilio Taviani, terreno interamente atlantico, anteriore di otto anni ad Aginter ed estraneo a Moro. Strauß è dunque un nodo ad alto grado i cui archi verso Aginter e verso Moro sono entrambi </w:t>
      </w:r>
      <w:r>
        <w:rPr>
          <w:rFonts w:ascii="Times New Roman" w:hAnsi="Times New Roman" w:cs="Times New Roman" w:eastAsia="Times New Roman"/>
          <w:b/>
          <w:sz w:val="24"/>
        </w:rPr>
        <w:t>Stato Zero</w:t>
      </w:r>
      <w:r>
        <w:rPr>
          <w:rFonts w:ascii="Times New Roman" w:hAnsi="Times New Roman" w:cs="Times New Roman" w:eastAsia="Times New Roman"/>
          <w:sz w:val="24"/>
        </w:rPr>
        <w:t>, mentre la sua contiguità a Pretoria lo salda al cluster australe.</w:t>
      </w:r>
    </w:p>
    <w:p>
      <w:pPr>
        <w:spacing w:lineRule="auto" w:line="276" w:before="120" w:after="0"/>
        <w:ind w:firstLine="0"/>
        <w:jc w:val="left"/>
      </w:pPr>
      <w:r>
        <w:rPr>
          <w:rFonts w:ascii="Times New Roman" w:hAnsi="Times New Roman" w:cs="Times New Roman" w:eastAsia="Times New Roman"/>
          <w:sz w:val="24"/>
        </w:rPr>
        <w:t>Capitolo VII — Nodo F: il fascio sudafricano e la tenuta del modello a fronti opposti</w:t>
      </w:r>
    </w:p>
    <w:p>
      <w:pPr>
        <w:spacing w:lineRule="auto" w:line="276" w:before="0" w:after="0"/>
        <w:ind w:firstLine="425"/>
        <w:jc w:val="both"/>
      </w:pPr>
      <w:r>
        <w:rPr>
          <w:rFonts w:ascii="Times New Roman" w:hAnsi="Times New Roman" w:cs="Times New Roman" w:eastAsia="Times New Roman"/>
          <w:sz w:val="24"/>
        </w:rPr>
        <w:t xml:space="preserve">Sul versante australe l’incrocio è documentariamente ricco. È </w:t>
      </w:r>
      <w:r>
        <w:rPr>
          <w:rFonts w:ascii="Times New Roman" w:hAnsi="Times New Roman" w:cs="Times New Roman" w:eastAsia="Times New Roman"/>
          <w:b/>
          <w:sz w:val="24"/>
        </w:rPr>
        <w:t>A</w:t>
      </w:r>
      <w:r>
        <w:rPr>
          <w:rFonts w:ascii="Times New Roman" w:hAnsi="Times New Roman" w:cs="Times New Roman" w:eastAsia="Times New Roman"/>
          <w:sz w:val="24"/>
        </w:rPr>
        <w:t xml:space="preserve"> la presenza industriale italiana: l’Aermacchi MB-326, progettato da Ermanno Bazzocchi e volato in prototipo il 10 dicembre 1957, fu prodotto su licenza in Sudafrica dall’Atlas Aircraft Corporation con la denominazione Impala, con licenza del 1964 e produzione dal 1966, per l’intero arco in cui Moro resse la Farnesina e la Presidenza del Consiglio; l’Italia è censita quale fonte di tecnologia militare per il regime nello studio SIPRI di Signe Landgren del 1988-1989; e fu formalmente accusata di violazione dell’embargo da Abdul Minty dinanzi al Comitato della risoluzione 421, respingendo l’accusa con la lettera S/AC.20/27 del 27 giugno 1980, come già aveva respinto con la S/9640 del 6 febbraio 1970 l’analoga contestazione dello Zambia. È invece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l’intero versante giudiziario italiano: nessuna Procura aprì mai un fascicolo, per l’assenza di una fattispecie penale specifica anteriore alla legge 185 del 1990 e per il regime di segreto di Stato, e nessuna rogatoria italo-sudafricana risulta impiegata oltre il caso Maletti. Il contrasto è netto e va registrato come tale: alla stessa materia corrisposero in Germania un comitato d’inchiesta parlamentare e negli Stati Uniti un procedimento penale con condanne pecuniarie, mentre in Italia non vi fu né l’uno né l’altro.</w:t>
      </w:r>
    </w:p>
    <w:p>
      <w:pPr>
        <w:spacing w:lineRule="auto" w:line="276" w:before="0" w:after="0"/>
        <w:ind w:firstLine="425"/>
        <w:jc w:val="both"/>
      </w:pPr>
      <w:r>
        <w:rPr>
          <w:rFonts w:ascii="Times New Roman" w:hAnsi="Times New Roman" w:cs="Times New Roman" w:eastAsia="Times New Roman"/>
          <w:sz w:val="24"/>
        </w:rPr>
        <w:t xml:space="preserve">La condotta italiana alle Nazioni Unite rivela una regolarità strutturale documentata dai record di voto: resistere sul piano procedurale e di esclusione, aderire alla condanna sostanziale dell’apartheid; nel periodo namibiano 1977-1988 l’Italia si colloca stabilmente nel blocco astensionista dell’Europa occidentale, più morbida della Germania Federale nella fase 1976-1977 e identicamente allineata ad essa nel 1984-1987. La ricognizione italo-tedesca precisa inoltre che l’esclusione italiana dal Gruppo di contatto occidentale sulla Namibia fu </w:t>
      </w:r>
      <w:r>
        <w:rPr>
          <w:rFonts w:ascii="Times New Roman" w:hAnsi="Times New Roman" w:cs="Times New Roman" w:eastAsia="Times New Roman"/>
          <w:b/>
          <w:sz w:val="24"/>
        </w:rPr>
        <w:t>puramente istituzionale</w:t>
      </w:r>
      <w:r>
        <w:rPr>
          <w:rFonts w:ascii="Times New Roman" w:hAnsi="Times New Roman" w:cs="Times New Roman" w:eastAsia="Times New Roman"/>
          <w:sz w:val="24"/>
        </w:rPr>
        <w:t xml:space="preserve"> — il gruppo, costituito nell’aprile 1977, riuniva i cinque Stati occidentali che sedevano allora nel Consiglio di Sicurezza, e l’Italia non vi sedeva — e che la storiografia fondata su archivi smentisce l’allegazione di un asse nucleare per l’acquisizione di testate, confermando soltanto il trasferimento commerciale-scientifico del metodo di arricchimento. Le tesi della pubblicistica militante su cessioni nucleari o chimiche da parte di dirigenti Aermacchi sono </w:t>
      </w:r>
      <w:r>
        <w:rPr>
          <w:rFonts w:ascii="Times New Roman" w:hAnsi="Times New Roman" w:cs="Times New Roman" w:eastAsia="Times New Roman"/>
          <w:b/>
          <w:sz w:val="24"/>
        </w:rPr>
        <w:t>non sostenute</w:t>
      </w:r>
      <w:r>
        <w:rPr>
          <w:rFonts w:ascii="Times New Roman" w:hAnsi="Times New Roman" w:cs="Times New Roman" w:eastAsia="Times New Roman"/>
          <w:sz w:val="24"/>
        </w:rPr>
        <w:t xml:space="preserve"> da fonti primarie.</w:t>
      </w:r>
    </w:p>
    <w:p>
      <w:pPr>
        <w:spacing w:lineRule="auto" w:line="276" w:before="120" w:after="0"/>
        <w:ind w:firstLine="0"/>
        <w:jc w:val="left"/>
      </w:pPr>
      <w:r>
        <w:rPr>
          <w:rFonts w:ascii="Times New Roman" w:hAnsi="Times New Roman" w:cs="Times New Roman" w:eastAsia="Times New Roman"/>
          <w:sz w:val="24"/>
        </w:rPr>
        <w:t>Capitolo VIII — Nodo G: Turchia, Ağca e Giovanni Paolo II</w:t>
      </w:r>
    </w:p>
    <w:p>
      <w:pPr>
        <w:spacing w:lineRule="auto" w:line="276" w:before="0" w:after="0"/>
        <w:ind w:firstLine="425"/>
        <w:jc w:val="both"/>
      </w:pPr>
      <w:r>
        <w:rPr>
          <w:rFonts w:ascii="Times New Roman" w:hAnsi="Times New Roman" w:cs="Times New Roman" w:eastAsia="Times New Roman"/>
          <w:sz w:val="24"/>
        </w:rPr>
        <w:t xml:space="preserve">Il nodo terroristico-vaticano chiude il fascio mediterraneo e lo riconnette al tema delle stragi e degli attentati. È </w:t>
      </w:r>
      <w:r>
        <w:rPr>
          <w:rFonts w:ascii="Times New Roman" w:hAnsi="Times New Roman" w:cs="Times New Roman" w:eastAsia="Times New Roman"/>
          <w:b/>
          <w:sz w:val="24"/>
        </w:rPr>
        <w:t>A</w:t>
      </w:r>
      <w:r>
        <w:rPr>
          <w:rFonts w:ascii="Times New Roman" w:hAnsi="Times New Roman" w:cs="Times New Roman" w:eastAsia="Times New Roman"/>
          <w:sz w:val="24"/>
        </w:rPr>
        <w:t xml:space="preserve"> la traiettoria turca di Mehmet Ali Ağca — l’omicidio del direttore di Milliyet Abdi İpekçi il 1° febbraio 1979, l’evasione dal carcere militare di Kartal-Maltepe il 25 novembre 1979, la lettera minatoria a Milliyet del 27 novembre 1979 — mentre la cosiddetta pista bulgara non fu mai giudizialmente provata: la Corte d’assise di Roma, con sentenza del 29 marzo 1986, assolse per insufficienza di prove Sergej Antonov e gli altri, e la stessa CIA scrisse di non essere in grado di sviluppare un quadro chiaro e conclusivo del coinvolgimento bulgaro. La responsabilità organizzativa dei Lupi Grigi nell’attentato e il mandato bulgaro-sovietico come fatto acquisito sono </w:t>
      </w:r>
      <w:r>
        <w:rPr>
          <w:rFonts w:ascii="Times New Roman" w:hAnsi="Times New Roman" w:cs="Times New Roman" w:eastAsia="Times New Roman"/>
          <w:b/>
          <w:sz w:val="24"/>
        </w:rPr>
        <w:t>non sostenuti</w:t>
      </w:r>
      <w:r>
        <w:rPr>
          <w:rFonts w:ascii="Times New Roman" w:hAnsi="Times New Roman" w:cs="Times New Roman" w:eastAsia="Times New Roman"/>
          <w:sz w:val="24"/>
        </w:rPr>
        <w:t xml:space="preserve"> dalle sentenze e dalle fonti primarie.</w:t>
      </w:r>
    </w:p>
    <w:p>
      <w:pPr>
        <w:spacing w:lineRule="auto" w:line="276" w:before="0" w:after="0"/>
        <w:ind w:firstLine="425"/>
        <w:jc w:val="both"/>
      </w:pPr>
      <w:r>
        <w:rPr>
          <w:rFonts w:ascii="Times New Roman" w:hAnsi="Times New Roman" w:cs="Times New Roman" w:eastAsia="Times New Roman"/>
          <w:sz w:val="24"/>
        </w:rPr>
        <w:t>Il rapporto Santa Sede-Turchia ha per contro tre radici solide: il decennio di Angelo Roncalli, delegato apostolico dal 1935 al 1944, matrice riconosciuta delle relazioni diplomatiche stabilite nel 1960 con l’internunziatura del 25 gennaio 1960 e la nunziatura del breve Optimo sane del 30 agosto 1966; il dialogo cattolico-ortodosso da Gerusalemme 1964 alla Commissione mista di Patmos-Rodi del 1980; e la questione irrisolta delle minoranze cristiane, con il seminario di Halki chiuso dal 1971. Sul primo oggetto, la triangolazione con Moro registra un contatto istituzionale documentato ma non personale-clandestino: Moro firmò a nome del Consiglio delle Comunità europee l’Accordo provvisorio CEE-Turchia del 27 luglio 1971, mentre l’Italia fu attore consultato in ambito NATO nella crisi cipriota del 1974, non garante né mediatore.</w:t>
      </w:r>
    </w:p>
    <w:p>
      <w:pPr>
        <w:spacing w:lineRule="auto" w:line="276" w:before="120" w:after="0"/>
        <w:ind w:firstLine="0"/>
        <w:jc w:val="left"/>
      </w:pPr>
      <w:r>
        <w:rPr>
          <w:rFonts w:ascii="Times New Roman" w:hAnsi="Times New Roman" w:cs="Times New Roman" w:eastAsia="Times New Roman"/>
          <w:sz w:val="24"/>
        </w:rPr>
        <w:t>Capitolo IX — Nodo A ripreso: la matrice degli archi inter-documento</w:t>
      </w:r>
    </w:p>
    <w:p>
      <w:pPr>
        <w:spacing w:lineRule="auto" w:line="276" w:before="0" w:after="0"/>
        <w:ind w:firstLine="425"/>
        <w:jc w:val="both"/>
      </w:pPr>
      <w:r>
        <w:rPr>
          <w:rFonts w:ascii="Times New Roman" w:hAnsi="Times New Roman" w:cs="Times New Roman" w:eastAsia="Times New Roman"/>
          <w:sz w:val="24"/>
        </w:rPr>
        <w:t xml:space="preserve">Ricomposta per archi, e non per documenti, la rete assume una forma leggibile. Gli archi documentati di grado </w:t>
      </w:r>
      <w:r>
        <w:rPr>
          <w:rFonts w:ascii="Times New Roman" w:hAnsi="Times New Roman" w:cs="Times New Roman" w:eastAsia="Times New Roman"/>
          <w:b/>
          <w:sz w:val="24"/>
        </w:rPr>
        <w:t>A</w:t>
      </w:r>
      <w:r>
        <w:rPr>
          <w:rFonts w:ascii="Times New Roman" w:hAnsi="Times New Roman" w:cs="Times New Roman" w:eastAsia="Times New Roman"/>
          <w:sz w:val="24"/>
        </w:rPr>
        <w:t xml:space="preserve"> o </w:t>
      </w:r>
      <w:r>
        <w:rPr>
          <w:rFonts w:ascii="Times New Roman" w:hAnsi="Times New Roman" w:cs="Times New Roman" w:eastAsia="Times New Roman"/>
          <w:b/>
          <w:sz w:val="24"/>
        </w:rPr>
        <w:t>A/B</w:t>
      </w:r>
      <w:r>
        <w:rPr>
          <w:rFonts w:ascii="Times New Roman" w:hAnsi="Times New Roman" w:cs="Times New Roman" w:eastAsia="Times New Roman"/>
          <w:sz w:val="24"/>
        </w:rPr>
        <w:t xml:space="preserve"> sono pochi e circoscritti: Aginter verso il canale informativo italiano; Aermacchi verso l’Atlas sudafricana; Strauß verso Botha e verso Honecker; la Santa Sede verso il Portogallo coloniale e verso la Polonia diocesana; Roncalli verso la Turchia. Gli archi di grado </w:t>
      </w:r>
      <w:r>
        <w:rPr>
          <w:rFonts w:ascii="Times New Roman" w:hAnsi="Times New Roman" w:cs="Times New Roman" w:eastAsia="Times New Roman"/>
          <w:b/>
          <w:sz w:val="24"/>
        </w:rPr>
        <w:t>medio</w:t>
      </w:r>
      <w:r>
        <w:rPr>
          <w:rFonts w:ascii="Times New Roman" w:hAnsi="Times New Roman" w:cs="Times New Roman" w:eastAsia="Times New Roman"/>
          <w:sz w:val="24"/>
        </w:rPr>
        <w:t xml:space="preserve"> sono due, entrambi per fonte secondaria priva di segnatura primaria: Aginter verso il BND-Gehlen e Aginter verso il BOSS sudafricano, che è anche l’unico filo, per quanto debole, che colleghi il ponte eversivo al cluster australe. Tutti gli altri archi che la pubblicistica congetturale annoda — Aginter con la CSU o con Strauß, Moro con l’Opus Dei, Moro con la CSU, Moro con l’apartheid, l’asse nucleare italo-sudafricano per le testate, il mandato bulgaro-sovietico su Ağca, il nesso testuale fra il trattato del 1970 e l’atto pontificio del 1972 — sono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oppure </w:t>
      </w:r>
      <w:r>
        <w:rPr>
          <w:rFonts w:ascii="Times New Roman" w:hAnsi="Times New Roman" w:cs="Times New Roman" w:eastAsia="Times New Roman"/>
          <w:b/>
          <w:sz w:val="24"/>
        </w:rPr>
        <w:t>tesi non sostenute</w:t>
      </w:r>
      <w:r>
        <w:rPr>
          <w:rFonts w:ascii="Times New Roman" w:hAnsi="Times New Roman" w:cs="Times New Roman" w:eastAsia="Times New Roman"/>
          <w:sz w:val="24"/>
        </w:rPr>
        <w:t>. La matrice, così letta, non compone una catena ma un ambiente condiviso: gli stessi milieu cattolico, atlantico e anticomunista attraversano i nodi senza che ciò costituisca prova di rapporti operativi fra soggetti specifici, esattamente come la disciplina metodologica del corpus prescrive.</w:t>
      </w:r>
    </w:p>
    <w:p>
      <w:pPr>
        <w:spacing w:lineRule="auto" w:line="276" w:before="160" w:after="0"/>
        <w:ind w:firstLine="0"/>
        <w:jc w:val="left"/>
      </w:pPr>
      <w:r>
        <w:rPr>
          <w:rFonts w:ascii="Times New Roman" w:hAnsi="Times New Roman" w:cs="Times New Roman" w:eastAsia="Times New Roman"/>
          <w:sz w:val="24"/>
        </w:rPr>
        <w:t>Parte III — Contraddizioni, ipotesi-madre, lacune</w:t>
      </w:r>
    </w:p>
    <w:p>
      <w:pPr>
        <w:spacing w:lineRule="auto" w:line="276" w:before="120" w:after="0"/>
        <w:ind w:firstLine="0"/>
        <w:jc w:val="left"/>
      </w:pPr>
      <w:r>
        <w:rPr>
          <w:rFonts w:ascii="Times New Roman" w:hAnsi="Times New Roman" w:cs="Times New Roman" w:eastAsia="Times New Roman"/>
          <w:sz w:val="24"/>
        </w:rPr>
        <w:t>Capitolo X — La contraddizione interna sul nesso Oder-Neisse</w:t>
      </w:r>
    </w:p>
    <w:p>
      <w:pPr>
        <w:spacing w:lineRule="auto" w:line="276" w:before="0" w:after="0"/>
        <w:ind w:firstLine="425"/>
        <w:jc w:val="both"/>
      </w:pPr>
      <w:r>
        <w:rPr>
          <w:rFonts w:ascii="Times New Roman" w:hAnsi="Times New Roman" w:cs="Times New Roman" w:eastAsia="Times New Roman"/>
          <w:sz w:val="24"/>
        </w:rPr>
        <w:t>Il registro isola l’unico punto in cui il corpus attualmente si smentisce. La sequenza cronologica è accertata con precisione: il Trattato di Varsavia fra Repubblica Federale e Repubblica Popolare di Polonia fu firmato il 7 dicembre 1970, ratificato dal Bundestag il 17 maggio 1972, entrato in vigore con lo scambio degli strumenti di ratifica il 3 giugno 1972; e il 28 giugno 1972 Paolo VI emanò le costituzioni apostoliche che erigevano diocesi permanenti nei territori occidentali e settentrionali della Polonia, venticinque giorni dopo. La ricognizione sulle due Germanie afferma che per questa sequenza esiste una documentazione che ne attesta il nesso, e non la sola prossimità. La ricognizione dedicata alla comunicazione vaticana del 28 giugno 1972 falsifica invece la tesi dello storico Karl-Joseph Hummel, mostrando che la comunicazione con richiamo espresso al trattato non è reperita in alcuna sede, è priva di nota e di segnatura, ed è internamente contraddetta dalla frase successiva dello stesso saggio, che riconduce l’atto a necessità pastorali, esattamente ciò che dichiara il testo latino delle costituzioni pubblicato negli Acta Apostolicae Sedis.</w:t>
      </w:r>
    </w:p>
    <w:p>
      <w:pPr>
        <w:spacing w:lineRule="auto" w:line="276" w:before="0" w:after="0"/>
        <w:ind w:firstLine="425"/>
        <w:jc w:val="both"/>
      </w:pPr>
      <w:r>
        <w:rPr>
          <w:rFonts w:ascii="Times New Roman" w:hAnsi="Times New Roman" w:cs="Times New Roman" w:eastAsia="Times New Roman"/>
          <w:sz w:val="24"/>
        </w:rPr>
        <w:t xml:space="preserve">La sintesi corretta, che il registro adotta e che sana la contraddizione, è la seguente: la contemporaneità dei venticinque giorni è </w:t>
      </w:r>
      <w:r>
        <w:rPr>
          <w:rFonts w:ascii="Times New Roman" w:hAnsi="Times New Roman" w:cs="Times New Roman" w:eastAsia="Times New Roman"/>
          <w:b/>
          <w:sz w:val="24"/>
        </w:rPr>
        <w:t>A</w:t>
      </w:r>
      <w:r>
        <w:rPr>
          <w:rFonts w:ascii="Times New Roman" w:hAnsi="Times New Roman" w:cs="Times New Roman" w:eastAsia="Times New Roman"/>
          <w:sz w:val="24"/>
        </w:rPr>
        <w:t xml:space="preserve">, il nesso testuale-causale attribuito alla comunicazione vaticana è </w:t>
      </w:r>
      <w:r>
        <w:rPr>
          <w:rFonts w:ascii="Times New Roman" w:hAnsi="Times New Roman" w:cs="Times New Roman" w:eastAsia="Times New Roman"/>
          <w:b/>
          <w:sz w:val="24"/>
        </w:rPr>
        <w:t>C / non sostenuto</w:t>
      </w:r>
      <w:r>
        <w:rPr>
          <w:rFonts w:ascii="Times New Roman" w:hAnsi="Times New Roman" w:cs="Times New Roman" w:eastAsia="Times New Roman"/>
          <w:sz w:val="24"/>
        </w:rPr>
        <w:t xml:space="preserve"> fino a verifica autoptica de L’Osservatore Romano del 29-30 giugno 1972 presso l’Archivio Editoriale Multimediale. Le due ricognizioni vanno uniformate a questo esito, declassando l’affermazione più forte della ricognizione più ampia a favore dell’accertamento più stringente della ricognizione monografica: è il caso, metodologicamente prezioso, in cui il corpus corregge sé stesso, e la disciplina impone di recepire la correzione anziché occultarla.</w:t>
      </w:r>
    </w:p>
    <w:p>
      <w:pPr>
        <w:spacing w:lineRule="auto" w:line="276" w:before="120" w:after="0"/>
        <w:ind w:firstLine="0"/>
        <w:jc w:val="left"/>
      </w:pPr>
      <w:r>
        <w:rPr>
          <w:rFonts w:ascii="Times New Roman" w:hAnsi="Times New Roman" w:cs="Times New Roman" w:eastAsia="Times New Roman"/>
          <w:sz w:val="24"/>
        </w:rPr>
        <w:t>Capitolo XI — La prova popperiana: la tenuta di H2 e non di H1 nel teatro australe</w:t>
      </w:r>
    </w:p>
    <w:p>
      <w:pPr>
        <w:spacing w:lineRule="auto" w:line="276" w:before="0" w:after="0"/>
        <w:ind w:firstLine="425"/>
        <w:jc w:val="both"/>
      </w:pPr>
      <w:r>
        <w:rPr>
          <w:rFonts w:ascii="Times New Roman" w:hAnsi="Times New Roman" w:cs="Times New Roman" w:eastAsia="Times New Roman"/>
          <w:sz w:val="24"/>
        </w:rPr>
        <w:t xml:space="preserve">L’incrocio produce un secondo risultato di primo ordine, che tocca l’ipotesi-madre del progetto. La ricognizione di confutazione dell’inversione di polarità verifica che la tesi diagnostica dell’opera — Stati Uniti e Russia su </w:t>
      </w:r>
      <w:r>
        <w:rPr>
          <w:rFonts w:ascii="Times New Roman" w:hAnsi="Times New Roman" w:cs="Times New Roman" w:eastAsia="Times New Roman"/>
          <w:b/>
          <w:sz w:val="24"/>
        </w:rPr>
        <w:t>fronti opposti</w:t>
      </w:r>
      <w:r>
        <w:rPr>
          <w:rFonts w:ascii="Times New Roman" w:hAnsi="Times New Roman" w:cs="Times New Roman" w:eastAsia="Times New Roman"/>
          <w:sz w:val="24"/>
        </w:rPr>
        <w:t xml:space="preserve"> — regge pienamente al dossier australe: nella Formazione Alfa Washington sosteneva l’UNITA e, di fatto, l’ordine di Pretoria contro l’Unione Sovietica che armava l’African National Congress, la SWAPO e l’MPLA; nella Formazione Beta l’amministrazione statunitense del 2025 è in aperto conflitto con Pretoria mentre Mosca vi è allineata; e da nessun dato emerge un condominio operativo russo-americano. Ne discende, in ossequio alla disciplina anti-«Pollo di Popper» della Nota Metodologica, un vincolo interpretativo che il registro segnala all’autore: nel teatro sudafricano regge l’ipotesi dei progetti rivali, e non l’ipotesi della convergenza segreta USA-URSS contro l’Europa. La stessa ricognizione precisa inoltre che la documentazione non sostiene l’idea di un mutamento di campo dello Stato sudafricano, bensì la continuità di allineamento di un soggetto politico — l’ANC armato dal blocco orientale durante l’apartheid e giunto al potere nel 1994 — e che i fatti verificati del riorientamento contemporaneo di Pretoria verso Mosca vanno tenuti distinti dalle allegazioni non provate, senza trattare la contemporaneità come prova di nesso.</w:t>
      </w:r>
    </w:p>
    <w:p>
      <w:pPr>
        <w:spacing w:lineRule="auto" w:line="276" w:before="120" w:after="0"/>
        <w:ind w:firstLine="0"/>
        <w:jc w:val="left"/>
      </w:pPr>
      <w:r>
        <w:rPr>
          <w:rFonts w:ascii="Times New Roman" w:hAnsi="Times New Roman" w:cs="Times New Roman" w:eastAsia="Times New Roman"/>
          <w:sz w:val="24"/>
        </w:rPr>
        <w:t>Capitolo XII — Lacune documentali e sedi di chiusura</w:t>
      </w:r>
    </w:p>
    <w:p>
      <w:pPr>
        <w:spacing w:lineRule="auto" w:line="276" w:before="0" w:after="0"/>
        <w:ind w:firstLine="425"/>
        <w:jc w:val="both"/>
      </w:pPr>
      <w:r>
        <w:rPr>
          <w:rFonts w:ascii="Times New Roman" w:hAnsi="Times New Roman" w:cs="Times New Roman" w:eastAsia="Times New Roman"/>
          <w:sz w:val="24"/>
        </w:rPr>
        <w:t>Le acquisizioni non conseguite, raccolte dalle diverse ricognizioni e ordinate per rendimento atteso, delimitano con precisione il confine fra ciò che è accertato e ciò che resta da accertare. Per il ponte eversivo, la sede di massimo rendimento è l’Arquivo Nacional da Torre do Tombo di Lisbona, fondo PIDE-DGS, in cui confluirono gli archivi sequestrati di Aginter Press, del quale una porzione consistente resta dichiarata mai consultata; e l’Archiv für Christlich-Soziale Politik della Hanns-Seidel-Stiftung a Monaco, per la ricerca mirata dei lemmi Aginter, Guérin-Sérac, Guillou, Lisbona e PIDE nel lascito Strauß. Per la spina moroteo, le sedi sono l’Archivio Storico Diplomatico del Ministero degli Affari Esteri, serie Germania e serie Portogallo 1969-1975, il Fondo Moro presso l’Archivio Centrale dello Stato, l’Archivio della Democrazia Cristiana presso l’Istituto Luigi Sturzo e gli archivi dell’Unione Europea Democristiana e del Partito Popolare Europeo presso gli Historical Archives of the European Union di Firenze. Per il fascio ecclesiale, l’insuperabile barriera è l’Archivio Apostolico Vaticano, chiuso oltre l’ottobre 1958. Per l’asse australe, le sedi sono la Biblioteca digitale delle Nazioni Unite per i voti e per i testi integrali di S/9640 e S/AC.20/27 oggi noti alla sola scheda catalografica, il database SIPRI Arms Transfers, i bilanci degli operatori industriali e gli archivi ARMSCOR. Nessuna di queste acquisizioni non conseguite, allo stato, smentisce gli esiti del registro: li conferma per difetto, indicando dove soltanto essi potrebbero infine essere falsificati.</w:t>
      </w:r>
    </w:p>
    <w:p>
      <w:pPr>
        <w:spacing w:lineRule="auto" w:line="276" w:before="160" w:after="0"/>
        <w:ind w:firstLine="0"/>
        <w:jc w:val="left"/>
      </w:pPr>
      <w:r>
        <w:rPr>
          <w:rFonts w:ascii="Times New Roman" w:hAnsi="Times New Roman" w:cs="Times New Roman" w:eastAsia="Times New Roman"/>
          <w:sz w:val="24"/>
        </w:rPr>
        <w:t>Sintesi del dato nuovo acquisito</w:t>
      </w:r>
    </w:p>
    <w:p>
      <w:pPr>
        <w:spacing w:lineRule="auto" w:line="276" w:before="0" w:after="0"/>
        <w:ind w:firstLine="425"/>
        <w:jc w:val="both"/>
      </w:pPr>
      <w:r>
        <w:rPr>
          <w:rFonts w:ascii="Times New Roman" w:hAnsi="Times New Roman" w:cs="Times New Roman" w:eastAsia="Times New Roman"/>
          <w:sz w:val="24"/>
        </w:rPr>
        <w:t xml:space="preserve">La triangolazione dei diciannove documenti non rivela una rete occulta unificata, ma certifica un’architettura a spine e ambienti, in cui Aldo Moro è il termine di triangolazione ricorrente e quasi ovunque uno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personale; la Santa Sede è il vero nodo di intermediazione fra i cluster; l’Opus Dei, il binomio Strauß-CSU e Aginter Press sono oggetti strutturali autonomi, i cui archi reciproci e verso Moro sono in prevalenza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mentre i pochi archi documentati non compongono una catena ma un ambiente condiviso. Due risultati di primo ordine si impongono all’attenzione dell’autore. Il primo è la contraddizione interna sul nesso Oder-Neisse, da sanare uniformando le due ricognizioni all’esito più stringente: contemporaneità </w:t>
      </w:r>
      <w:r>
        <w:rPr>
          <w:rFonts w:ascii="Times New Roman" w:hAnsi="Times New Roman" w:cs="Times New Roman" w:eastAsia="Times New Roman"/>
          <w:b/>
          <w:sz w:val="24"/>
        </w:rPr>
        <w:t>A</w:t>
      </w:r>
      <w:r>
        <w:rPr>
          <w:rFonts w:ascii="Times New Roman" w:hAnsi="Times New Roman" w:cs="Times New Roman" w:eastAsia="Times New Roman"/>
          <w:sz w:val="24"/>
        </w:rPr>
        <w:t xml:space="preserve">, nesso testuale </w:t>
      </w:r>
      <w:r>
        <w:rPr>
          <w:rFonts w:ascii="Times New Roman" w:hAnsi="Times New Roman" w:cs="Times New Roman" w:eastAsia="Times New Roman"/>
          <w:b/>
          <w:sz w:val="24"/>
        </w:rPr>
        <w:t>C / non sostenuto</w:t>
      </w:r>
      <w:r>
        <w:rPr>
          <w:rFonts w:ascii="Times New Roman" w:hAnsi="Times New Roman" w:cs="Times New Roman" w:eastAsia="Times New Roman"/>
          <w:sz w:val="24"/>
        </w:rPr>
        <w:t>. Il secondo è la tenuta, nel teatro sudafricano, dell’ipotesi dei progetti rivali e non dell’ipotesi della convergenza USA-URSS, che va recepita come vincolo popperiano sull’ipotesi-madre del progetto. Su entrambi il registro non chiude, ma consegna la direzione: il primo si scioglie con la verifica autoptica de L’Osservatore Romano del 29-30 giugno 1972; il secondo, con l’accesso alle serie ONU e agli archivi militari indicati, resta esposto alla falsificazione che soltanto la documentazione primaria potrà pronunciare.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