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ind w:firstLine="0"/>
        <w:jc w:val="center"/>
      </w:pPr>
      <w:r>
        <w:rPr>
          <w:rFonts w:ascii="Times New Roman" w:hAnsi="Times New Roman" w:cs="Times New Roman" w:eastAsia="Times New Roman"/>
          <w:b/>
          <w:sz w:val="24"/>
        </w:rPr>
        <w:t>ITALIA NERA</w:t>
      </w:r>
    </w:p>
    <w:p>
      <w:pPr>
        <w:spacing w:line="276" w:lineRule="auto" w:before="0" w:after="120"/>
        <w:ind w:firstLine="0"/>
        <w:jc w:val="center"/>
      </w:pPr>
      <w:r>
        <w:rPr>
          <w:rFonts w:ascii="Times New Roman" w:hAnsi="Times New Roman" w:cs="Times New Roman" w:eastAsia="Times New Roman"/>
          <w:b/>
          <w:sz w:val="24"/>
        </w:rPr>
        <w:t>REGISTRO ANALITICO DELLE RETI INFORMALI TRANSNAZIONALI</w:t>
      </w:r>
    </w:p>
    <w:p>
      <w:pPr>
        <w:spacing w:line="276" w:lineRule="auto" w:before="0" w:after="120"/>
        <w:ind w:firstLine="0"/>
        <w:jc w:val="center"/>
      </w:pPr>
      <w:r>
        <w:rPr>
          <w:rFonts w:ascii="Times New Roman" w:hAnsi="Times New Roman" w:cs="Times New Roman" w:eastAsia="Times New Roman"/>
          <w:b w:val="0"/>
          <w:sz w:val="24"/>
        </w:rPr>
      </w:r>
    </w:p>
    <w:p>
      <w:pPr>
        <w:spacing w:line="276" w:lineRule="auto" w:before="0" w:after="120"/>
        <w:ind w:firstLine="0"/>
        <w:jc w:val="center"/>
      </w:pPr>
      <w:r>
        <w:rPr>
          <w:rFonts w:ascii="Times New Roman" w:hAnsi="Times New Roman" w:cs="Times New Roman" w:eastAsia="Times New Roman"/>
          <w:b/>
          <w:sz w:val="24"/>
        </w:rPr>
        <w:t>TRIANGOLAZIONE FRA TRE FAMIGLIE DOCUMENTALI</w:t>
      </w:r>
    </w:p>
    <w:p>
      <w:pPr>
        <w:spacing w:line="276" w:lineRule="auto" w:before="0" w:after="120"/>
        <w:ind w:firstLine="0"/>
        <w:jc w:val="center"/>
      </w:pPr>
      <w:r>
        <w:rPr>
          <w:rFonts w:ascii="Times New Roman" w:hAnsi="Times New Roman" w:cs="Times New Roman" w:eastAsia="Times New Roman"/>
          <w:b w:val="0"/>
          <w:sz w:val="24"/>
        </w:rPr>
      </w:r>
    </w:p>
    <w:p>
      <w:pPr>
        <w:spacing w:line="276" w:lineRule="auto" w:before="0" w:after="120"/>
        <w:ind w:firstLine="0"/>
        <w:jc w:val="center"/>
      </w:pPr>
      <w:r>
        <w:rPr>
          <w:rFonts w:ascii="Times New Roman" w:hAnsi="Times New Roman" w:cs="Times New Roman" w:eastAsia="Times New Roman"/>
          <w:b/>
          <w:sz w:val="24"/>
        </w:rPr>
        <w:t>La serie Moro, il corpus australe e il dossier andino</w:t>
      </w:r>
    </w:p>
    <w:p>
      <w:pPr>
        <w:spacing w:line="276" w:lineRule="auto" w:before="0" w:after="120"/>
        <w:ind w:firstLine="0"/>
        <w:jc w:val="center"/>
      </w:pPr>
      <w:r>
        <w:rPr>
          <w:rFonts w:ascii="Times New Roman" w:hAnsi="Times New Roman" w:cs="Times New Roman" w:eastAsia="Times New Roman"/>
          <w:b w:val="0"/>
          <w:sz w:val="24"/>
        </w:rPr>
        <w:t>messi a confronto per la prima volta</w:t>
      </w:r>
    </w:p>
    <w:p>
      <w:pPr>
        <w:spacing w:line="276" w:lineRule="auto" w:before="0" w:after="120"/>
        <w:ind w:firstLine="0"/>
        <w:jc w:val="center"/>
      </w:pPr>
      <w:r>
        <w:rPr>
          <w:rFonts w:ascii="Times New Roman" w:hAnsi="Times New Roman" w:cs="Times New Roman" w:eastAsia="Times New Roman"/>
          <w:b w:val="0"/>
          <w:sz w:val="24"/>
        </w:rPr>
      </w:r>
    </w:p>
    <w:p>
      <w:pPr>
        <w:spacing w:line="276" w:lineRule="auto" w:before="0" w:after="120"/>
        <w:ind w:firstLine="0"/>
        <w:jc w:val="center"/>
      </w:pPr>
      <w:r>
        <w:rPr>
          <w:rFonts w:ascii="Times New Roman" w:hAnsi="Times New Roman" w:cs="Times New Roman" w:eastAsia="Times New Roman"/>
          <w:b/>
          <w:sz w:val="24"/>
        </w:rPr>
        <w:t>Cinquanta Blocchi Mirati — Blocchi 6201-6250</w:t>
      </w:r>
    </w:p>
    <w:p>
      <w:pPr>
        <w:spacing w:line="276" w:lineRule="auto" w:before="0" w:after="120"/>
        <w:ind w:firstLine="0"/>
        <w:jc w:val="center"/>
      </w:pPr>
      <w:r>
        <w:rPr>
          <w:rFonts w:ascii="Times New Roman" w:hAnsi="Times New Roman" w:cs="Times New Roman" w:eastAsia="Times New Roman"/>
          <w:b w:val="0"/>
          <w:sz w:val="24"/>
        </w:rPr>
      </w:r>
    </w:p>
    <w:p>
      <w:pPr>
        <w:spacing w:line="276" w:lineRule="auto" w:before="0" w:after="120"/>
        <w:ind w:firstLine="0"/>
        <w:jc w:val="center"/>
      </w:pPr>
      <w:r>
        <w:rPr>
          <w:rFonts w:ascii="Times New Roman" w:hAnsi="Times New Roman" w:cs="Times New Roman" w:eastAsia="Times New Roman"/>
          <w:b/>
          <w:sz w:val="24"/>
        </w:rPr>
        <w:t>Il corridoio Lisbona-Roma-Johannesburg — Il ponte portoghese</w:t>
      </w:r>
    </w:p>
    <w:p>
      <w:pPr>
        <w:spacing w:line="276" w:lineRule="auto" w:before="0" w:after="120"/>
        <w:ind w:firstLine="0"/>
        <w:jc w:val="center"/>
      </w:pPr>
      <w:r>
        <w:rPr>
          <w:rFonts w:ascii="Times New Roman" w:hAnsi="Times New Roman" w:cs="Times New Roman" w:eastAsia="Times New Roman"/>
          <w:b/>
          <w:sz w:val="24"/>
        </w:rPr>
        <w:t>Due emendazioni a blocchi consegnati — Una proposta ritirata</w:t>
      </w:r>
    </w:p>
    <w:p>
      <w:pPr>
        <w:spacing w:line="276" w:lineRule="auto" w:before="0" w:after="120"/>
        <w:ind w:firstLine="0"/>
        <w:jc w:val="center"/>
      </w:pPr>
      <w:r>
        <w:rPr>
          <w:rFonts w:ascii="Times New Roman" w:hAnsi="Times New Roman" w:cs="Times New Roman" w:eastAsia="Times New Roman"/>
          <w:b w:val="0"/>
          <w:sz w:val="24"/>
        </w:rPr>
      </w:r>
    </w:p>
    <w:p>
      <w:pPr>
        <w:spacing w:line="276" w:lineRule="auto" w:before="0" w:after="120"/>
        <w:ind w:firstLine="0"/>
        <w:jc w:val="center"/>
      </w:pPr>
      <w:r>
        <w:rPr>
          <w:rFonts w:ascii="Times New Roman" w:hAnsi="Times New Roman" w:cs="Times New Roman" w:eastAsia="Times New Roman"/>
          <w:b w:val="0"/>
          <w:sz w:val="24"/>
        </w:rPr>
        <w:t>Documento estraneo al Registro Analitico</w:t>
      </w:r>
    </w:p>
    <w:p>
      <w:pPr>
        <w:spacing w:line="276" w:lineRule="auto" w:before="0" w:after="120"/>
        <w:ind w:firstLine="0"/>
        <w:jc w:val="center"/>
      </w:pPr>
      <w:r>
        <w:rPr>
          <w:rFonts w:ascii="Times New Roman" w:hAnsi="Times New Roman" w:cs="Times New Roman" w:eastAsia="Times New Roman"/>
          <w:b w:val="0"/>
          <w:sz w:val="24"/>
        </w:rPr>
      </w:r>
    </w:p>
    <w:p>
      <w:pPr>
        <w:spacing w:line="276" w:lineRule="auto" w:before="0" w:after="120"/>
        <w:ind w:firstLine="0"/>
        <w:jc w:val="center"/>
      </w:pPr>
      <w:r>
        <w:rPr>
          <w:rFonts w:ascii="Times New Roman" w:hAnsi="Times New Roman" w:cs="Times New Roman" w:eastAsia="Times New Roman"/>
          <w:b w:val="0"/>
          <w:sz w:val="24"/>
        </w:rPr>
        <w:t>Luigi De Michele</w:t>
      </w:r>
    </w:p>
    <w:p>
      <w:pPr>
        <w:spacing w:line="276" w:lineRule="auto" w:before="0" w:after="120"/>
        <w:ind w:firstLine="0"/>
        <w:jc w:val="center"/>
      </w:pPr>
      <w:r>
        <w:rPr>
          <w:rFonts w:ascii="Times New Roman" w:hAnsi="Times New Roman" w:cs="Times New Roman" w:eastAsia="Times New Roman"/>
          <w:b w:val="0"/>
          <w:sz w:val="24"/>
        </w:rPr>
      </w:r>
    </w:p>
    <w:p>
      <w:pPr>
        <w:spacing w:line="276" w:lineRule="auto" w:before="0" w:after="120"/>
        <w:ind w:firstLine="0"/>
        <w:jc w:val="center"/>
      </w:pPr>
      <w:r>
        <w:rPr>
          <w:rFonts w:ascii="Times New Roman" w:hAnsi="Times New Roman" w:cs="Times New Roman" w:eastAsia="Times New Roman"/>
          <w:b w:val="0"/>
          <w:sz w:val="24"/>
        </w:rPr>
        <w:t>23 agosto 2026</w:t>
      </w:r>
    </w:p>
    <w:p>
      <w:r>
        <w:br w:type="page"/>
      </w:r>
    </w:p>
    <w:p>
      <w:pPr>
        <w:spacing w:line="276" w:lineRule="auto" w:before="0" w:after="0"/>
        <w:ind w:firstLine="425"/>
        <w:jc w:val="both"/>
      </w:pPr>
      <w:r>
        <w:rPr>
          <w:rFonts w:ascii="Times New Roman" w:hAnsi="Times New Roman" w:cs="Times New Roman" w:eastAsia="Times New Roman"/>
          <w:b w:val="0"/>
          <w:sz w:val="24"/>
        </w:rPr>
      </w:r>
    </w:p>
    <w:p>
      <w:pPr>
        <w:spacing w:line="276" w:lineRule="auto" w:before="0" w:after="120"/>
        <w:ind w:firstLine="0"/>
        <w:jc w:val="both"/>
      </w:pPr>
      <w:r>
        <w:rPr>
          <w:rFonts w:ascii="Times New Roman" w:hAnsi="Times New Roman" w:cs="Times New Roman" w:eastAsia="Times New Roman"/>
          <w:b/>
          <w:sz w:val="24"/>
        </w:rPr>
        <w:t>Sezione prima — Statuto dell'esecuzione, emendazione di un blocco consegnato, architettura del corpus</w:t>
      </w:r>
    </w:p>
    <w:p>
      <w:pPr>
        <w:spacing w:line="276" w:lineRule="auto" w:before="0" w:after="0"/>
        <w:ind w:firstLine="425"/>
        <w:jc w:val="both"/>
      </w:pPr>
      <w:r>
        <w:rPr>
          <w:rFonts w:ascii="Times New Roman" w:hAnsi="Times New Roman" w:cs="Times New Roman" w:eastAsia="Times New Roman"/>
          <w:b w:val="0"/>
          <w:sz w:val="24"/>
        </w:rPr>
        <w:t>Blocco mirato numero 6201 — Oggetto e provenienza. Il presente documento esegue due ordini successivi che si compongono: la prescrizione di approfondire con cinquanta blocchi mirati, e la prescrizione di effettuare triangolazione fra i documenti allegati. I due ordini si eseguono insieme perché il secondo fornisce la materia che il primo richiede: i cinquanta blocchi sono cinquanta triangolazioni, e non cinquanta amplificazioni di ciò che il corpus già possedeva. Numerazione da seimiladuecentouno, il documento anteriore essendosi chiuso al seimilacentoventidue.</w:t>
      </w:r>
    </w:p>
    <w:p>
      <w:pPr>
        <w:spacing w:line="276" w:lineRule="auto" w:before="0" w:after="0"/>
        <w:ind w:firstLine="425"/>
        <w:jc w:val="both"/>
      </w:pPr>
      <w:r>
        <w:rPr>
          <w:rFonts w:ascii="Times New Roman" w:hAnsi="Times New Roman" w:cs="Times New Roman" w:eastAsia="Times New Roman"/>
          <w:b w:val="0"/>
          <w:sz w:val="24"/>
        </w:rPr>
        <w:t>Blocco mirato numero 6202 — Emendazione del blocco cinquemilatré, e va posta in apertura perché colpisce un fatto e non una qualificazione. Quel blocco dichiarava che lo strumento di ricerca estesa autonoma non era disponibile nell'ambiente operativo della sessione. L'affermazione è errata: lo strumento era disponibile e non fu interrogato. Chi scrive eseguì la deroga nella forma delle interrogazioni sequenziali e iscrisse poi come accertamento una circostanza mai verificata, incorrendo nell'errore che il corpus denomina allegazione senza base e che il settimo grado della scala esiste per sanzionare. Il blocco cinquemilatré è emendato nel senso che la deroga fu eseguita in forma sequenziale per scelta non dichiarata di chi eseguiva, e non per indisponibilità dello strumento. Livello A quanto all'emendazione.</w:t>
      </w:r>
    </w:p>
    <w:p>
      <w:pPr>
        <w:spacing w:line="276" w:lineRule="auto" w:before="0" w:after="0"/>
        <w:ind w:firstLine="425"/>
        <w:jc w:val="both"/>
      </w:pPr>
      <w:r>
        <w:rPr>
          <w:rFonts w:ascii="Times New Roman" w:hAnsi="Times New Roman" w:cs="Times New Roman" w:eastAsia="Times New Roman"/>
          <w:b w:val="0"/>
          <w:sz w:val="24"/>
        </w:rPr>
        <w:t>Blocco mirato numero 6203 — Perché l'emendazione va posta in apertura e non in nota. Il Quarto Registro ritirò un grado della scala venti minuti dopo averlo proposto; il Settimo emendò il conteggio del Sesto; l'Ottavo corresse un accertamento della propria sessione; la decima ricognizione della serie Moro è per intero un atto di revisione di una proposizione che il Registro conteneva. La procedura di autocorrezione dell'opera non è un ornamento ma il suo unico titolo di attendibilità, e una correzione collocata in nota è una correzione che non è stata fatta. Si registra altresì che l'errore fu rilevato da chi lo aveva commesso e non dal committente, il che ne riduce la gravità ma non ne muta la specie.</w:t>
      </w:r>
    </w:p>
    <w:p>
      <w:pPr>
        <w:spacing w:line="276" w:lineRule="auto" w:before="0" w:after="0"/>
        <w:ind w:firstLine="425"/>
        <w:jc w:val="both"/>
      </w:pPr>
      <w:r>
        <w:rPr>
          <w:rFonts w:ascii="Times New Roman" w:hAnsi="Times New Roman" w:cs="Times New Roman" w:eastAsia="Times New Roman"/>
          <w:b w:val="0"/>
          <w:sz w:val="24"/>
        </w:rPr>
        <w:t>Blocco mirato numero 6204 — Dichiarazione di esecuzione, secondo il precedente stabilito dal capitolo decimo del dossier andino. Quel capitolo dichiarò che l'ordine prevedeva cinquanta blocchi di ricerca mirati, che la campagna eseguì trentadue interrogazioni vive dichiarate una per una, e che i restanti blocchi furono risolti per verifica incrociata sul corpus. Il presente documento si conforma e dichiara: una campagna di ricerca estesa è stata eseguita su otto questioni, i cui esiti sono versati ove pertinenti; i cinquanta blocchi che seguono sono in prevalenza prodotto di incrocio fra tre famiglie documentali fino a oggi mai federate, e non di interrogazione viva. Nessun blocco è stato diluito per raggiungere il conteggio.</w:t>
      </w:r>
    </w:p>
    <w:p>
      <w:pPr>
        <w:spacing w:line="276" w:lineRule="auto" w:before="0" w:after="0"/>
        <w:ind w:firstLine="425"/>
        <w:jc w:val="both"/>
      </w:pPr>
      <w:r>
        <w:rPr>
          <w:rFonts w:ascii="Times New Roman" w:hAnsi="Times New Roman" w:cs="Times New Roman" w:eastAsia="Times New Roman"/>
          <w:b w:val="0"/>
          <w:sz w:val="24"/>
        </w:rPr>
        <w:t>Blocco mirato numero 6205 — L'architettura del corpus conferito, ed è il primo reperto strutturale. Le unità documentali si dispongono in tre famiglie che non comunicano fra loro. La prima è la serie delle ricognizioni sull'attività ministeriale di Aldo Moro, undici documenti che percorrono sei Paesi e due oggetti trasversali, la Santa Sede e l'Opus Dei, con le ultime due dedicate a Franz Josef Strauß. La seconda è il corpus australe, otto registri e tre ricognizioni. La terza è il dossier andino su Monika Ertl, diciotto capitoli. Le tre famiglie condividono l'autore, il metodo e la scala dei gradi, e non condividono un solo rinvio incrociato. Livello A quanto alla constatazione, verificata per assenza di citazione reciproca.</w:t>
      </w:r>
    </w:p>
    <w:p>
      <w:pPr>
        <w:spacing w:line="276" w:lineRule="auto" w:before="0" w:after="0"/>
        <w:ind w:firstLine="425"/>
        <w:jc w:val="both"/>
      </w:pPr>
      <w:r>
        <w:rPr>
          <w:rFonts w:ascii="Times New Roman" w:hAnsi="Times New Roman" w:cs="Times New Roman" w:eastAsia="Times New Roman"/>
          <w:b w:val="0"/>
          <w:sz w:val="24"/>
        </w:rPr>
        <w:t>Blocco mirato numero 6206 — La conseguenza che ne discende, ed è la ragione per cui l'ordine di triangolare era necessario. Un corpus che cresce per famiglie non comunicanti produce duplicazione di ricerca, mancata composizione di divergenze, e soprattutto omissione dei ponti: due documenti possono contenere i due capi di un medesimo arco senza che alcuno dei due lo veda, perché nessuno dei due legge l'altro. I blocchi che seguono accertano cinque ponti di tale specie, dei quali quattro erano interamente contenuti nel materiale già in possesso dell'autore e nessuno era stato rilevato. Il primo di essi è esposto immediatamente.</w:t>
      </w:r>
    </w:p>
    <w:p>
      <w:pPr>
        <w:spacing w:line="276" w:lineRule="auto" w:before="0" w:after="0"/>
        <w:ind w:firstLine="425"/>
        <w:jc w:val="both"/>
      </w:pPr>
      <w:r>
        <w:rPr>
          <w:rFonts w:ascii="Times New Roman" w:hAnsi="Times New Roman" w:cs="Times New Roman" w:eastAsia="Times New Roman"/>
          <w:b w:val="0"/>
          <w:sz w:val="24"/>
        </w:rPr>
      </w:r>
    </w:p>
    <w:p>
      <w:pPr>
        <w:spacing w:line="276" w:lineRule="auto" w:before="0" w:after="120"/>
        <w:ind w:firstLine="0"/>
        <w:jc w:val="both"/>
      </w:pPr>
      <w:r>
        <w:rPr>
          <w:rFonts w:ascii="Times New Roman" w:hAnsi="Times New Roman" w:cs="Times New Roman" w:eastAsia="Times New Roman"/>
          <w:b/>
          <w:sz w:val="24"/>
        </w:rPr>
        <w:t>Sezione seconda — Il corridoio Lisbona-Roma-Johannesburg: il primo ponte italiano fra il perimetro Aginter e il perimetro australe</w:t>
      </w:r>
    </w:p>
    <w:p>
      <w:pPr>
        <w:spacing w:line="276" w:lineRule="auto" w:before="0" w:after="0"/>
        <w:ind w:firstLine="425"/>
        <w:jc w:val="both"/>
      </w:pPr>
      <w:r>
        <w:rPr>
          <w:rFonts w:ascii="Times New Roman" w:hAnsi="Times New Roman" w:cs="Times New Roman" w:eastAsia="Times New Roman"/>
          <w:b w:val="0"/>
          <w:sz w:val="24"/>
        </w:rPr>
        <w:t>Blocco mirato numero 6207 — Il primo arco. Guido Giannettini incontrò Yves Guérin-Sérac a Lisbona nel millenovecentosessantaquattro, presentato da un membro dell'Organizzazione dell'Esercito Segreto e alla presenza di un funzionario della polizia politica portoghese, per sua stessa testimonianza resa al giudice istruttore. Livello A quanto all'incontro, attestato dal dossier andino su base testimoniale giudiziaria. L'incontro precede di due anni la fondazione di Aginter Press, che è del settembre millenovecentosessantasei, e riguarda dunque Guérin-Sérac prima della struttura.</w:t>
      </w:r>
    </w:p>
    <w:p>
      <w:pPr>
        <w:spacing w:line="276" w:lineRule="auto" w:before="0" w:after="0"/>
        <w:ind w:firstLine="425"/>
        <w:jc w:val="both"/>
      </w:pPr>
      <w:r>
        <w:rPr>
          <w:rFonts w:ascii="Times New Roman" w:hAnsi="Times New Roman" w:cs="Times New Roman" w:eastAsia="Times New Roman"/>
          <w:b w:val="0"/>
          <w:sz w:val="24"/>
        </w:rPr>
        <w:t>Blocco mirato numero 6208 — Il secondo arco. Gianadelio Maletti, capo del Reparto D del Servizio Informazioni Difesa, fu condannato in via definitiva dalla Corte di cassazione a dodici mesi per il documento falso fornito a Marco Pozzan, nel quadro del favoreggiamento di Guido Giannettini e Pozzan medesimo nell'inchiesta su piazza Fontana; ed è l'unico condannato in via definitiva nei processi per quella strage. Livello A. Il primo e il secondo arco condividono dunque il medesimo nodo, e quel nodo è Giannettini.</w:t>
      </w:r>
    </w:p>
    <w:p>
      <w:pPr>
        <w:spacing w:line="276" w:lineRule="auto" w:before="0" w:after="0"/>
        <w:ind w:firstLine="425"/>
        <w:jc w:val="both"/>
      </w:pPr>
      <w:r>
        <w:rPr>
          <w:rFonts w:ascii="Times New Roman" w:hAnsi="Times New Roman" w:cs="Times New Roman" w:eastAsia="Times New Roman"/>
          <w:b w:val="0"/>
          <w:sz w:val="24"/>
        </w:rPr>
        <w:t>Blocco mirato numero 6209 — Il terzo arco, che il corpus australe possedeva senza conoscere i primi due. Maletti espatriò nel millenovecentottanta, si stabilì in un quartiere residenziale di Johannesburg, ottenne la cittadinanza sudafricana, rientrò in Italia una sola volta il venti marzo duemilauno con salvacondotto per testimoniare al processo di piazza Fontana, ricevette nel duemilaquattordici i magistrati di Palermo volati a Johannesburg, e vi morì. Livello A. L'Ottavo Registro aveva accertato quattro accessi dello Stato italiano al territorio sudafricano per il medesimo testimone e ne aveva tratto il canale giudiziario; esso non disponeva del primo arco.</w:t>
      </w:r>
    </w:p>
    <w:p>
      <w:pPr>
        <w:spacing w:line="276" w:lineRule="auto" w:before="0" w:after="0"/>
        <w:ind w:firstLine="425"/>
        <w:jc w:val="both"/>
      </w:pPr>
      <w:r>
        <w:rPr>
          <w:rFonts w:ascii="Times New Roman" w:hAnsi="Times New Roman" w:cs="Times New Roman" w:eastAsia="Times New Roman"/>
          <w:b w:val="0"/>
          <w:sz w:val="24"/>
        </w:rPr>
        <w:t>Blocco mirato numero 6210 — La formulazione del corridoio, e va data con la cautela che il dossier andino le impone. Tre archi di Livello A concatenati collegano la centrale lisboeta, il controspionaggio italiano deviato e il santuario australe: Aginter, Giannettini, Maletti, Sudafrica. Ma la concatenazione di archi certi non produce da sola un'operazione unitaria, e il corridoio si iscrive quale corridoio strutturale ai sensi del settimo Pattern, l'analisi della migrazione inter-dominio, e non quale disegno provato. Livello A quanto ai tre archi; nessun livello quanto a un disegno, che non si asserisce.</w:t>
      </w:r>
    </w:p>
    <w:p>
      <w:pPr>
        <w:spacing w:line="276" w:lineRule="auto" w:before="0" w:after="0"/>
        <w:ind w:firstLine="425"/>
        <w:jc w:val="both"/>
      </w:pPr>
      <w:r>
        <w:rPr>
          <w:rFonts w:ascii="Times New Roman" w:hAnsi="Times New Roman" w:cs="Times New Roman" w:eastAsia="Times New Roman"/>
          <w:b w:val="0"/>
          <w:sz w:val="24"/>
        </w:rPr>
        <w:t>Blocco mirato numero 6211 — Ciò che il corridoio muta nel corpus australe, e va enunciato perché è la prima acquisizione di rilievo del documento. Il canale giudiziario era stato trattato dall'Ottavo Registro come rapporto bilaterale fra due ordinamenti attorno a un testimone, e il presente autore lo aveva confermato in tale forma. Esso è invece il segmento terminale di una filiera che comincia a Lisbona nel millenovecentosessantaquattro. La persona che lo Stato italiano andò a interrogare quattro volte in Sudafrica non era un latitante qualunque: era il funzionario condannato per avere favorito la fuga dell'uomo che aveva incontrato il fondatore di Aginter Press. Livello A quanto alla ricomposizione.</w:t>
      </w:r>
    </w:p>
    <w:p>
      <w:pPr>
        <w:spacing w:line="276" w:lineRule="auto" w:before="0" w:after="0"/>
        <w:ind w:firstLine="425"/>
        <w:jc w:val="both"/>
      </w:pPr>
      <w:r>
        <w:rPr>
          <w:rFonts w:ascii="Times New Roman" w:hAnsi="Times New Roman" w:cs="Times New Roman" w:eastAsia="Times New Roman"/>
          <w:b w:val="0"/>
          <w:sz w:val="24"/>
        </w:rPr>
        <w:t>Blocco mirato numero 6212 — E qui va apposto il contrappeso, perché senza di esso la ricomposizione sarebbe suggestione. Nessuna fonte collega la scelta del Sudafrica quale destinazione dell'espatrio al perimetro Aginter, e nessuna fonte attribuisce a Maletti alcun rapporto con quella struttura. La ragione documentata dell'espatrio è la sottrazione alla condanna a quattordici anni per la sottrazione del dossier denominato Mi.Fo.Biali. Livello A quanto alla ragione documentata; Stato Zero di terzo grado, Livello C, quanto a ogni movente ulteriore, con sede negli atti del procedimento e nei fascicoli del servizio.</w:t>
      </w:r>
    </w:p>
    <w:p>
      <w:pPr>
        <w:spacing w:line="276" w:lineRule="auto" w:before="0" w:after="0"/>
        <w:ind w:firstLine="425"/>
        <w:jc w:val="both"/>
      </w:pPr>
      <w:r>
        <w:rPr>
          <w:rFonts w:ascii="Times New Roman" w:hAnsi="Times New Roman" w:cs="Times New Roman" w:eastAsia="Times New Roman"/>
          <w:b w:val="0"/>
          <w:sz w:val="24"/>
        </w:rPr>
        <w:t>Blocco mirato numero 6213 — Le emendazioni anagrafiche che il dossier andino risolve, e vanno registrate perché il corpus australe le teneva aperte. L'Ottavo Registro riportava senza comporla la divergenza sul luogo di nascita fra Castelnovo del Friuli e Milano: il dossier andino indica Milano, trenta settembre millenovecentoventuno, e la divergenza si compone in favore di Milano. Esso riportava altresì l'emendazione della data di morte dal duemilaventiquattro al nove giugno duemilaventuno: il dossier andino conferma il nove giugno duemilaventuno e aggiunge l'età di novantanove anni, coerente con la data di nascita ora accertata. Livello B quanto a entrambe le composizioni, la fonte essendo unica ancorché interna al corpus.</w:t>
      </w:r>
    </w:p>
    <w:p>
      <w:pPr>
        <w:spacing w:line="276" w:lineRule="auto" w:before="0" w:after="0"/>
        <w:ind w:firstLine="425"/>
        <w:jc w:val="both"/>
      </w:pPr>
      <w:r>
        <w:rPr>
          <w:rFonts w:ascii="Times New Roman" w:hAnsi="Times New Roman" w:cs="Times New Roman" w:eastAsia="Times New Roman"/>
          <w:b w:val="0"/>
          <w:sz w:val="24"/>
        </w:rPr>
        <w:t>Blocco mirato numero 6214 — Un elemento nuovo di primo rilievo, che nessun documento del corpus australe possedeva. Il padre di Gianadelio Maletti fu il generale Pietro Maletti, che la storiografia indica fra i principali responsabili del massacro di Debra Libanòs. Livello B quanto all'attribuzione storiografica, che è di fonte secondaria. Il rilievo si registra e non si impiega: la condotta del padre non è condotta del figlio, e il divieto di inferire da un legame di parentela una continuità di condotta è più stringente, non meno, quando la parentela è suggestiva. Si registra perché tacerlo sarebbe scorretto, secondo la formula che l'undicesima ricognizione ha impiegato nel caso analogo di Paolo Emilio Taviani.</w:t>
      </w:r>
    </w:p>
    <w:p>
      <w:pPr>
        <w:spacing w:line="276" w:lineRule="auto" w:before="0" w:after="0"/>
        <w:ind w:firstLine="425"/>
        <w:jc w:val="both"/>
      </w:pPr>
      <w:r>
        <w:rPr>
          <w:rFonts w:ascii="Times New Roman" w:hAnsi="Times New Roman" w:cs="Times New Roman" w:eastAsia="Times New Roman"/>
          <w:b w:val="0"/>
          <w:sz w:val="24"/>
        </w:rPr>
      </w:r>
    </w:p>
    <w:p>
      <w:pPr>
        <w:spacing w:line="276" w:lineRule="auto" w:before="0" w:after="120"/>
        <w:ind w:firstLine="0"/>
        <w:jc w:val="both"/>
      </w:pPr>
      <w:r>
        <w:rPr>
          <w:rFonts w:ascii="Times New Roman" w:hAnsi="Times New Roman" w:cs="Times New Roman" w:eastAsia="Times New Roman"/>
          <w:b/>
          <w:sz w:val="24"/>
        </w:rPr>
        <w:t>Sezione terza — Il Sudafrica come giurisdizione-santuario: una categoria che il corpus australe non possedeva</w:t>
      </w:r>
    </w:p>
    <w:p>
      <w:pPr>
        <w:spacing w:line="276" w:lineRule="auto" w:before="0" w:after="0"/>
        <w:ind w:firstLine="425"/>
        <w:jc w:val="both"/>
      </w:pPr>
      <w:r>
        <w:rPr>
          <w:rFonts w:ascii="Times New Roman" w:hAnsi="Times New Roman" w:cs="Times New Roman" w:eastAsia="Times New Roman"/>
          <w:b w:val="0"/>
          <w:sz w:val="24"/>
        </w:rPr>
        <w:t>Blocco mirato numero 6215 — Il secondo occupante del santuario, e la sua individuazione è il reperto della sezione. Casimiro Monteiro, agente della polizia politica portoghese cui sono attribuiti l'omicidio del generale Humberto Delgado e l'assemblaggio dell'ordigno che uccise Eduardo Mondlane a Dar es Salaam il tre febbraio millenovecentosessantanove, trovò in Sudafrica rifugio e protezione fino alla morte, avvenuta a Richards Bay il venticinque gennaio millenovecentonovantatré. Livello A quanto al rifugio e alla data; Livello B quanto alle attribuzioni degli omicidi, che sono contese.</w:t>
      </w:r>
    </w:p>
    <w:p>
      <w:pPr>
        <w:spacing w:line="276" w:lineRule="auto" w:before="0" w:after="0"/>
        <w:ind w:firstLine="425"/>
        <w:jc w:val="both"/>
      </w:pPr>
      <w:r>
        <w:rPr>
          <w:rFonts w:ascii="Times New Roman" w:hAnsi="Times New Roman" w:cs="Times New Roman" w:eastAsia="Times New Roman"/>
          <w:b w:val="0"/>
          <w:sz w:val="24"/>
        </w:rPr>
        <w:t>Blocco mirato numero 6216 — La composizione dei due casi, e produce una categoria nuova. Il Sudafrica dell'apartheid ospitò fino alla morte, in due decenni sovrapposti, un agente della polizia politica di uno Stato membro dell'Alleanza atlantica ricercato per omicidi politici e un generale del controspionaggio di un altro Stato membro condannato in via definitiva per favoreggiamento in un procedimento per strage. Livello A quanto ai due fatti. Ne discende che la funzione del territorio sudafricano nel sistema occidentale non fu soltanto quella di destinatario di forniture e di oggetto di sanzioni: fu anche quella di giurisdizione-santuario per personale degli apparati di sicurezza occidentali sottrattosi alla propria giustizia nazionale.</w:t>
      </w:r>
    </w:p>
    <w:p>
      <w:pPr>
        <w:spacing w:line="276" w:lineRule="auto" w:before="0" w:after="0"/>
        <w:ind w:firstLine="425"/>
        <w:jc w:val="both"/>
      </w:pPr>
      <w:r>
        <w:rPr>
          <w:rFonts w:ascii="Times New Roman" w:hAnsi="Times New Roman" w:cs="Times New Roman" w:eastAsia="Times New Roman"/>
          <w:b w:val="0"/>
          <w:sz w:val="24"/>
        </w:rPr>
        <w:t>Blocco mirato numero 6217 — La qualificazione della categoria e i suoi limiti, che vanno dichiarati perché due casi non fanno una regolarità. La proposizione è di Livello C in quanto generalizzazione da due istanze, secondo la medesima cautela con cui l'Ottavo Registro qualificò la propria proposizione sulla cooperazione giudiziaria. Essa diverrebbe di Livello B con il reperimento di un terzo caso di specie omogenea, e la sede di verifica è il registro delle naturalizzazioni sudafricane e i fondi dell'immigrazione per il periodo millenovecentosettanta-millenovecentonovanta. Stato Zero di terzo grado, di classe seconda quanto alla rimediabilità, il fondo essendo soggetto all'ordinamento sudafricano.</w:t>
      </w:r>
    </w:p>
    <w:p>
      <w:pPr>
        <w:spacing w:line="276" w:lineRule="auto" w:before="0" w:after="0"/>
        <w:ind w:firstLine="425"/>
        <w:jc w:val="both"/>
      </w:pPr>
      <w:r>
        <w:rPr>
          <w:rFonts w:ascii="Times New Roman" w:hAnsi="Times New Roman" w:cs="Times New Roman" w:eastAsia="Times New Roman"/>
          <w:b w:val="0"/>
          <w:sz w:val="24"/>
        </w:rPr>
        <w:t>Blocco mirato numero 6218 — Il rilievo che la categoria produce sul canale giudiziario, ed è di natura strutturale. Se il territorio sudafricano funzionava quale giurisdizione-santuario, allora la disponibilità della corte suprema di Pretoria a compiere un atto formale a beneficio del tribunale di Venezia nell'agosto millenovecentottantasei acquista una lettura ulteriore rispetto a quella dell'Ottavo Registro. Non soltanto l'ordinamento ospite consentì l'atto: esso lo consentì su un proprio residente naturalizzato che quel medesimo ordinamento proteggeva dall'estradizione. Livello B quanto alla lettura, che è inferenza dalla composizione dei due fatti. La condizione di falsificazione è il reperimento di una richiesta italiana di estradizione respinta, o della prova che nessuna fu mai avanzata.</w:t>
      </w:r>
    </w:p>
    <w:p>
      <w:pPr>
        <w:spacing w:line="276" w:lineRule="auto" w:before="0" w:after="0"/>
        <w:ind w:firstLine="425"/>
        <w:jc w:val="both"/>
      </w:pPr>
      <w:r>
        <w:rPr>
          <w:rFonts w:ascii="Times New Roman" w:hAnsi="Times New Roman" w:cs="Times New Roman" w:eastAsia="Times New Roman"/>
          <w:b w:val="0"/>
          <w:sz w:val="24"/>
        </w:rPr>
        <w:t>Blocco mirato numero 6219 — Una voce di tavola nuova che ne discende, di rendimento medio-alto. L'esistenza o inesistenza di richieste italiane di estradizione verso il Sudafrica per Gianadelio Maletti fra il millenovecentottanta e il millenovecentonovantaquattro. Sedi: Ministero della Giustizia, direzione generale degli affari penali, e Ministero degli Affari Esteri. Stato Zero di terzo grado, Livello C, di classe prima. Rendimento alto, poiché essa discriminerebbe fra due letture opposte della condotta italiana: la tolleranza di un rifugio o l'impotenza di fronte a un diniego.</w:t>
      </w:r>
    </w:p>
    <w:p>
      <w:pPr>
        <w:spacing w:line="276" w:lineRule="auto" w:before="0" w:after="0"/>
        <w:ind w:firstLine="425"/>
        <w:jc w:val="both"/>
      </w:pPr>
      <w:r>
        <w:rPr>
          <w:rFonts w:ascii="Times New Roman" w:hAnsi="Times New Roman" w:cs="Times New Roman" w:eastAsia="Times New Roman"/>
          <w:b w:val="0"/>
          <w:sz w:val="24"/>
        </w:rPr>
      </w:r>
    </w:p>
    <w:p>
      <w:pPr>
        <w:spacing w:line="276" w:lineRule="auto" w:before="0" w:after="120"/>
        <w:ind w:firstLine="0"/>
        <w:jc w:val="both"/>
      </w:pPr>
      <w:r>
        <w:rPr>
          <w:rFonts w:ascii="Times New Roman" w:hAnsi="Times New Roman" w:cs="Times New Roman" w:eastAsia="Times New Roman"/>
          <w:b/>
          <w:sz w:val="24"/>
        </w:rPr>
        <w:t>Sezione quarta — Strauß: il muro cronologico, l'omologia con il caso Moro, e il perimetro che nessuna ricognizione ha testato</w:t>
      </w:r>
    </w:p>
    <w:p>
      <w:pPr>
        <w:spacing w:line="276" w:lineRule="auto" w:before="0" w:after="0"/>
        <w:ind w:firstLine="425"/>
        <w:jc w:val="both"/>
      </w:pPr>
      <w:r>
        <w:rPr>
          <w:rFonts w:ascii="Times New Roman" w:hAnsi="Times New Roman" w:cs="Times New Roman" w:eastAsia="Times New Roman"/>
          <w:b w:val="0"/>
          <w:sz w:val="24"/>
        </w:rPr>
        <w:t>Blocco mirato numero 6220 — L'argomento decisivo dell'undicesima ricognizione, richiamato per intero. Aginter Press fu fondata nel settembre millenovecentosessantasei; Franz Josef Strauß lasciò il ministero della Difesa nel millenovecentosessantadue e tornò al governo nel millenovecentosessantasei alle Finanze e non alla Difesa. Ne discende che la sola fase in cui egli ebbe le funzioni per intrattenere rapporti con una struttura di quel tipo precede l'esistenza della struttura. Livello A quanto alle date; l'argomento è qualificato dalla ricognizione medesima come il più forte dell'intero studio.</w:t>
      </w:r>
    </w:p>
    <w:p>
      <w:pPr>
        <w:spacing w:line="276" w:lineRule="auto" w:before="0" w:after="0"/>
        <w:ind w:firstLine="425"/>
        <w:jc w:val="both"/>
      </w:pPr>
      <w:r>
        <w:rPr>
          <w:rFonts w:ascii="Times New Roman" w:hAnsi="Times New Roman" w:cs="Times New Roman" w:eastAsia="Times New Roman"/>
          <w:b w:val="0"/>
          <w:sz w:val="24"/>
        </w:rPr>
        <w:t>Blocco mirato numero 6221 — L'omologia con il caso Moro, ed è il reperto metodologico maggiore della sezione. Il capitolo primo del documento anteriore ha accertato che la triangolazione a tre termini fra Moro, il perimetro texano-repubblicano maturo e il Sudafrica è cronologicamente impossibile, essendo il secondo termine posteriore alla morte del primo. L'undicesima ricognizione accerta che la triangolazione fra Strauß e Aginter è cronologicamente impossibile nella sola fase funzionalmente rilevante, essendo l'oggetto posteriore alla carica. Due ricognizioni, due perimetri, due soggetti, e la medesima forma di argomento: la finestra in cui il soggetto avrebbe avuto la funzione non coincide con la finestra in cui l'oggetto esisteva.</w:t>
      </w:r>
    </w:p>
    <w:p>
      <w:pPr>
        <w:spacing w:line="276" w:lineRule="auto" w:before="0" w:after="0"/>
        <w:ind w:firstLine="425"/>
        <w:jc w:val="both"/>
      </w:pPr>
      <w:r>
        <w:rPr>
          <w:rFonts w:ascii="Times New Roman" w:hAnsi="Times New Roman" w:cs="Times New Roman" w:eastAsia="Times New Roman"/>
          <w:b w:val="0"/>
          <w:sz w:val="24"/>
        </w:rPr>
        <w:t>Blocco mirato numero 6222 — La proposta che ne discende, e si formula quale voce e non quale accertamento. La scala emendata degli Stati Zero a undici gradi non contiene il caso in cui l'assenza non discenda dall'archivio ma dal calendario. Un tale grado avrebbe una proprietà che nessuno degli undici possiede: esso non è rimediabile da alcuna ricerca, perché nessun documento può collocare un soggetto in rapporto con un oggetto inesistente, e differisce pertanto dal nono grado, l'atto atipico, che è irrimediabile per difetto di norma e non per difetto di coesistenza. Si dichiara espressamente che la proposta non è adottata, il corpus avendo stabilito con il Quarto Registro che un grado si adotta soltanto dopo prova condotta contro di esso, e tale prova non è stata condotta.</w:t>
      </w:r>
    </w:p>
    <w:p>
      <w:pPr>
        <w:spacing w:line="276" w:lineRule="auto" w:before="0" w:after="0"/>
        <w:ind w:firstLine="425"/>
        <w:jc w:val="both"/>
      </w:pPr>
      <w:r>
        <w:rPr>
          <w:rFonts w:ascii="Times New Roman" w:hAnsi="Times New Roman" w:cs="Times New Roman" w:eastAsia="Times New Roman"/>
          <w:b w:val="0"/>
          <w:sz w:val="24"/>
        </w:rPr>
        <w:t>Blocco mirato numero 6223 — La prova che andrebbe condotta contro la proposta, dichiarata perché senza di essa la proposta sarebbe infalsificabile. Si dovrebbe verificare se i due casi siano davvero omogenei. Nel caso Strauß l'impossibilità è funzionale e non assoluta: egli visse fino al millenovecentottantotto e Aginter esistette dal millenovecentosessantasei, sicché i due termini coesistettero per ventidue anni, ancorché fuori dalla carica rilevante. Nel caso Moro l'impossibilità è assoluta: egli morì nel millenovecentosettantotto e il perimetro maturo si costituì dopo. Ne discende che i due casi non sono omogenei e che il grado proposto ne coprirebbe uno solo. La proposta si ritira, e il ritiro è il risultato del blocco.</w:t>
      </w:r>
    </w:p>
    <w:p>
      <w:pPr>
        <w:spacing w:line="276" w:lineRule="auto" w:before="0" w:after="0"/>
        <w:ind w:firstLine="425"/>
        <w:jc w:val="both"/>
      </w:pPr>
      <w:r>
        <w:rPr>
          <w:rFonts w:ascii="Times New Roman" w:hAnsi="Times New Roman" w:cs="Times New Roman" w:eastAsia="Times New Roman"/>
          <w:b w:val="0"/>
          <w:sz w:val="24"/>
        </w:rPr>
        <w:t>Blocco mirato numero 6224 — Il perimetro che nessuna ricognizione ha testato, ed è la voce di rendimento massimo della sezione. L'undicesima ricognizione ha testato Strauß contro Aginter Press, contro l'affare Spiegel, contro le commissioni bavaresi e contro il trilaterale nucleare del millenovecentocinquantasette-millenovecentocinquantotto, con esito negativo su tutti i fronti. Essa non ha testato Strauß contro il Sudafrica. E il dossier andino, al capitolo quindicesimo, asserisce che la sponda politica tedesca dell'asse nucleare e militare con Pretoria passò per la Christlich-Soziale Union di Franz Josef Strauß e per la fondazione Hanns-Seidel. Livello A quanto alla mancata verifica; Livello C quanto all'asserzione del dossier andino, che è formulata senza indicazione di fonte primaria.</w:t>
      </w:r>
    </w:p>
    <w:p>
      <w:pPr>
        <w:spacing w:line="276" w:lineRule="auto" w:before="0" w:after="0"/>
        <w:ind w:firstLine="425"/>
        <w:jc w:val="both"/>
      </w:pPr>
      <w:r>
        <w:rPr>
          <w:rFonts w:ascii="Times New Roman" w:hAnsi="Times New Roman" w:cs="Times New Roman" w:eastAsia="Times New Roman"/>
          <w:b w:val="0"/>
          <w:sz w:val="24"/>
        </w:rPr>
        <w:t>Blocco mirato numero 6225 — E qui il terzo termine, che rende il perimetro percorribile. Il dossier andino accerta al capitolo sedicesimo, al Livello A, il finanziamento e l'ospitalità sudafricana al gruppo denominato Le Cercle, con delegazione ufficiale, riunioni di Stellenbosch negli anni millenovecentottantaquattro, millenovecentottantotto e millenovecentonovantuno, e risultanze del comitato Khan del millenovecentonovantuno. Ne discende che esiste un canale documentato fra l'apparato sudafricano e un gruppo transnazionale di élite politiche occidentali, e che la verifica dell'appartenenza di Strauß a quel gruppo è operazione distinta e non compiuta. Stato Zero di terzo grado, deposito inesplorato, Livello A quanto alla mancata verifica, di classe prima. È la voce che, sola, potrebbe convertire un esito negativo quadruplice in un accertamento positivo su perimetro diverso.</w:t>
      </w:r>
    </w:p>
    <w:p>
      <w:pPr>
        <w:spacing w:line="276" w:lineRule="auto" w:before="0" w:after="0"/>
        <w:ind w:firstLine="425"/>
        <w:jc w:val="both"/>
      </w:pPr>
      <w:r>
        <w:rPr>
          <w:rFonts w:ascii="Times New Roman" w:hAnsi="Times New Roman" w:cs="Times New Roman" w:eastAsia="Times New Roman"/>
          <w:b w:val="0"/>
          <w:sz w:val="24"/>
        </w:rPr>
      </w:r>
    </w:p>
    <w:p>
      <w:pPr>
        <w:spacing w:line="276" w:lineRule="auto" w:before="0" w:after="120"/>
        <w:ind w:firstLine="0"/>
        <w:jc w:val="both"/>
      </w:pPr>
      <w:r>
        <w:rPr>
          <w:rFonts w:ascii="Times New Roman" w:hAnsi="Times New Roman" w:cs="Times New Roman" w:eastAsia="Times New Roman"/>
          <w:b/>
          <w:sz w:val="24"/>
        </w:rPr>
        <w:t>Sezione quinta — Il ponte portoghese: una serie archivistica sola per due Stati Zero dichiarati da due ricognizioni che non si sono lette</w:t>
      </w:r>
    </w:p>
    <w:p>
      <w:pPr>
        <w:spacing w:line="276" w:lineRule="auto" w:before="0" w:after="0"/>
        <w:ind w:firstLine="425"/>
        <w:jc w:val="both"/>
      </w:pPr>
      <w:r>
        <w:rPr>
          <w:rFonts w:ascii="Times New Roman" w:hAnsi="Times New Roman" w:cs="Times New Roman" w:eastAsia="Times New Roman"/>
          <w:b w:val="0"/>
          <w:sz w:val="24"/>
        </w:rPr>
        <w:t>Blocco mirato numero 6226 — Il primo capo del ponte. La sesta ricognizione, dedicata a Moro, al Portogallo e all'Opus Dei, dichiara che non è stato reperito alcun documento diplomatico specifico che colleghi Moro alla situazione portoghese anteriore alla rivoluzione, né alcuna iniziativa morotea riguardante il Portogallo di Caetano; e indica quale sede l'Archivio Storico Diplomatico della Farnesina, serie Portogallo millenovecentosessantanove-millenovecentosettantaquattro, presso cui la ricerca resta interamente da condurre, con particolare riguardo ai telespressi dell'ambasciata di Lisbona e agli appunti della Direzione generale affari politici. Livello A quanto alla dichiarazione.</w:t>
      </w:r>
    </w:p>
    <w:p>
      <w:pPr>
        <w:spacing w:line="276" w:lineRule="auto" w:before="0" w:after="0"/>
        <w:ind w:firstLine="425"/>
        <w:jc w:val="both"/>
      </w:pPr>
      <w:r>
        <w:rPr>
          <w:rFonts w:ascii="Times New Roman" w:hAnsi="Times New Roman" w:cs="Times New Roman" w:eastAsia="Times New Roman"/>
          <w:b w:val="0"/>
          <w:sz w:val="24"/>
        </w:rPr>
        <w:t>Blocco mirato numero 6227 — Il secondo capo del ponte. Il dossier andino accerta al capitolo sedicesimo l'esistenza dell'esercizio denominato ALCORA, che fra il millenovecentosettanta e il millenovecentosettantaquattro coordinò sul piano politico-militare Portogallo, Sudafrica e Rhodesia. Livello A quanto all'esistenza e alle date, attestate dalla storiografia archivistica. Ne discende che nell'arco esatto in cui la sesta ricognizione dichiara di non avere cercato la serie Portogallo, quella serie copre il periodo in cui il Portogallo era membro di un'alleanza formalizzata con il regime di Pretoria.</w:t>
      </w:r>
    </w:p>
    <w:p>
      <w:pPr>
        <w:spacing w:line="276" w:lineRule="auto" w:before="0" w:after="0"/>
        <w:ind w:firstLine="425"/>
        <w:jc w:val="both"/>
      </w:pPr>
      <w:r>
        <w:rPr>
          <w:rFonts w:ascii="Times New Roman" w:hAnsi="Times New Roman" w:cs="Times New Roman" w:eastAsia="Times New Roman"/>
          <w:b w:val="0"/>
          <w:sz w:val="24"/>
        </w:rPr>
        <w:t>Blocco mirato numero 6228 — La composizione, ed è il reperto della sezione. La medesima serie archivistica non spogliata servirebbe simultaneamente a due Stati Zero dichiarati da due ricognizioni distinte che non si sono lette: quello sul rapporto fra Moro e il Portogallo, dichiarato dalla sesta, e quello sul rapporto fra Moro e la questione sudafricana e namibiana, dichiarato dalla diciassettesima e confermato dal documento anteriore. La ragione è che il Portogallo era, nel quinquennio ministeriale, il membro atlantico che teneva l'alleanza con Pretoria, e che la corrispondenza diplomatica italiana su Lisbona in quel periodo aveva pertanto un contenuto australe strutturale e non occasionale. Livello B quanto alla composizione, che è inferenza dalla sovrapposizione delle date e non da un documento che la enunci.</w:t>
      </w:r>
    </w:p>
    <w:p>
      <w:pPr>
        <w:spacing w:line="276" w:lineRule="auto" w:before="0" w:after="0"/>
        <w:ind w:firstLine="425"/>
        <w:jc w:val="both"/>
      </w:pPr>
      <w:r>
        <w:rPr>
          <w:rFonts w:ascii="Times New Roman" w:hAnsi="Times New Roman" w:cs="Times New Roman" w:eastAsia="Times New Roman"/>
          <w:b w:val="0"/>
          <w:sz w:val="24"/>
        </w:rPr>
        <w:t>Blocco mirato numero 6229 — La collocazione cronologica che rende la composizione stringente. Moro resse la Farnesina dal cinque agosto millenovecentosessantanove al ventisei giugno millenovecentosettantadue e dal sette luglio millenovecentosettantatré al ventitré novembre millenovecentosettantaquattro. ALCORA operò dal millenovecentosettanta al millenovecentosettantaquattro. La Rivoluzione dei garofani è del venticinque aprile millenovecentosettantaquattro, e cade dentro il secondo mandato ministeriale. Livello A quanto a tutte le date. E si applica immediatamente la disciplina: la sovrapposizione non è un nesso, nessuna fonte collega Moro ad ALCORA, e non li si collega. Ciò che la sovrapposizione stabilisce è dove cercare, non che cosa si troverà.</w:t>
      </w:r>
    </w:p>
    <w:p>
      <w:pPr>
        <w:spacing w:line="276" w:lineRule="auto" w:before="0" w:after="0"/>
        <w:ind w:firstLine="425"/>
        <w:jc w:val="both"/>
      </w:pPr>
      <w:r>
        <w:rPr>
          <w:rFonts w:ascii="Times New Roman" w:hAnsi="Times New Roman" w:cs="Times New Roman" w:eastAsia="Times New Roman"/>
          <w:b w:val="0"/>
          <w:sz w:val="24"/>
        </w:rPr>
        <w:t>Blocco mirato numero 6230 — La voce di tavola che ne discende, ed è la sola dell'intera sessione che serva due Stati Zero con una operazione sola. Lo spoglio della serie Portogallo millenovecentosessantanove-millenovecentosettantaquattro dell'Archivio Storico Diplomatico, con interrogazione mirata su ALCORA, sulla questione sudafricana e namibiana, e sulle forniture militari. Stato Zero di terzo grado, deposito inesplorato, Livello A quanto alla mancata esecuzione, di classe prima. Rendimento massimo per rapporto fra costo e resa, poiché essa è l'unica voce del corpus che, riuscendo, chiuderebbe due assenze e, fallendo, le convertirebbe entrambe in quarto grado di specie prima.</w:t>
      </w:r>
    </w:p>
    <w:p>
      <w:pPr>
        <w:spacing w:line="276" w:lineRule="auto" w:before="0" w:after="0"/>
        <w:ind w:firstLine="425"/>
        <w:jc w:val="both"/>
      </w:pPr>
      <w:r>
        <w:rPr>
          <w:rFonts w:ascii="Times New Roman" w:hAnsi="Times New Roman" w:cs="Times New Roman" w:eastAsia="Times New Roman"/>
          <w:b w:val="0"/>
          <w:sz w:val="24"/>
        </w:rPr>
        <w:t>Blocco mirato numero 6231 — Un rilievo ulteriore che il ponte produce sul versante statunitense, e che il documento anteriore non poteva formulare. Il capitolo secondo di quel documento accerta che il volume ventottesimo della serie diplomatica statunitense per gli anni millenovecentosessantanove-millenovecentosettantasei si articola in quattro capitoli, dei quali il secondo è dedicato all'Africa portoghese. Ne discende che l'apparato statunitense trattava il perimetro australe e il perimetro portoghese entro un medesimo volume e una medesima serie, mentre l'apparato analitico italiano li ha trattati in due famiglie documentali che non si citano. Livello A quanto alla struttura del volume. La differenza non è di merito ma di architettura, ed è la seconda volta nella sessione che l'architettura statunitense risulta più integrata di quella italiana sul medesimo oggetto.</w:t>
      </w:r>
    </w:p>
    <w:p>
      <w:pPr>
        <w:spacing w:line="276" w:lineRule="auto" w:before="0" w:after="0"/>
        <w:ind w:firstLine="425"/>
        <w:jc w:val="both"/>
      </w:pPr>
      <w:r>
        <w:rPr>
          <w:rFonts w:ascii="Times New Roman" w:hAnsi="Times New Roman" w:cs="Times New Roman" w:eastAsia="Times New Roman"/>
          <w:b w:val="0"/>
          <w:sz w:val="24"/>
        </w:rPr>
      </w:r>
    </w:p>
    <w:p>
      <w:pPr>
        <w:spacing w:line="276" w:lineRule="auto" w:before="0" w:after="120"/>
        <w:ind w:firstLine="0"/>
        <w:jc w:val="both"/>
      </w:pPr>
      <w:r>
        <w:rPr>
          <w:rFonts w:ascii="Times New Roman" w:hAnsi="Times New Roman" w:cs="Times New Roman" w:eastAsia="Times New Roman"/>
          <w:b/>
          <w:sz w:val="24"/>
        </w:rPr>
        <w:t>Sezione sesta — Le casse di Mosca: riqualificazione di uno Stato Zero dal terzo all'undicesimo grado</w:t>
      </w:r>
    </w:p>
    <w:p>
      <w:pPr>
        <w:spacing w:line="276" w:lineRule="auto" w:before="0" w:after="0"/>
        <w:ind w:firstLine="425"/>
        <w:jc w:val="both"/>
      </w:pPr>
      <w:r>
        <w:rPr>
          <w:rFonts w:ascii="Times New Roman" w:hAnsi="Times New Roman" w:cs="Times New Roman" w:eastAsia="Times New Roman"/>
          <w:b w:val="0"/>
          <w:sz w:val="24"/>
        </w:rPr>
        <w:t>Blocco mirato numero 6232 — Lo stato anteriore. L'Ottavo Registro ha qualificato l'archivio catturato di Aginter Press quale deposito inesplorato con condizione di accesso, terzo grado, stabilendo che ogni affermazione fondata su ciò che esso conterrebbe è di Livello C. Il documento anteriore ha confermato la qualificazione senza aggiungervi nulla, non avendo interrogato l'archivio. Livello A quanto allo stato anteriore.</w:t>
      </w:r>
    </w:p>
    <w:p>
      <w:pPr>
        <w:spacing w:line="276" w:lineRule="auto" w:before="0" w:after="0"/>
        <w:ind w:firstLine="425"/>
        <w:jc w:val="both"/>
      </w:pPr>
      <w:r>
        <w:rPr>
          <w:rFonts w:ascii="Times New Roman" w:hAnsi="Times New Roman" w:cs="Times New Roman" w:eastAsia="Times New Roman"/>
          <w:b w:val="0"/>
          <w:sz w:val="24"/>
        </w:rPr>
        <w:t>Blocco mirato numero 6233 — L'elemento nuovo, che l'undicesima ricognizione contiene e che nessun documento del corpus australe possedeva. José Manuel Duarte de Jesus, autore della monografia accademica sulla guerra segreta di Salazar in Africa pubblicata nel duemiladodici presso l'istituto di relazioni internazionali dell'Università Nuova di Lisbona, segnala che alcune casse di documenti di Aginter e della polizia politica portoghese finirono a Mosca nella settimana del venticinque aprile millenovecentosettantaquattro o poco dopo, e sono verosimilmente perdute. Livello B quanto alla segnalazione, che è di fonte accademica singola.</w:t>
      </w:r>
    </w:p>
    <w:p>
      <w:pPr>
        <w:spacing w:line="276" w:lineRule="auto" w:before="0" w:after="0"/>
        <w:ind w:firstLine="425"/>
        <w:jc w:val="both"/>
      </w:pPr>
      <w:r>
        <w:rPr>
          <w:rFonts w:ascii="Times New Roman" w:hAnsi="Times New Roman" w:cs="Times New Roman" w:eastAsia="Times New Roman"/>
          <w:b w:val="0"/>
          <w:sz w:val="24"/>
        </w:rPr>
        <w:t>Blocco mirato numero 6234 — La riqualificazione che ne discende, e va enunciata con precisione perché essa muta un grado consolidato. Se una parte dell'archivio è in territorio russo, quella parte non è deposito inesplorato con condizione di accesso, terzo grado, la cui condizione di chiusura è il consenso del detentore portoghese; essa è limite di giurisdizione, undicesimo grado, la cui condizione di chiusura è il consenso di un ordinamento straniero che non ha alcuna ragione di prestarlo. Le due parti dell'archivio hanno dunque gradi diversi, e la loro qualificazione unitaria, che il corpus operava, è indebita. Livello B quanto alla riqualificazione, che dipende dalla segnalazione di fonte singola.</w:t>
      </w:r>
    </w:p>
    <w:p>
      <w:pPr>
        <w:spacing w:line="276" w:lineRule="auto" w:before="0" w:after="0"/>
        <w:ind w:firstLine="425"/>
        <w:jc w:val="both"/>
      </w:pPr>
      <w:r>
        <w:rPr>
          <w:rFonts w:ascii="Times New Roman" w:hAnsi="Times New Roman" w:cs="Times New Roman" w:eastAsia="Times New Roman"/>
          <w:b w:val="0"/>
          <w:sz w:val="24"/>
        </w:rPr>
        <w:t>Blocco mirato numero 6235 — La conseguenza operativa, che è duplice e va data per intero. Prima: ogni ricerca futura sull'archivio Aginter deve dichiarare a quale delle due parti si riferisca, poiché un esito negativo sulla parte lisboeta non copre la parte moscovita e viceversa. Seconda, e riguarda l'intero corpus: il Sesto Registro ha accertato che la parte non consultata del fondo della polizia politica portoghese è stimata dal capo divisione dell'archivio nella metà della documentazione esistente nei depositi, benché già numerata. Ne discende che l'archivio Aginter si trova in tre stati distinti e non in uno: consultato, non consultato ma consultabile a Lisbona, e non consultabile a Mosca. Livello A quanto alla tripartizione.</w:t>
      </w:r>
    </w:p>
    <w:p>
      <w:pPr>
        <w:spacing w:line="276" w:lineRule="auto" w:before="0" w:after="0"/>
        <w:ind w:firstLine="425"/>
        <w:jc w:val="both"/>
      </w:pPr>
      <w:r>
        <w:rPr>
          <w:rFonts w:ascii="Times New Roman" w:hAnsi="Times New Roman" w:cs="Times New Roman" w:eastAsia="Times New Roman"/>
          <w:b w:val="0"/>
          <w:sz w:val="24"/>
        </w:rPr>
        <w:t>Blocco mirato numero 6236 — Il rilievo che ne discende sulla proposizione dell'effetto lampione, e la rafforza per via nuova. Il corpus possiede quale constatazione empirica che nessun archivio di apparato di sicurezza si è mai aperto volontariamente, e che ogni apertura è derivata da causa esterna. La sesta ricognizione vi aggiunge un corollario che il presente blocco fa proprio: l'apertura di un archivio non equivale alla sua lettura. Il caso Aginter ne fornisce la forma estrema, poiché l'archivio si aprì per crollo del regime che lo teneva chiuso, ne resta non letta la metà, e una parte era già uscita dal Paese prima che l'apertura avvenisse. Livello A.</w:t>
      </w:r>
    </w:p>
    <w:p>
      <w:pPr>
        <w:spacing w:line="276" w:lineRule="auto" w:before="0" w:after="0"/>
        <w:ind w:firstLine="425"/>
        <w:jc w:val="both"/>
      </w:pPr>
      <w:r>
        <w:rPr>
          <w:rFonts w:ascii="Times New Roman" w:hAnsi="Times New Roman" w:cs="Times New Roman" w:eastAsia="Times New Roman"/>
          <w:b w:val="0"/>
          <w:sz w:val="24"/>
        </w:rPr>
      </w:r>
    </w:p>
    <w:p>
      <w:pPr>
        <w:spacing w:line="276" w:lineRule="auto" w:before="0" w:after="120"/>
        <w:ind w:firstLine="0"/>
        <w:jc w:val="both"/>
      </w:pPr>
      <w:r>
        <w:rPr>
          <w:rFonts w:ascii="Times New Roman" w:hAnsi="Times New Roman" w:cs="Times New Roman" w:eastAsia="Times New Roman"/>
          <w:b/>
          <w:sz w:val="24"/>
        </w:rPr>
        <w:t>Sezione settima — La regolarità dei sette perimetri: la riqualificazione dello Stato Zero su Moro</w:t>
      </w:r>
    </w:p>
    <w:p>
      <w:pPr>
        <w:spacing w:line="276" w:lineRule="auto" w:before="0" w:after="0"/>
        <w:ind w:firstLine="425"/>
        <w:jc w:val="both"/>
      </w:pPr>
      <w:r>
        <w:rPr>
          <w:rFonts w:ascii="Times New Roman" w:hAnsi="Times New Roman" w:cs="Times New Roman" w:eastAsia="Times New Roman"/>
          <w:b w:val="0"/>
          <w:sz w:val="24"/>
        </w:rPr>
        <w:t>Blocco mirato numero 6237 — Il conteggio, e va posto per primo perché da esso discende tutto il resto della sezione. Le ricognizioni sulla serie Moro hanno percorso l'attività ministeriale del soggetto verso sei Paesi — Spagna, Portogallo, Germania, Grecia, Cipro e Turchia — e verso due oggetti trasversali, la Santa Sede e l'Opus Dei. La diciassettesima ricognizione ha aggiunto il Sudafrica quale settimo perimetro. Livello A quanto al conteggio, verificato sulle intestazioni dei documenti conferiti.</w:t>
      </w:r>
    </w:p>
    <w:p>
      <w:pPr>
        <w:spacing w:line="276" w:lineRule="auto" w:before="0" w:after="0"/>
        <w:ind w:firstLine="425"/>
        <w:jc w:val="both"/>
      </w:pPr>
      <w:r>
        <w:rPr>
          <w:rFonts w:ascii="Times New Roman" w:hAnsi="Times New Roman" w:cs="Times New Roman" w:eastAsia="Times New Roman"/>
          <w:b w:val="0"/>
          <w:sz w:val="24"/>
        </w:rPr>
        <w:t>Blocco mirato numero 6238 — L'esito costante, riportato nella formulazione della sesta ricognizione. Verso Madrid, nessuna iniziativa documentata; verso Lisbona, nessun atto reperito, nemmeno sull'espulsione di nove cittadini italiani; verso l'Opus Dei, nessun contatto documentato in nessuno dei due perimetri iberici. E la formula riassuntiva che quella ricognizione consegna: l'esito costante è che il governo italiano non compare. Livello A quanto alla formulazione.</w:t>
      </w:r>
    </w:p>
    <w:p>
      <w:pPr>
        <w:spacing w:line="276" w:lineRule="auto" w:before="0" w:after="0"/>
        <w:ind w:firstLine="425"/>
        <w:jc w:val="both"/>
      </w:pPr>
      <w:r>
        <w:rPr>
          <w:rFonts w:ascii="Times New Roman" w:hAnsi="Times New Roman" w:cs="Times New Roman" w:eastAsia="Times New Roman"/>
          <w:b w:val="0"/>
          <w:sz w:val="24"/>
        </w:rPr>
        <w:t>Blocco mirato numero 6239 — La conseguenza, ed è la riqualificazione maggiore che il presente documento opera su sé stesso. Il capitolo decimo del documento anteriore ha trattato lo Stato Zero sul nesso fra Moro e la questione sudafricana come proprietà del perimetro australe, qualificandolo di terzo grado tendente al sesto e argomentando la tendenza al sesto sulla collocazione mediterranea e atlantica delle priorità del soggetto. La qualificazione era corretta e la sua motivazione era insufficiente. Esso non è la prima assenza rilevata su quel soggetto: è la settima, e le sei anteriori riguardano perimetri che con l'Africa australe non hanno alcuna relazione. Livello A quanto alla constatazione.</w:t>
      </w:r>
    </w:p>
    <w:p>
      <w:pPr>
        <w:spacing w:line="276" w:lineRule="auto" w:before="0" w:after="0"/>
        <w:ind w:firstLine="425"/>
        <w:jc w:val="both"/>
      </w:pPr>
      <w:r>
        <w:rPr>
          <w:rFonts w:ascii="Times New Roman" w:hAnsi="Times New Roman" w:cs="Times New Roman" w:eastAsia="Times New Roman"/>
          <w:b w:val="0"/>
          <w:sz w:val="24"/>
        </w:rPr>
        <w:t>Blocco mirato numero 6240 — La formulazione corretta, che ne discende. L'assenza di Moro dal perimetro australe non si spiega con la collocazione mediterranea delle sue priorità, poiché la medesima assenza si registra sul perimetro spagnolo, che mediterraneo è, e sul perimetro tedesco ed europeo orientale, che alle priorità dichiarate appartengono. Ciò che i sette casi documentano insieme non è una scelta di perimetro del soggetto: è una proprietà della documentazione disponibile sull'azione ministeriale italiana del periodo. Livello B quanto a tale lettura, che è inferenza dalla ripetizione di sette esiti omogenei su perimetri eterogenei.</w:t>
      </w:r>
    </w:p>
    <w:p>
      <w:pPr>
        <w:spacing w:line="276" w:lineRule="auto" w:before="0" w:after="0"/>
        <w:ind w:firstLine="425"/>
        <w:jc w:val="both"/>
      </w:pPr>
      <w:r>
        <w:rPr>
          <w:rFonts w:ascii="Times New Roman" w:hAnsi="Times New Roman" w:cs="Times New Roman" w:eastAsia="Times New Roman"/>
          <w:b w:val="0"/>
          <w:sz w:val="24"/>
        </w:rPr>
        <w:t>Blocco mirato numero 6241 — Ciò che la riqualificazione toglie e ciò che aggiunge, e va detto per intero perché essa non è indolore. Essa toglie forza alla tendenza al sesto grado, l'assenza coerente con la collocazione, poiché la coerenza con la collocazione non spiega più nulla ove la medesima assenza si dia fuori dalla collocazione. Essa aggiunge forza al terzo grado, deposito inesplorato, poiché sette assenze su sette perimetri, ciascuna dichiarata su archivi non consultati, indicano un problema di accesso e non un problema di condotta. Ne discende che lo Stato Zero su Moro e il Sudafrica va qualificato terzo grado puro, Livello C, senza tendenza al sesto. Il documento anteriore è emendato su questo punto.</w:t>
      </w:r>
    </w:p>
    <w:p>
      <w:pPr>
        <w:spacing w:line="276" w:lineRule="auto" w:before="0" w:after="0"/>
        <w:ind w:firstLine="425"/>
        <w:jc w:val="both"/>
      </w:pPr>
      <w:r>
        <w:rPr>
          <w:rFonts w:ascii="Times New Roman" w:hAnsi="Times New Roman" w:cs="Times New Roman" w:eastAsia="Times New Roman"/>
          <w:b w:val="0"/>
          <w:sz w:val="24"/>
        </w:rPr>
        <w:t>Blocco mirato numero 6242 — Una avvertenza che chiude la sezione e che va rivolta a chi leggerà. La riqualificazione non alleggerisce e non aggrava la posizione del soggetto: essa sposta la domanda dal soggetto all'archivio. Chi leggesse in questi blocchi la prova che Moro fu estraneo al perimetro australe leggerebbe una proposizione che essi non enunciano; chi vi leggesse la prova che vi ebbe parte occulta ne leggerebbe una ancora meno fondata. Ciò che essi enunciano è che l'azione ministeriale italiana del periodo non è documentata su sette perimetri, e che tale costanza è un dato sull'archivio.</w:t>
      </w:r>
    </w:p>
    <w:p>
      <w:pPr>
        <w:spacing w:line="276" w:lineRule="auto" w:before="0" w:after="0"/>
        <w:ind w:firstLine="425"/>
        <w:jc w:val="both"/>
      </w:pPr>
      <w:r>
        <w:rPr>
          <w:rFonts w:ascii="Times New Roman" w:hAnsi="Times New Roman" w:cs="Times New Roman" w:eastAsia="Times New Roman"/>
          <w:b w:val="0"/>
          <w:sz w:val="24"/>
        </w:rPr>
      </w:r>
    </w:p>
    <w:p>
      <w:pPr>
        <w:spacing w:line="276" w:lineRule="auto" w:before="0" w:after="120"/>
        <w:ind w:firstLine="0"/>
        <w:jc w:val="both"/>
      </w:pPr>
      <w:r>
        <w:rPr>
          <w:rFonts w:ascii="Times New Roman" w:hAnsi="Times New Roman" w:cs="Times New Roman" w:eastAsia="Times New Roman"/>
          <w:b/>
          <w:sz w:val="24"/>
        </w:rPr>
        <w:t>Sezione ottava — La convergenza indipendente sulla proposizione strutturale, il criterio della traccia disinteressata, la specie nuova di contaminazione</w:t>
      </w:r>
    </w:p>
    <w:p>
      <w:pPr>
        <w:spacing w:line="276" w:lineRule="auto" w:before="0" w:after="0"/>
        <w:ind w:firstLine="425"/>
        <w:jc w:val="both"/>
      </w:pPr>
      <w:r>
        <w:rPr>
          <w:rFonts w:ascii="Times New Roman" w:hAnsi="Times New Roman" w:cs="Times New Roman" w:eastAsia="Times New Roman"/>
          <w:b w:val="0"/>
          <w:sz w:val="24"/>
        </w:rPr>
        <w:t>Blocco mirato numero 6243 — La proposizione della sesta ricognizione, riportata perché essa è il termine della convergenza. Dove agiscono soggetti che tengono archivio e che pubblicano — congregazioni, riviste missionarie, apparati di polizia, cancellerie ecclesiastiche — resta traccia anche a mezzo secolo di distanza; dove agiscono i governi, e i loro archivi non sono accessibili o non sono indicizzati, non resta nulla. Livello A quanto alla formulazione.</w:t>
      </w:r>
    </w:p>
    <w:p>
      <w:pPr>
        <w:spacing w:line="276" w:lineRule="auto" w:before="0" w:after="0"/>
        <w:ind w:firstLine="425"/>
        <w:jc w:val="both"/>
      </w:pPr>
      <w:r>
        <w:rPr>
          <w:rFonts w:ascii="Times New Roman" w:hAnsi="Times New Roman" w:cs="Times New Roman" w:eastAsia="Times New Roman"/>
          <w:b w:val="0"/>
          <w:sz w:val="24"/>
        </w:rPr>
        <w:t>Blocco mirato numero 6244 — La proposizione del documento anteriore, riportata accanto. Sulla medesima materia e nel medesimo decennio, l'ordinamento statunitense produsse cinque opzioni scritte oggi pubblicate e l'ordinamento italiano non produsse alcun atto tipico, non per occultamento ma perché il diritto non ne prescriveva la formazione; sicché l'asimmetria fra i due archivi non è di apertura ma di esistenza. Livello A quanto alla formulazione.</w:t>
      </w:r>
    </w:p>
    <w:p>
      <w:pPr>
        <w:spacing w:line="276" w:lineRule="auto" w:before="0" w:after="0"/>
        <w:ind w:firstLine="425"/>
        <w:jc w:val="both"/>
      </w:pPr>
      <w:r>
        <w:rPr>
          <w:rFonts w:ascii="Times New Roman" w:hAnsi="Times New Roman" w:cs="Times New Roman" w:eastAsia="Times New Roman"/>
          <w:b w:val="0"/>
          <w:sz w:val="24"/>
        </w:rPr>
        <w:t>Blocco mirato numero 6245 — La convergenza, e va enunciata con la sua qualificazione perché essa è il reperto epistemologico della sessione. Due ricognizioni condotte su perimetri senza alcuna relazione — l'una sulla penisola iberica e l'ente ecclesiale, l'altra sull'Africa australe e il canale industriale — hanno raggiunto indipendentemente la medesima proposizione strutturale sulla natura della documentazione dell'azione governativa italiana. Nessuna delle due cita l'altra. Ne discende che la proposizione non è un artefatto del perimetro su cui fu formulata, e il corpus possiede su di essa due istanze genealogicamente indipendenti. Livello A quanto alla convergenza; la proposizione, che ciascuna ricognizione teneva a Livello B, si eleva a Livello A per indipendenza genealogica delle due derivazioni.</w:t>
      </w:r>
    </w:p>
    <w:p>
      <w:pPr>
        <w:spacing w:line="276" w:lineRule="auto" w:before="0" w:after="0"/>
        <w:ind w:firstLine="425"/>
        <w:jc w:val="both"/>
      </w:pPr>
      <w:r>
        <w:rPr>
          <w:rFonts w:ascii="Times New Roman" w:hAnsi="Times New Roman" w:cs="Times New Roman" w:eastAsia="Times New Roman"/>
          <w:b w:val="0"/>
          <w:sz w:val="24"/>
        </w:rPr>
        <w:t>Blocco mirato numero 6246 — Il criterio che l'undicesima ricognizione consegna, e che il corpus australe non possedeva. Una connessione reale lascia tracce presso soggetti che non avevano interesse a produrle; dove tale traccia manca del tutto, non si è in presenza di un segreto ben custodito ma di un'affermazione. Livello A quanto alla formulazione, che la ricognizione argomenta sul caso di controllo dell'affare Spiegel, documentato perché la polizia dovette verbalizzare, il Parlamento interrogare, la procura qualificare e la Corte decidere, e nessuno di essi voleva documentare l'imbarazzo di un ministro in carica.</w:t>
      </w:r>
    </w:p>
    <w:p>
      <w:pPr>
        <w:spacing w:line="276" w:lineRule="auto" w:before="0" w:after="0"/>
        <w:ind w:firstLine="425"/>
        <w:jc w:val="both"/>
      </w:pPr>
      <w:r>
        <w:rPr>
          <w:rFonts w:ascii="Times New Roman" w:hAnsi="Times New Roman" w:cs="Times New Roman" w:eastAsia="Times New Roman"/>
          <w:b w:val="0"/>
          <w:sz w:val="24"/>
        </w:rPr>
        <w:t>Blocco mirato numero 6247 — L'applicazione del criterio ai reperti della sessione anteriore, ed è la prima volta che il corpus australe vi si sottopone. Il canale industriale è nominato quale italiano da un apparato informativo straniero che non aveva interesse a nominarlo: supera il criterio. Il voto statunitense favorevole alle risoluzioni namibiane è registrato in un verbale multilaterale che l'apparato statunitense non aveva interesse a produrre, la propria politica dichiarata essendo opposta: supera il criterio. Il nodo del canale petrolifero è documentato da un ufficio di ricerca olandese e dalla stampa sudafricana, nessuno dei quali aveva interesse a produrre un nodo italiano: supera il criterio. Livello A quanto ai tre esiti.</w:t>
      </w:r>
    </w:p>
    <w:p>
      <w:pPr>
        <w:spacing w:line="276" w:lineRule="auto" w:before="0" w:after="0"/>
        <w:ind w:firstLine="425"/>
        <w:jc w:val="both"/>
      </w:pPr>
      <w:r>
        <w:rPr>
          <w:rFonts w:ascii="Times New Roman" w:hAnsi="Times New Roman" w:cs="Times New Roman" w:eastAsia="Times New Roman"/>
          <w:b w:val="0"/>
          <w:sz w:val="24"/>
        </w:rPr>
        <w:t>Blocco mirato numero 6248 — E l'applicazione del criterio produce anche un esito sfavorevole, che va dichiarato con la medesima nettezza. La qualificazione della rete conservatrice statunitense degli anni Ottanta quale ambiente anziché struttura coordinata, che il capitolo quinto del documento anteriore ha operato, poggia su una fonte giornalistica statunitense che aveva interesse a produrre l'elenco. Il criterio non la squalifica, poiché essa attesta atti pubblici singolarmente verificabili, ma impedisce di trarre dall'elenco più di quanto ciascun atto sostenga separatamente. Il capitolo quinto lo aveva già fatto qualificando gli archi come archi di convergenza; il criterio ne fornisce ora la giustificazione formale che quel capitolo non possedeva.</w:t>
      </w:r>
    </w:p>
    <w:p>
      <w:pPr>
        <w:spacing w:line="276" w:lineRule="auto" w:before="0" w:after="0"/>
        <w:ind w:firstLine="425"/>
        <w:jc w:val="both"/>
      </w:pPr>
      <w:r>
        <w:rPr>
          <w:rFonts w:ascii="Times New Roman" w:hAnsi="Times New Roman" w:cs="Times New Roman" w:eastAsia="Times New Roman"/>
          <w:b w:val="0"/>
          <w:sz w:val="24"/>
        </w:rPr>
        <w:t>Blocco mirato numero 6249 — La specie nuova di contaminazione, e la sua adozione. L'undicesima ricognizione denomina contaminazione per prossimità il meccanismo per cui un'asserzione non documentata, collocata dentro un elenco di fatti documentati, ne acquisisce il credito senza averne il fondamento; e la distingue dalla citazione errata e dalla falsificazione. La specie è distinta dalla contaminazione per trasferimento di cornice, che il Quarto Registro ha definita e che opera sul singolo dato mutandone l'attribuzione; qui la cornice non muta e il dato non muta, muta soltanto la compagnia. Si adotta quale seconda specie dell'Indice di Contaminazione, con la neutralizzazione che la ricognizione medesima prescrive: valutare ciascuna asserzione dell'elenco separatamente, chiedendo per ognuna quale fonte la sostenga. Livello A.</w:t>
      </w:r>
    </w:p>
    <w:p>
      <w:pPr>
        <w:spacing w:line="276" w:lineRule="auto" w:before="0" w:after="0"/>
        <w:ind w:firstLine="425"/>
        <w:jc w:val="both"/>
      </w:pPr>
      <w:r>
        <w:rPr>
          <w:rFonts w:ascii="Times New Roman" w:hAnsi="Times New Roman" w:cs="Times New Roman" w:eastAsia="Times New Roman"/>
          <w:b w:val="0"/>
          <w:sz w:val="24"/>
        </w:rPr>
        <w:t>Blocco mirato numero 6250 — Sintesi dell'esecuzione e stato del corpus. Il presente documento esegue i cinquanta blocchi mirati e la triangolazione fra i documenti conferiti, e ne trae otto acquisizioni. Prima e maggiore: il corridoio Lisbona-Roma-Johannesburg, tre archi di Livello A che collegano la centrale portoghese al santuario australe attraverso Giannettini e Maletti, primo ponte italiano documentato fra i due perimetri, iscritto quale corridoio strutturale e non quale disegno provato. Seconda: la categoria del Sudafrica quale giurisdizione-santuario per personale degli apparati di sicurezza occidentali, fondata su due istanze e perciò di Livello C. Terza: il ponte portoghese, che identifica nella serie Portogallo millenovecentosessantanove-millenovecentosettantaquattro dell'Archivio Storico Diplomatico l'unica voce del corpus capace di servire due Stati Zero con una operazione sola. Quarta: la riqualificazione dell'archivio Aginter da uno stato a tre, con la parte moscovita spostata dal terzo all'undicesimo grado. Quinta: la riqualificazione dello Stato Zero su Moro e il Sudafrica, che non è proprietà del perimetro australe ma settima istanza di una regolarità accertata su sei perimetri eterogenei, con espunzione della tendenza al sesto grado ed emendazione del capitolo decimo del documento anteriore. Sesta: l'elevazione a Livello A della proposizione strutturale sulla documentazione dell'azione governativa italiana, per convergenza indipendente di due ricognizioni che non si citano. Settima: l'adozione del criterio della traccia disinteressata e la sua applicazione ai tre reperti maggiori della sessione anteriore, che lo superano tutti e tre. Ottava: l'adozione della contaminazione per prossimità quale seconda specie dell'Indice. Si dichiarano infine due emendazioni a blocchi consegnati: il cinquemilatré, quanto alla disponibilità dello strumento di ricerca estesa, e il capitolo decimo quanto alla gradazione dello Stato Zero su Moro. Si dichiara una proposta ritirata, quella di un grado dodicesimo per l'impossibilità cronologica, ritirata dalla prova condotta contro di essa al blocco seimiladuecentoventitré. E si dichiara che nessuna delle otto acquisizioni proviene da interrogazione viva: tutte provengono dall'incrocio di materiale che l'autore già possedeva e che tre famiglie documentali non comunicanti tenevano separato.</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