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jc w:val="center"/>
      </w:pPr>
      <w:r>
        <w:rPr>
          <w:rFonts w:ascii="Times New Roman" w:cs="Times New Roman" w:eastAsia="Times New Roman" w:hAnsi="Times New Roman"/>
          <w:b/>
          <w:bCs/>
          <w:sz w:val="40"/>
          <w:szCs w:val="40"/>
        </w:rPr>
        <w:t xml:space="preserve">ITALIA NERA</w:t>
      </w:r>
    </w:p>
    <w:p>
      <w:pPr>
        <w:spacing w:after="120"/>
        <w:jc w:val="center"/>
      </w:pPr>
      <w:r>
        <w:rPr>
          <w:rFonts w:ascii="Times New Roman" w:cs="Times New Roman" w:eastAsia="Times New Roman" w:hAnsi="Times New Roman"/>
          <w:i/>
          <w:iCs/>
          <w:sz w:val="24"/>
          <w:szCs w:val="24"/>
        </w:rPr>
        <w:t xml:space="preserve">Registro Analitico delle Reti Informali Transnazionali</w:t>
      </w:r>
    </w:p>
    <w:p>
      <w:r>
        <w:rPr>
          <w:rFonts w:ascii="Times New Roman" w:cs="Times New Roman" w:eastAsia="Times New Roman" w:hAnsi="Times New Roman"/>
          <w:sz w:val="24"/>
          <w:szCs w:val="24"/>
        </w:rPr>
        <w:t xml:space="preserve"> </w:t>
      </w:r>
    </w:p>
    <w:p>
      <w:pPr>
        <w:spacing w:after="60" w:before="480"/>
        <w:jc w:val="center"/>
      </w:pPr>
      <w:r>
        <w:rPr>
          <w:rFonts w:ascii="Times New Roman" w:cs="Times New Roman" w:eastAsia="Times New Roman" w:hAnsi="Times New Roman"/>
          <w:b/>
          <w:bCs/>
          <w:sz w:val="32"/>
          <w:szCs w:val="32"/>
        </w:rPr>
        <w:t xml:space="preserve">OPERA ALDO MORO — TUTTA LA VERITÀ</w:t>
      </w:r>
    </w:p>
    <w:p>
      <w:pPr>
        <w:spacing w:after="120"/>
        <w:jc w:val="center"/>
      </w:pPr>
      <w:r>
        <w:rPr>
          <w:rFonts w:ascii="Times New Roman" w:cs="Times New Roman" w:eastAsia="Times New Roman" w:hAnsi="Times New Roman"/>
          <w:b/>
          <w:bCs/>
          <w:sz w:val="28"/>
          <w:szCs w:val="28"/>
        </w:rPr>
        <w:t xml:space="preserve">REGISTRO ESTESO DI TRIANGOLAZIONE</w:t>
      </w:r>
    </w:p>
    <w:p>
      <w:pPr>
        <w:spacing w:after="120"/>
        <w:ind w:left="720" w:right="720"/>
        <w:jc w:val="center"/>
      </w:pPr>
      <w:r>
        <w:rPr>
          <w:rFonts w:ascii="Times New Roman" w:cs="Times New Roman" w:eastAsia="Times New Roman" w:hAnsi="Times New Roman"/>
          <w:i/>
          <w:iCs/>
          <w:sz w:val="24"/>
          <w:szCs w:val="24"/>
        </w:rPr>
        <w:t xml:space="preserve">L'Opera seconda e la diciassettesima tavola dello statuto del conferimento: le saldature, il dato nuovo condizionato, le contraddizioni conservate e il programma per la diciottesima tavola</w:t>
      </w:r>
    </w:p>
    <w:p>
      <w:r>
        <w:rPr>
          <w:rFonts w:ascii="Times New Roman" w:cs="Times New Roman" w:eastAsia="Times New Roman" w:hAnsi="Times New Roman"/>
          <w:sz w:val="24"/>
          <w:szCs w:val="24"/>
        </w:rPr>
        <w:t xml:space="preserve"> </w:t>
      </w:r>
    </w:p>
    <w:p>
      <w:pPr>
        <w:spacing w:after="60"/>
        <w:jc w:val="center"/>
      </w:pPr>
      <w:r>
        <w:rPr>
          <w:rFonts w:ascii="Times New Roman" w:cs="Times New Roman" w:eastAsia="Times New Roman" w:hAnsi="Times New Roman"/>
          <w:sz w:val="26"/>
          <w:szCs w:val="26"/>
        </w:rPr>
        <w:t xml:space="preserve">Luigi De Michele</w:t>
      </w:r>
    </w:p>
    <w:p>
      <w:pPr>
        <w:spacing w:after="60"/>
        <w:jc w:val="center"/>
      </w:pPr>
      <w:r>
        <w:rPr>
          <w:rFonts w:ascii="Times New Roman" w:cs="Times New Roman" w:eastAsia="Times New Roman" w:hAnsi="Times New Roman"/>
          <w:sz w:val="26"/>
          <w:szCs w:val="26"/>
        </w:rPr>
        <w:t xml:space="preserve">ventitré agosto duemilaventisei</w:t>
      </w:r>
    </w:p>
    <w:p>
      <w:r>
        <w:rPr>
          <w:rFonts w:ascii="Times New Roman" w:cs="Times New Roman" w:eastAsia="Times New Roman" w:hAnsi="Times New Roman"/>
          <w:sz w:val="24"/>
          <w:szCs w:val="24"/>
        </w:rPr>
        <w:t xml:space="preserve"> </w:t>
      </w:r>
    </w:p>
    <w:p>
      <w:pPr>
        <w:spacing w:before="360"/>
        <w:ind w:left="1000" w:right="1000"/>
        <w:jc w:val="both"/>
      </w:pPr>
      <w:r>
        <w:rPr>
          <w:rFonts w:ascii="Times New Roman" w:cs="Times New Roman" w:eastAsia="Times New Roman" w:hAnsi="Times New Roman"/>
          <w:i/>
          <w:iCs/>
          <w:sz w:val="22"/>
          <w:szCs w:val="22"/>
        </w:rPr>
        <w:t xml:space="preserve">Documento di lavoro. La triangolazione è condotta per lettura e computo sistematici contro i reperti caricati, senza alcuna interrogazione viva. Vige in ogni riga la Regola di Ferro: dove la fonte documenta, l'atto certifica; dove la fonte tace, l'atto indaga e non afferma.</w:t>
      </w:r>
    </w:p>
    <w:p>
      <w:r>
        <w:br w:type="page"/>
      </w:r>
    </w:p>
    <w:p>
      <w:pPr>
        <w:pStyle w:val="Heading1"/>
        <w:spacing w:after="180" w:before="360"/>
      </w:pPr>
      <w:r>
        <w:rPr>
          <w:rFonts w:ascii="Times New Roman" w:cs="Times New Roman" w:eastAsia="Times New Roman" w:hAnsi="Times New Roman"/>
          <w:b/>
          <w:bCs/>
          <w:color w:val="000000"/>
          <w:sz w:val="28"/>
          <w:szCs w:val="28"/>
        </w:rPr>
        <w:t xml:space="preserve">Nota di esecuzione e statuto dell'atto</w:t>
      </w:r>
    </w:p>
    <w:p>
      <w:pPr>
        <w:spacing w:after="160" w:line="300"/>
        <w:ind w:firstLine="340"/>
        <w:jc w:val="both"/>
      </w:pPr>
      <w:r>
        <w:rPr>
          <w:rFonts w:ascii="Times New Roman" w:cs="Times New Roman" w:eastAsia="Times New Roman" w:hAnsi="Times New Roman"/>
          <w:b w:val="false"/>
          <w:bCs w:val="false"/>
          <w:sz w:val="24"/>
          <w:szCs w:val="24"/>
        </w:rPr>
        <w:t xml:space="preserve">Il presente registro esegue la triangolazione documentale fra tre reperti. Il primo è l'Opera «Aldo Moro — Tutta la Verità», documento di lavoro consolidato delle fasi di triangolazione, datato ventidue agosto duemilaventisei: esso costituisce l'oggetto del conferimento. Il secondo è il Dossier V74 del registro ITALIA NERA, edizione del diciannove agosto duemilaventisei in trecentoventitré pagine, che esegue la diciassettesima tavola della Camera Istruttoria, tavola dello statuto del conferimento: esso costituisce la sede delle norme che governano l'ingresso di ogni materia nel registro. Il terzo è il Trattato Topografico, tomo quattordicesimo del Libro della Triangolazione, compendio dei capitoli del Dossier e delle consegne finali: esso costituisce il termine di riscontro sulla disciplina generale. L'atto opera sotto la norma che la diciassettesima tavola consacra come regola sovrana dell'ingresso: ciò che governa il conferimento non è la mole, la sensazionalità o la rispettabilità della materia, ma lo statuto che il documento dichiara e che la tavola adjudica; il registro adjudica i reperti, non le pretese dei reperti.</w:t>
      </w:r>
    </w:p>
    <w:p>
      <w:pPr>
        <w:spacing w:after="160" w:line="300"/>
        <w:ind w:firstLine="340"/>
        <w:jc w:val="both"/>
      </w:pPr>
      <w:r>
        <w:rPr>
          <w:rFonts w:ascii="Times New Roman" w:cs="Times New Roman" w:eastAsia="Times New Roman" w:hAnsi="Times New Roman"/>
          <w:b w:val="false"/>
          <w:bCs w:val="false"/>
          <w:sz w:val="24"/>
          <w:szCs w:val="24"/>
        </w:rPr>
        <w:t xml:space="preserve">Ne discende la natura di questo atto: esso non certifica la verità del caso Moro né di alcuna sua ricostruzione; certifica la coerenza reciproca dei tre reperti, ne registra le convergenze e le divergenze, gradua ciò che può essere graduato, conserva ciò che si contraddice e dichiara ciò che resta da acquisire. L'esito negativo è il risultato ordinario di questo mestiere, non il suo fallimento: norma metodologica già recepita dal registro e qui ribadita in apertura.</w:t>
      </w:r>
    </w:p>
    <w:p>
      <w:pPr>
        <w:pStyle w:val="Heading1"/>
        <w:spacing w:after="180" w:before="360"/>
      </w:pPr>
      <w:r>
        <w:rPr>
          <w:rFonts w:ascii="Times New Roman" w:cs="Times New Roman" w:eastAsia="Times New Roman" w:hAnsi="Times New Roman"/>
          <w:b/>
          <w:bCs/>
          <w:color w:val="000000"/>
          <w:sz w:val="28"/>
          <w:szCs w:val="28"/>
        </w:rPr>
        <w:t xml:space="preserve">Certificazione della composizione dei reperti</w:t>
      </w:r>
    </w:p>
    <w:p>
      <w:pPr>
        <w:spacing w:after="160" w:line="300"/>
        <w:ind w:firstLine="340"/>
        <w:jc w:val="both"/>
      </w:pPr>
      <w:r>
        <w:rPr>
          <w:rFonts w:ascii="Times New Roman" w:cs="Times New Roman" w:eastAsia="Times New Roman" w:hAnsi="Times New Roman"/>
          <w:b w:val="false"/>
          <w:bCs w:val="false"/>
          <w:sz w:val="24"/>
          <w:szCs w:val="24"/>
        </w:rPr>
        <w:t xml:space="preserve">La diciassettesima tavola distingue la certificazione della composizione dalla certificazione del contenuto: l'apparato delle impronte crittografiche certifica che cosa il documento è — la sua identità filologica, la sua genealogia compositiva, la sua integrità materiale — ma non certifica ciò che il documento dice, poiché la verità degli enunciati resta interamente da vagliare. L'Opera conferita non reca apparato filologico proprio: né computo dichiarato delle parole, né impronta, né registro delle sorgenti. La presente certificazione colma il difetto ai fini del conferimento.</w:t>
      </w:r>
    </w:p>
    <w:p>
      <w:pPr>
        <w:spacing w:after="160" w:line="300"/>
        <w:ind w:firstLine="340"/>
        <w:jc w:val="both"/>
      </w:pPr>
      <w:r>
        <w:rPr>
          <w:rFonts w:ascii="Times New Roman" w:cs="Times New Roman" w:eastAsia="Times New Roman" w:hAnsi="Times New Roman"/>
          <w:b w:val="false"/>
          <w:bCs w:val="false"/>
          <w:sz w:val="24"/>
          <w:szCs w:val="24"/>
        </w:rPr>
        <w:t xml:space="preserve">L'Opera «Aldo Moro — Tutta la Verità» conta, sul testo estratto dal file conferito, milletrecentodiciassette parole; la sua impronta SHA-256 è fcec02be0e3de92d704e3baee595229f2382f899ee904e818ca8c5af65770578. Il Dossier V74, diciassettesima tavola, reca l'impronta SHA-256 03306d6736ad53f6dbde9f6b337efaa21d0af076f081a4e72eec63dde2aa6423. Il Trattato Topografico reca l'impronta SHA-256 78da4c07f8514523215396cb3d3d67ec24dd0e13687f08ffd5ad8689ff2492df. La certificazione attesta l'identità dei reperti così come caricati e nulla oltre: ogni grado probatorio assegnato nel seguito riguarda proposizioni, non file.</w:t>
      </w:r>
    </w:p>
    <w:p>
      <w:pPr>
        <w:pStyle w:val="Heading1"/>
        <w:spacing w:after="180" w:before="360"/>
      </w:pPr>
      <w:r>
        <w:rPr>
          <w:rFonts w:ascii="Times New Roman" w:cs="Times New Roman" w:eastAsia="Times New Roman" w:hAnsi="Times New Roman"/>
          <w:b/>
          <w:bCs/>
          <w:color w:val="000000"/>
          <w:sz w:val="28"/>
          <w:szCs w:val="28"/>
        </w:rPr>
        <w:t xml:space="preserve">Capitolo primo. La disciplina comune: l'identità della Regola di Ferro e la mappa dei sette principi</w:t>
      </w:r>
    </w:p>
    <w:p>
      <w:pPr>
        <w:spacing w:after="160" w:line="300"/>
        <w:ind w:firstLine="340"/>
        <w:jc w:val="both"/>
      </w:pPr>
      <w:r>
        <w:rPr>
          <w:rFonts w:ascii="Times New Roman" w:cs="Times New Roman" w:eastAsia="Times New Roman" w:hAnsi="Times New Roman"/>
          <w:b w:val="false"/>
          <w:bCs w:val="false"/>
          <w:sz w:val="24"/>
          <w:szCs w:val="24"/>
        </w:rPr>
        <w:t xml:space="preserve">La prima operazione della triangolazione è il riscontro della disciplina, e l'esito è un'identità pressoché letterale. La nota metodologica dell'Opera enuncia: dove la fonte documenta, l'Opera certifica; dove la fonte tace, l'Opera indaga e non afferma. La nota di esecuzione del Trattato enuncia la medesima formula come Regola di Ferro vigente in ogni riga, con le articolazioni intermedie — dove la fonte indica ma non dimostra, l'opera qualifica; dove contraddice, conserva la contraddizione; dove manca la prova, non colma il vuoto con supposizioni. Le due formulazioni appartengono alla stessa costituzione epistemica e non richiedono regola di raccordo.</w:t>
      </w:r>
    </w:p>
    <w:p>
      <w:pPr>
        <w:spacing w:after="160" w:line="300"/>
        <w:ind w:firstLine="340"/>
        <w:jc w:val="both"/>
      </w:pPr>
      <w:r>
        <w:rPr>
          <w:rFonts w:ascii="Times New Roman" w:cs="Times New Roman" w:eastAsia="Times New Roman" w:hAnsi="Times New Roman"/>
          <w:b w:val="false"/>
          <w:bCs w:val="false"/>
          <w:sz w:val="24"/>
          <w:szCs w:val="24"/>
        </w:rPr>
        <w:t xml:space="preserve">La seconda operazione è la mappa dei sette principi della triangolazione enunciati dall'Opera sopra le norme già consolidate nel registro. Il principio della genealogia delle fonti — la quantità dei riferimenti non equivale al numero delle catene probatorie indipendenti — coincide con la disciplina che il registro applica alle proprie matrici, dove il volume delle co-occorrenze è depurato dai nodi contaminati e la convergenza indipendente è dichiarata la forma più alta di validazione che il metodo conosca. Il principio della fonte derivata — sentenze, relazioni parlamentari e monografie possono riprodurre una medesima fonte originaria — è la stessa lama con cui il registro tratta la letteratura secondaria in ogni teatro. Il principio di indipendenza — due dichiaranti che dipendono dallo stesso terzo non costituiscono due conferme — governa nel registro la valutazione delle testimonianze convergenti. Il principio della lacuna — un documento non reperito non è automaticamente un documento distrutto od occultato — traduce il principio cardinale del Trattato per cui assenza non è occultamento. Il principio di causalità — la contemporaneità temporale non dimostra un rapporto causale — è la distinzione fra nesso e simultaneità che il capitolo ventunesimo del Dossier eleva a criterio uniforme per ogni triangolazione futura, dopo averla applicata a se stesso con il bilancio di nove ricognizioni ministeriali e di un solo nesso documentato, la sequenza Oder-Neisse. Il principio del ponte documentale — per passare da contatto a coordinamento servono elementi che colleghino attori, azioni, tempi e finalità — riproduce la catena dei principi cardinali: contatto non è collaborazione, collaborazione non è comando, convergenza non è regia. Il principio dell'autore materiale — l'identificazione dell'autore materiale non dimostra mandante, apparato o beneficiario — anticipa la decomposizione che il capitolo secondo di questo registro esamina.</w:t>
      </w:r>
    </w:p>
    <w:p>
      <w:pPr>
        <w:spacing w:after="160" w:line="300"/>
        <w:ind w:firstLine="340"/>
        <w:jc w:val="both"/>
      </w:pPr>
      <w:r>
        <w:rPr>
          <w:rFonts w:ascii="Times New Roman" w:cs="Times New Roman" w:eastAsia="Times New Roman" w:hAnsi="Times New Roman"/>
          <w:b w:val="false"/>
          <w:bCs w:val="false"/>
          <w:sz w:val="24"/>
          <w:szCs w:val="24"/>
        </w:rPr>
        <w:t xml:space="preserve">A questa mappa si aggiunge una norma che il registro ha già recepito come statuto permanente e che l'Opera rispetta per costruzione: le propensioni soggettive espresse in percentuali non entrano mai nel registro, perché l'opera non gradua le proprie aspettative ma gradua le proposizioni secondo le fonti che le sostengono — una misura dello stato mentale dell'analista non è una misura del mondo. L'Opera non contiene alcuna propensione percentuale: la conformità è integrale. </w:t>
      </w:r>
      <w:r>
        <w:rPr>
          <w:rFonts w:ascii="Times New Roman" w:cs="Times New Roman" w:eastAsia="Times New Roman" w:hAnsi="Times New Roman"/>
          <w:b/>
          <w:bCs/>
          <w:sz w:val="24"/>
          <w:szCs w:val="24"/>
        </w:rPr>
        <w:t xml:space="preserve">Sintesi del dato acquisito:</w:t>
      </w:r>
      <w:r>
        <w:rPr>
          <w:rFonts w:ascii="Times New Roman" w:cs="Times New Roman" w:eastAsia="Times New Roman" w:hAnsi="Times New Roman"/>
          <w:b w:val="false"/>
          <w:bCs w:val="false"/>
          <w:sz w:val="24"/>
          <w:szCs w:val="24"/>
        </w:rPr>
        <w:t xml:space="preserve"> la disciplina dell'Opera e la disciplina del registro sono la medesima disciplina in due impugnature; la saldatura è piena, senza attrito e senza necessità di norme di raccordo.</w:t>
      </w:r>
    </w:p>
    <w:p>
      <w:pPr>
        <w:pStyle w:val="Heading1"/>
        <w:spacing w:after="180" w:before="360"/>
      </w:pPr>
      <w:r>
        <w:rPr>
          <w:rFonts w:ascii="Times New Roman" w:cs="Times New Roman" w:eastAsia="Times New Roman" w:hAnsi="Times New Roman"/>
          <w:b/>
          <w:bCs/>
          <w:color w:val="000000"/>
          <w:sz w:val="28"/>
          <w:szCs w:val="28"/>
        </w:rPr>
        <w:t xml:space="preserve">Capitolo secondo. Il comunicato apocrifo, il terzo soggetto e il dato nuovo condizionato</w:t>
      </w:r>
    </w:p>
    <w:p>
      <w:pPr>
        <w:spacing w:after="160" w:line="300"/>
        <w:ind w:firstLine="340"/>
        <w:jc w:val="both"/>
      </w:pPr>
      <w:r>
        <w:rPr>
          <w:rFonts w:ascii="Times New Roman" w:cs="Times New Roman" w:eastAsia="Times New Roman" w:hAnsi="Times New Roman"/>
          <w:b w:val="false"/>
          <w:bCs w:val="false"/>
          <w:sz w:val="24"/>
          <w:szCs w:val="24"/>
        </w:rPr>
        <w:t xml:space="preserve">Il capitolo ventisettesimo del Dossier ha già federato l'opera seconda — sette fasi e settanta capitoli — nei quattro luoghi che si saldano alle campagne precedenti, e il primo di quei luoghi è il comunicato apocrifo dei cinquantacinque giorni. Il registro vi ha iscritto, al Livello A, l'atto e la sua natura deliberata: durante il sequestro fu diffuso un comunicato apocrifo che annunciava la morte del prigioniero e ne indicava il luogo di rinvenimento; non proveniva dall'organizzazione, che lo smentì; furono disposte operazioni di ricerca con impiego di mezzi, a esito negativo. Un comunicato apocrifo non si forma per errore: richiede che qualcuno lo confezioni in modo credibile e lo immetta nel circuito dove sarà ricevuto come autentico, e ciascuna di queste operazioni è deliberata per necessità. Accertato l'atto, il registro ha dichiarato non accertati l'autore e la finalità, enumerando quattro finalità astrattamente possibili contro la letteratura che ne privilegia una sola; ha iscritto il comunicato quale quinto esemplare della famiglia dei documenti contaminati, in coppia strutturale con il falso positivo del SID a nove anni di distanza; e ha trascritto l'accertamento del terzo soggetto — distinto dai rapitori e dalle istituzioni — con l'esistenza e tre capacità accertate per necessità logica dall'atto: la conoscenza delle forme e del linguaggio delle comunicazioni autentiche, la conoscenza dei canali di immissione, la tempestività dell'azione in costanza di prigionia; con l'interesse a interferire; e con lo Stato Zero sull'identità e sulla collocazione, se interna a uno degli altri due soggetti, esterna a entrambi o composita.</w:t>
      </w:r>
    </w:p>
    <w:p>
      <w:pPr>
        <w:spacing w:after="160" w:line="300"/>
        <w:ind w:firstLine="340"/>
        <w:jc w:val="both"/>
      </w:pPr>
      <w:r>
        <w:rPr>
          <w:rFonts w:ascii="Times New Roman" w:cs="Times New Roman" w:eastAsia="Times New Roman" w:hAnsi="Times New Roman"/>
          <w:b w:val="false"/>
          <w:bCs w:val="false"/>
          <w:sz w:val="24"/>
          <w:szCs w:val="24"/>
        </w:rPr>
        <w:t xml:space="preserve">L'Opera conferita, posteriore di tre giorni all'edizione del Dossier, separa la questione in cinque proposizioni — chi fu riconosciuto giudiziariamente come autore materiale; come fu materialmente prodotto il documento; da dove provenivano le informazioni contenute; se esista prova di un mandante o di un apparato; quale soggetto avrebbe avuto interesse alla diffusione — e dichiara l'interrogativo parzialmente risolto: l'autore materiale è ancorato agli atti giudiziari individuati, mentre produzione materiale e rete di eventuale commissione restano da verificare. La priorità massima dell'Opera indica i tre atti del procedimento-stralcio numero trecentoventi barra novantuno quale acquisizione capace di chiarire l'autore materiale e i possibili rapporti fiduciari, e la voce dedicata esige l'esame del supporto, del mezzo di scrittura e delle modalità di confezione.</w:t>
      </w:r>
    </w:p>
    <w:p>
      <w:pPr>
        <w:spacing w:after="160" w:line="300"/>
        <w:ind w:firstLine="340"/>
        <w:jc w:val="both"/>
      </w:pPr>
      <w:r>
        <w:rPr>
          <w:rFonts w:ascii="Times New Roman" w:cs="Times New Roman" w:eastAsia="Times New Roman" w:hAnsi="Times New Roman"/>
          <w:b w:val="false"/>
          <w:bCs w:val="false"/>
          <w:sz w:val="24"/>
          <w:szCs w:val="24"/>
        </w:rPr>
        <w:t xml:space="preserve">L'adjudicazione della triangolazione è la seguente. Il dato dell'Opera è un avanzamento reale rispetto allo stato del capitolo ventisettesimo, ma la sua promozione è condizionata: fino all'acquisizione integrale dei tre atti dello stralcio, il registro iscrive l'esistenza dell'individuazione giudiziaria dell'autore materiale come dato attestato dall'Opera sugli atti da essa individuati, con il grado definitivo sospeso al riscontro diretto; le proposizioni sulla produzione, sulla provenienza delle informazioni, sul mandante e sull'interesse restano aperte, in piena coerenza con lo Stato Zero che il Dossier mantiene sull'identità del terzo soggetto quanto a committenza e apparato. Vale la conservazione cumulativa: la pietra del capitolo ventisettesimo non si scalpella; accanto a essa si depone l'annotazione di aggiornamento, con la data e con la condizione. Resta fermo, su entrambi i versanti, il divieto del salto: l'identificazione dell'autore materiale non dimostra mandante, apparato o beneficiario, come l'Opera stessa statuisce nel settimo principio. </w:t>
      </w:r>
      <w:r>
        <w:rPr>
          <w:rFonts w:ascii="Times New Roman" w:cs="Times New Roman" w:eastAsia="Times New Roman" w:hAnsi="Times New Roman"/>
          <w:b/>
          <w:bCs/>
          <w:sz w:val="24"/>
          <w:szCs w:val="24"/>
        </w:rPr>
        <w:t xml:space="preserve">Sintesi del dato acquisito:</w:t>
      </w:r>
      <w:r>
        <w:rPr>
          <w:rFonts w:ascii="Times New Roman" w:cs="Times New Roman" w:eastAsia="Times New Roman" w:hAnsi="Times New Roman"/>
          <w:b w:val="false"/>
          <w:bCs w:val="false"/>
          <w:sz w:val="24"/>
          <w:szCs w:val="24"/>
        </w:rPr>
        <w:t xml:space="preserve"> il comunicato apocrifo è il punto di saldatura più forte fra i due corpi e il solo dato nuovo di grado prodotto dal conferimento; la promozione è condizionata all'acquisizione degli atti dello stralcio trecentoventi barra novantuno; mandante, apparato e finalità restano in Stato Zero.</w:t>
      </w:r>
    </w:p>
    <w:p>
      <w:pPr>
        <w:pStyle w:val="Heading1"/>
        <w:spacing w:after="180" w:before="360"/>
      </w:pPr>
      <w:r>
        <w:rPr>
          <w:rFonts w:ascii="Times New Roman" w:cs="Times New Roman" w:eastAsia="Times New Roman" w:hAnsi="Times New Roman"/>
          <w:b/>
          <w:bCs/>
          <w:color w:val="000000"/>
          <w:sz w:val="28"/>
          <w:szCs w:val="28"/>
        </w:rPr>
        <w:t xml:space="preserve">Capitolo terzo. Le tre discontinuità istituzionali e la disciplina del negativo</w:t>
      </w:r>
    </w:p>
    <w:p>
      <w:pPr>
        <w:spacing w:after="160" w:line="300"/>
        <w:ind w:firstLine="340"/>
        <w:jc w:val="both"/>
      </w:pPr>
      <w:r>
        <w:rPr>
          <w:rFonts w:ascii="Times New Roman" w:cs="Times New Roman" w:eastAsia="Times New Roman" w:hAnsi="Times New Roman"/>
          <w:b w:val="false"/>
          <w:bCs w:val="false"/>
          <w:sz w:val="24"/>
          <w:szCs w:val="24"/>
        </w:rPr>
        <w:t xml:space="preserve">L'Opera identifica tre discontinuità istituzionali e le tratta con la disciplina che il registro esige. La prima è l'allertamento della Marina del ventuno marzo millenovecentosettantotto: è documentato un allertamento alle ore sette e la revoca alle ore tredici; la documentazione è presente presso la Difesa e presso il reparto, mentre non risulta reperito il corrispondente ordine presso l'Interno. L'Opera dichiara che la lacuna non dimostra da sola omissione, occultamento o coordinamento: è l'applicazione esatta del principio per cui assenza non è occultamento, e la triangolazione la conferma senza riserve. La seconda è quella dei comitati di crisi dell'Interno: non risultano disponibili gli atti formali di insediamento né verbalizzazioni complete dell'operato, mentre risultano appunti coevi di esperti. L'Opera impone di distinguere una possibile discontinuità di produzione da una semplice perdita di conservazione: la distinzione corrisponde, nella tassonomia delle lacune che il capitolo sesto esamina, al discrimine fra l'atto mai formato e l'atto formato ma non reperito, e costituisce il modo corretto di interrogare il vuoto senza colmarlo.</w:t>
      </w:r>
    </w:p>
    <w:p>
      <w:pPr>
        <w:spacing w:after="160" w:line="300"/>
        <w:ind w:firstLine="340"/>
        <w:jc w:val="both"/>
      </w:pPr>
      <w:r>
        <w:rPr>
          <w:rFonts w:ascii="Times New Roman" w:cs="Times New Roman" w:eastAsia="Times New Roman" w:hAnsi="Times New Roman"/>
          <w:b w:val="false"/>
          <w:bCs w:val="false"/>
          <w:sz w:val="24"/>
          <w:szCs w:val="24"/>
        </w:rPr>
        <w:t xml:space="preserve">La terza discontinuità è la più circoscritta e la più gravida di valore discriminante: la richiesta del trenta marzo millenovecentosettantotto e l'assenza del relativo seguito documentato. Quattordici anni dopo la circostanza fu oggetto di un procedimento penale concluso con richiesta di archiviazione, che l'Opera data al tredici marzo millenovecentonovantadue e colloca al vertice delle priorità di acquisizione, poiché la motivazione integrale può separare spiegazioni alternative altrimenti indistinguibili. La triangolazione con le regole probatorie del repertorio — dichiarate non negoziabili — apre qui una pendenza formale: la data della richiesta è indicata, l'autorità che la formulò e l'autorità che vi provvide non sono esplicitate nell'Opera, e senza data e autorità della pronuncia la voce non è citabile. L'esplicitazione è dovuta prima di ogni uso pubblico del riferimento. Su tutte e tre le discontinuità l'Opera conclude che l'identificabilità documentale è acquisita e l'intenzionalità non è dimostrata: il registro trascrive la conclusione come mappa del negativo, non come adjudicazione, secondo la norma per cui gli esiti negativi, dispersi, non producono effetto, mentre riuniti costituiscono la carta che dice dove la conoscenza si interrompe e per quale ragione. </w:t>
      </w:r>
      <w:r>
        <w:rPr>
          <w:rFonts w:ascii="Times New Roman" w:cs="Times New Roman" w:eastAsia="Times New Roman" w:hAnsi="Times New Roman"/>
          <w:b/>
          <w:bCs/>
          <w:sz w:val="24"/>
          <w:szCs w:val="24"/>
        </w:rPr>
        <w:t xml:space="preserve">Sintesi del dato acquisito:</w:t>
      </w:r>
      <w:r>
        <w:rPr>
          <w:rFonts w:ascii="Times New Roman" w:cs="Times New Roman" w:eastAsia="Times New Roman" w:hAnsi="Times New Roman"/>
          <w:b w:val="false"/>
          <w:bCs w:val="false"/>
          <w:sz w:val="24"/>
          <w:szCs w:val="24"/>
        </w:rPr>
        <w:t xml:space="preserve"> le tre discontinuità entrano nel registro come Stati Zero circostanziati, con la richiesta di archiviazione del tredici marzo millenovecentonovantadue quale documento ad alto valore discriminante da acquisire e con la pendenza formale sull'autorità della pronuncia.</w:t>
      </w:r>
    </w:p>
    <w:p>
      <w:pPr>
        <w:pStyle w:val="Heading1"/>
        <w:spacing w:after="180" w:before="360"/>
      </w:pPr>
      <w:r>
        <w:rPr>
          <w:rFonts w:ascii="Times New Roman" w:cs="Times New Roman" w:eastAsia="Times New Roman" w:hAnsi="Times New Roman"/>
          <w:b/>
          <w:bCs/>
          <w:color w:val="000000"/>
          <w:sz w:val="28"/>
          <w:szCs w:val="28"/>
        </w:rPr>
        <w:t xml:space="preserve">Capitolo quarto. Monte Nevoso: la comparazione materiale fra il millenovecentosettantotto e il millenovecentonovanta</w:t>
      </w:r>
    </w:p>
    <w:p>
      <w:pPr>
        <w:spacing w:after="160" w:line="300"/>
        <w:ind w:firstLine="340"/>
        <w:jc w:val="both"/>
      </w:pPr>
      <w:r>
        <w:rPr>
          <w:rFonts w:ascii="Times New Roman" w:cs="Times New Roman" w:eastAsia="Times New Roman" w:hAnsi="Times New Roman"/>
          <w:b w:val="false"/>
          <w:bCs w:val="false"/>
          <w:sz w:val="24"/>
          <w:szCs w:val="24"/>
        </w:rPr>
        <w:t xml:space="preserve">L'Opera imposta la questione di Monte Nevoso come comparazione materiale e documentale fra la perquisizione del primo ottobre millenovecentosettantotto e il rinvenimento del nove ottobre millenovecentonovanta, senza presupporre sottrazioni. Il programma è enunciato in cinque operazioni ordinate: in primo luogo il confronto dei rilievi fotografici e delle descrizioni del millenovecentosettantotto; in secondo luogo la ricostruzione della quantità e della numerazione documentata in quell'anno; in terzo luogo il confronto con il corpus rinvenuto nel millenovecentonovanta, inclusi numerazione e trascrizione; in quarto luogo la ricostruzione della catena di custodia e degli intervalli nei quali il controllo materiale degli atti cambiò soggetto; in quinto luogo la distinzione fra ciò che è materialmente dimostrato e ciò che è soltanto compatibile con una sottrazione o con un'alterazione. La triangolazione registra la piena conformità del programma alla disciplina del registro: la compatibilità non è prova, e la catena di custodia è il luogo esatto dove la domanda va posta. La documentazione tecnica dei due momenti è iscritta fra le priorità massime dell'Opera perché è l'unico materiale capace di rendere la comparazione eseguibile su base interamente documentale. </w:t>
      </w:r>
      <w:r>
        <w:rPr>
          <w:rFonts w:ascii="Times New Roman" w:cs="Times New Roman" w:eastAsia="Times New Roman" w:hAnsi="Times New Roman"/>
          <w:b/>
          <w:bCs/>
          <w:sz w:val="24"/>
          <w:szCs w:val="24"/>
        </w:rPr>
        <w:t xml:space="preserve">Sintesi del dato acquisito:</w:t>
      </w:r>
      <w:r>
        <w:rPr>
          <w:rFonts w:ascii="Times New Roman" w:cs="Times New Roman" w:eastAsia="Times New Roman" w:hAnsi="Times New Roman"/>
          <w:b w:val="false"/>
          <w:bCs w:val="false"/>
          <w:sz w:val="24"/>
          <w:szCs w:val="24"/>
        </w:rPr>
        <w:t xml:space="preserve"> Monte Nevoso entra nel registro come comparazione concretamente praticabile, con programma dichiarato in cinque operazioni e con la documentazione tecnica quale acquisizione di massimo valore discriminante.</w:t>
      </w:r>
    </w:p>
    <w:p>
      <w:pPr>
        <w:pStyle w:val="Heading1"/>
        <w:spacing w:after="180" w:before="360"/>
      </w:pPr>
      <w:r>
        <w:rPr>
          <w:rFonts w:ascii="Times New Roman" w:cs="Times New Roman" w:eastAsia="Times New Roman" w:hAnsi="Times New Roman"/>
          <w:b/>
          <w:bCs/>
          <w:color w:val="000000"/>
          <w:sz w:val="28"/>
          <w:szCs w:val="28"/>
        </w:rPr>
        <w:t xml:space="preserve">Capitolo quinto. L'interrogativo sulla criminalità organizzata e il censimento quale vivaio del primo dominio</w:t>
      </w:r>
    </w:p>
    <w:p>
      <w:pPr>
        <w:spacing w:after="160" w:line="300"/>
        <w:ind w:firstLine="340"/>
        <w:jc w:val="both"/>
      </w:pPr>
      <w:r>
        <w:rPr>
          <w:rFonts w:ascii="Times New Roman" w:cs="Times New Roman" w:eastAsia="Times New Roman" w:hAnsi="Times New Roman"/>
          <w:b w:val="false"/>
          <w:bCs w:val="false"/>
          <w:sz w:val="24"/>
          <w:szCs w:val="24"/>
        </w:rPr>
        <w:t xml:space="preserve">L'Opera mantiene aperto e non accertato l'interrogativo sull'eventuale presenza o attivazione della criminalità organizzata nella vicenda, e statuisce che la questione non può essere trasformata in fatto accertato senza un ponte documentale indipendente. La diciassettesima tavola fornisce a questa cautela il suo complemento sistemico. Il censimento globale della criminalità organizzata — documento unico integrato di trecentocinquantaseimilasettecentocinquantanove parole, con elenchi nominativi su scala mondiale — è stato federato nel registro non come corpo di asserzioni ma come repertorio di candidati, in forza dello statuto autodichiarato di bozza di lavoro non verificata: ogni attribuzione nominativa in esso contenuta è, per costruzione, ipotesi da vagliare, e la disciplina delle persone viventi vi opera con forza raddoppiata, sicché nessun nome transita dal repertorio al registro senza che una fonte giudiziaria o documentale di grado adeguato lo sostenga.</w:t>
      </w:r>
    </w:p>
    <w:p>
      <w:pPr>
        <w:spacing w:after="160" w:line="300"/>
        <w:ind w:firstLine="340"/>
        <w:jc w:val="both"/>
      </w:pPr>
      <w:r>
        <w:rPr>
          <w:rFonts w:ascii="Times New Roman" w:cs="Times New Roman" w:eastAsia="Times New Roman" w:hAnsi="Times New Roman"/>
          <w:b w:val="false"/>
          <w:bCs w:val="false"/>
          <w:sz w:val="24"/>
          <w:szCs w:val="24"/>
        </w:rPr>
        <w:t xml:space="preserve">La triangolazione consacra la regola operativa che discende dall'incrocio dei due reperti: nessuna promozione dell'interrogativo sulla criminalità organizzata può attingere al censimento come a una fonte, poiché il censimento è il vivaio del primo dominio e non il suo registro; il ponte documentale indipendente che l'Opera esige deve provenire dalle fonti giudiziarie e documentali che il circuito ascendente del registro riconosce. La regola vale nei due sensi: il caso Moro non presta al censimento alcuna asserzione, e il censimento non presta al caso Moro alcun candidato promosso. </w:t>
      </w:r>
      <w:r>
        <w:rPr>
          <w:rFonts w:ascii="Times New Roman" w:cs="Times New Roman" w:eastAsia="Times New Roman" w:hAnsi="Times New Roman"/>
          <w:b/>
          <w:bCs/>
          <w:sz w:val="24"/>
          <w:szCs w:val="24"/>
        </w:rPr>
        <w:t xml:space="preserve">Sintesi del dato acquisito:</w:t>
      </w:r>
      <w:r>
        <w:rPr>
          <w:rFonts w:ascii="Times New Roman" w:cs="Times New Roman" w:eastAsia="Times New Roman" w:hAnsi="Times New Roman"/>
          <w:b w:val="false"/>
          <w:bCs w:val="false"/>
          <w:sz w:val="24"/>
          <w:szCs w:val="24"/>
        </w:rPr>
        <w:t xml:space="preserve"> l'interrogativo resta aperto e non accertato; la regola del vivaio è consacrata quale vincolo permanente fra i due corpi.</w:t>
      </w:r>
    </w:p>
    <w:p>
      <w:pPr>
        <w:pStyle w:val="Heading1"/>
        <w:spacing w:after="180" w:before="360"/>
      </w:pPr>
      <w:r>
        <w:rPr>
          <w:rFonts w:ascii="Times New Roman" w:cs="Times New Roman" w:eastAsia="Times New Roman" w:hAnsi="Times New Roman"/>
          <w:b/>
          <w:bCs/>
          <w:color w:val="000000"/>
          <w:sz w:val="28"/>
          <w:szCs w:val="28"/>
        </w:rPr>
        <w:t xml:space="preserve">Capitolo sesto. Le lacune da L-A a L-D e la scala degli Stati Zero: due tassonomie complementari</w:t>
      </w:r>
    </w:p>
    <w:p>
      <w:pPr>
        <w:spacing w:after="160" w:line="300"/>
        <w:ind w:firstLine="340"/>
        <w:jc w:val="both"/>
      </w:pPr>
      <w:r>
        <w:rPr>
          <w:rFonts w:ascii="Times New Roman" w:cs="Times New Roman" w:eastAsia="Times New Roman" w:hAnsi="Times New Roman"/>
          <w:b w:val="false"/>
          <w:bCs w:val="false"/>
          <w:sz w:val="24"/>
          <w:szCs w:val="24"/>
        </w:rPr>
        <w:t xml:space="preserve">L'Opera introduce una tassonomia delle lacune in quattro classi: la lacuna archivistica, quando l'atto non è presente nel corpus disponibile; la lacuna di reperimento, quando l'atto è censito o indicato ma non ancora recuperato; la lacuna di lettura, quando l'atto è posseduto ma non ancora esaminato; la lacuna probatoria, quando l'atto è stato letto ma non risolve la questione. Il registro possiede, sul versante della conoscenza, la scala degli Stati Zero, oggi vigente a undici gradi, la cui genealogia comprende il falso positivo istituito quale ottavo grado — il caso in cui un apparato detiene la qualificazione corretta di un soggetto e ne diffonde una diversa — e le estensioni successive fino alla barriera macchinica e all'undicesimo grado. Le due tassonomie non concorrono: la prima misura lo stato del documento, la seconda misura lo stato della conoscenza, e ogni Stato Zero ben formato dovrà d'ora in avanti dichiarare, dove pertinente, anche la classe di lacuna che lo determina.</w:t>
      </w:r>
    </w:p>
    <w:p>
      <w:pPr>
        <w:spacing w:after="160" w:line="300"/>
        <w:ind w:firstLine="340"/>
        <w:jc w:val="both"/>
      </w:pPr>
      <w:r>
        <w:rPr>
          <w:rFonts w:ascii="Times New Roman" w:cs="Times New Roman" w:eastAsia="Times New Roman" w:hAnsi="Times New Roman"/>
          <w:b w:val="false"/>
          <w:bCs w:val="false"/>
          <w:sz w:val="24"/>
          <w:szCs w:val="24"/>
        </w:rPr>
        <w:t xml:space="preserve">L'Opera stessa offre i casi d'applicazione: la questione del rullino fotografico va distinta fra scomparsa e mancata acquisizione — cioè fra classi diverse di lacuna, con conseguenze probatorie diverse —; la questione delle linee telefoniche esige registri tecnici capaci di distinguere il guasto, l'interruzione e il blocco intenzionale; la questione dei comitati di crisi esige il discrimine fra discontinuità di produzione e perdita di conservazione. In ciascun caso la tassonomia impedisce la scorciatoia che trasforma il vuoto in indizio. </w:t>
      </w:r>
      <w:r>
        <w:rPr>
          <w:rFonts w:ascii="Times New Roman" w:cs="Times New Roman" w:eastAsia="Times New Roman" w:hAnsi="Times New Roman"/>
          <w:b/>
          <w:bCs/>
          <w:sz w:val="24"/>
          <w:szCs w:val="24"/>
        </w:rPr>
        <w:t xml:space="preserve">Sintesi del dato acquisito:</w:t>
      </w:r>
      <w:r>
        <w:rPr>
          <w:rFonts w:ascii="Times New Roman" w:cs="Times New Roman" w:eastAsia="Times New Roman" w:hAnsi="Times New Roman"/>
          <w:b w:val="false"/>
          <w:bCs w:val="false"/>
          <w:sz w:val="24"/>
          <w:szCs w:val="24"/>
        </w:rPr>
        <w:t xml:space="preserve"> la tassonomia delle lacune è candidata al conferimento quale acquisizione metodologica del registro, in funzione complementare alla scala degli Stati Zero e con obbligo di dichiarazione congiunta nei censimenti futuri del negativo.</w:t>
      </w:r>
    </w:p>
    <w:p>
      <w:pPr>
        <w:pStyle w:val="Heading1"/>
        <w:spacing w:after="180" w:before="360"/>
      </w:pPr>
      <w:r>
        <w:rPr>
          <w:rFonts w:ascii="Times New Roman" w:cs="Times New Roman" w:eastAsia="Times New Roman" w:hAnsi="Times New Roman"/>
          <w:b/>
          <w:bCs/>
          <w:color w:val="000000"/>
          <w:sz w:val="28"/>
          <w:szCs w:val="28"/>
        </w:rPr>
        <w:t xml:space="preserve">Capitolo settimo. La regola di corrispondenza fra le scale</w:t>
      </w:r>
    </w:p>
    <w:p>
      <w:pPr>
        <w:spacing w:after="160" w:line="300"/>
        <w:ind w:firstLine="340"/>
        <w:jc w:val="both"/>
      </w:pPr>
      <w:r>
        <w:rPr>
          <w:rFonts w:ascii="Times New Roman" w:cs="Times New Roman" w:eastAsia="Times New Roman" w:hAnsi="Times New Roman"/>
          <w:b w:val="false"/>
          <w:bCs w:val="false"/>
          <w:sz w:val="24"/>
          <w:szCs w:val="24"/>
        </w:rPr>
        <w:t xml:space="preserve">L'Opera gradua le proposizioni su una scala a sette gradi più la classe del non verificabile: accertato; fortemente corroborato; documentato ma non conclusivo; compatibile; ipotesi; smentito o insostenibile; non verificabile allo stato. Il registro gradua sulla scala a tre livelli, con il censimento separato degli Stati Zero. Lo statuto del conferimento esige, sul precedente del capitolo ventiseiesimo — dove il certo confluì nel primo livello, l'altamente probabile e il probabile nel secondo, il possibile e il da verificare nel terzo —, una regola di corrispondenza dichiarata. La presente triangolazione la propone nei termini seguenti, da dichiarare in sede di conferimento formale: l'accertato confluisce nel Livello A; il fortemente corroborato nel Livello B; il documentato ma non conclusivo e il compatibile nel Livello C, con marcatura di soglia per il compatibile, che nel registro non fonda alcuna promozione; l'ipotesi non entra nel registro, appartenendo alla zona abissale del modello dell'iceberg; lo smentito entra con segno rovesciato, quale falsificatore o controprova; il non verificabile confluisce negli Stati Zero, con la classe di lacuna dichiarata secondo il capitolo sesto.</w:t>
      </w:r>
    </w:p>
    <w:p>
      <w:pPr>
        <w:spacing w:after="160" w:line="300"/>
        <w:ind w:firstLine="340"/>
        <w:jc w:val="both"/>
      </w:pPr>
      <w:r>
        <w:rPr>
          <w:rFonts w:ascii="Times New Roman" w:cs="Times New Roman" w:eastAsia="Times New Roman" w:hAnsi="Times New Roman"/>
          <w:b w:val="false"/>
          <w:bCs w:val="false"/>
          <w:sz w:val="24"/>
          <w:szCs w:val="24"/>
        </w:rPr>
        <w:t xml:space="preserve">Alla regola di corrispondenza si affianca il criterio di priorità. L'Opera introduce il valore discriminante documentale, che ordina le acquisizioni non secondo l'interesse narrativo ma secondo la capacità di separare spiegazioni alternative: basso quando conferma il già noto, medio quando riduce le spiegazioni compatibili, alto quando separa due scenari incompatibili, massimo quando può chiudere una questione aperta. Il Trattato ordina le acquisizioni non conseguite della propria tavola unica — ventotto voci — per classe di rimediabilità. I due criteri sono ortogonali e componibili: la rimediabilità dice che cosa è raggiungibile, il valore discriminante dice che cosa conviene raggiungere per primo, e il programma operativo ben formato li dichiara entrambi. La riconciliazione fra le sette priorità dell'Opera — quattro di primo grado e tre di secondo — e le ventotto voci della tavola unica è iscritta fra le pendenze del conferimento. </w:t>
      </w:r>
      <w:r>
        <w:rPr>
          <w:rFonts w:ascii="Times New Roman" w:cs="Times New Roman" w:eastAsia="Times New Roman" w:hAnsi="Times New Roman"/>
          <w:b/>
          <w:bCs/>
          <w:sz w:val="24"/>
          <w:szCs w:val="24"/>
        </w:rPr>
        <w:t xml:space="preserve">Sintesi del dato acquisito:</w:t>
      </w:r>
      <w:r>
        <w:rPr>
          <w:rFonts w:ascii="Times New Roman" w:cs="Times New Roman" w:eastAsia="Times New Roman" w:hAnsi="Times New Roman"/>
          <w:b w:val="false"/>
          <w:bCs w:val="false"/>
          <w:sz w:val="24"/>
          <w:szCs w:val="24"/>
        </w:rPr>
        <w:t xml:space="preserve"> la regola di corrispondenza fra le scale è formulata e resta da dichiarare in sede di conferimento; il valore discriminante documentale è candidato quale secondo asse del programma delle acquisizioni, accanto alla classe di rimediabilità.</w:t>
      </w:r>
    </w:p>
    <w:p>
      <w:pPr>
        <w:pStyle w:val="Heading1"/>
        <w:spacing w:after="180" w:before="360"/>
      </w:pPr>
      <w:r>
        <w:rPr>
          <w:rFonts w:ascii="Times New Roman" w:cs="Times New Roman" w:eastAsia="Times New Roman" w:hAnsi="Times New Roman"/>
          <w:b/>
          <w:bCs/>
          <w:color w:val="000000"/>
          <w:sz w:val="28"/>
          <w:szCs w:val="28"/>
        </w:rPr>
        <w:t xml:space="preserve">Capitolo ottavo. Gli interrogativi dichiarati risolti e la genealogia della fonte parlamentare</w:t>
      </w:r>
    </w:p>
    <w:p>
      <w:pPr>
        <w:spacing w:after="160" w:line="300"/>
        <w:ind w:firstLine="340"/>
        <w:jc w:val="both"/>
      </w:pPr>
      <w:r>
        <w:rPr>
          <w:rFonts w:ascii="Times New Roman" w:cs="Times New Roman" w:eastAsia="Times New Roman" w:hAnsi="Times New Roman"/>
          <w:b w:val="false"/>
          <w:bCs w:val="false"/>
          <w:sz w:val="24"/>
          <w:szCs w:val="24"/>
        </w:rPr>
        <w:t xml:space="preserve">Dei suoi otto interrogativi residui, l'Opera ne dichiara due risolti — il luogo di prigionia e la persona sotto identità apparente — con la clausola «secondo la documentazione parlamentare recepita», e uno parzialmente risolto, il comunicato apocrifo, già esaminato. La clausola è corretta e va presa alla lettera, perché contiene da sé la propria disciplina. La diciassettesima tavola ha consacrato, sul caso limite delle testimonianze, la distinzione fra l'esistenza della testimonianza — fatto documentabile su cui la scala opera — e la verità del contenuto, che segue un vaglio distinto; la medesima regola di statuto governa gli accertamenti istituzionali: l'esistenza, la provenienza e il tenore dell'accertamento parlamentare sono adjudicabili sulla scala, mentre il contenuto segue la genealogia della fonte derivata che l'Opera stessa impone nel secondo principio, poiché relazioni parlamentari, sentenze e monografie possono riprodurre una medesima fonte originaria e la moltiplicazione dei riferimenti non moltiplica le catene indipendenti.</w:t>
      </w:r>
    </w:p>
    <w:p>
      <w:pPr>
        <w:spacing w:after="160" w:line="300"/>
        <w:ind w:firstLine="340"/>
        <w:jc w:val="both"/>
      </w:pPr>
      <w:r>
        <w:rPr>
          <w:rFonts w:ascii="Times New Roman" w:cs="Times New Roman" w:eastAsia="Times New Roman" w:hAnsi="Times New Roman"/>
          <w:b w:val="false"/>
          <w:bCs w:val="false"/>
          <w:sz w:val="24"/>
          <w:szCs w:val="24"/>
        </w:rPr>
        <w:t xml:space="preserve">Ne discendono due obblighi di forma prima di ogni citazione pubblica: l'identificazione puntuale della documentazione recepita — quale organo, quale relazione, quale data — secondo la regola non negoziabile per cui senza data e autorità la voce non è citabile; e la distinzione, nella scheda di ciascun interrogativo, fra la densità archivistica, la densità informativa e la densità probatoria dell'accertamento, affinché la risoluzione dichiarata non produca l'impressione cumulativa che la ricerca abbia trovato ciò che cercava. </w:t>
      </w:r>
      <w:r>
        <w:rPr>
          <w:rFonts w:ascii="Times New Roman" w:cs="Times New Roman" w:eastAsia="Times New Roman" w:hAnsi="Times New Roman"/>
          <w:b/>
          <w:bCs/>
          <w:sz w:val="24"/>
          <w:szCs w:val="24"/>
        </w:rPr>
        <w:t xml:space="preserve">Sintesi del dato acquisito:</w:t>
      </w:r>
      <w:r>
        <w:rPr>
          <w:rFonts w:ascii="Times New Roman" w:cs="Times New Roman" w:eastAsia="Times New Roman" w:hAnsi="Times New Roman"/>
          <w:b w:val="false"/>
          <w:bCs w:val="false"/>
          <w:sz w:val="24"/>
          <w:szCs w:val="24"/>
        </w:rPr>
        <w:t xml:space="preserve"> i due interrogativi risolti entrano nel registro come adjudicazioni dell'esistenza e del tenore dell'accertamento parlamentare, con il contenuto soggetto alla disciplina della fonte derivata e con l'obbligo di identificazione puntuale della documentazione recepita.</w:t>
      </w:r>
    </w:p>
    <w:p>
      <w:pPr>
        <w:pStyle w:val="Heading1"/>
        <w:spacing w:after="180" w:before="360"/>
      </w:pPr>
      <w:r>
        <w:rPr>
          <w:rFonts w:ascii="Times New Roman" w:cs="Times New Roman" w:eastAsia="Times New Roman" w:hAnsi="Times New Roman"/>
          <w:b/>
          <w:bCs/>
          <w:color w:val="000000"/>
          <w:sz w:val="28"/>
          <w:szCs w:val="28"/>
        </w:rPr>
        <w:t xml:space="preserve">Capitolo nono. Le contraddizioni conservate</w:t>
      </w:r>
    </w:p>
    <w:p>
      <w:pPr>
        <w:spacing w:after="160" w:line="300"/>
        <w:ind w:firstLine="340"/>
        <w:jc w:val="both"/>
      </w:pPr>
      <w:r>
        <w:rPr>
          <w:rFonts w:ascii="Times New Roman" w:cs="Times New Roman" w:eastAsia="Times New Roman" w:hAnsi="Times New Roman"/>
          <w:b w:val="false"/>
          <w:bCs w:val="false"/>
          <w:sz w:val="24"/>
          <w:szCs w:val="24"/>
        </w:rPr>
        <w:t xml:space="preserve">La triangolazione conserva, senza scalpellarle, le contraddizioni rilevate. La prima è interna al Trattato: il titolo del tomo enuncia i cinquanta capitoli, il corpo della nota di esecuzione ne dichiara cinquantuno; la discrepanza si conserva con annotazione e si scioglie soltanto sul reperto integrale del Dossier, non per congettura. La seconda è apparente e si risolve per riscontro: la chiusa del Trattato — i settanta capitoli restano settanta — non riguarda i capitoli del Dossier ma l'opera seconda sul caso Moro, che il capitolo ventisettesimo del Dossier descrive in sette fasi e settanta capitoli; la coerenza fra i due reperti è piena. La terza è un riscontro aritmetico interno all'Opera, che la triangolazione registra a conferma della sua tenuta: degli otto interrogativi, cinque sono dichiarati aperti, due risolti e uno parzialmente risolto, e la somma restituisce gli otto senza residuo. </w:t>
      </w:r>
      <w:r>
        <w:rPr>
          <w:rFonts w:ascii="Times New Roman" w:cs="Times New Roman" w:eastAsia="Times New Roman" w:hAnsi="Times New Roman"/>
          <w:b/>
          <w:bCs/>
          <w:sz w:val="24"/>
          <w:szCs w:val="24"/>
        </w:rPr>
        <w:t xml:space="preserve">Sintesi del dato acquisito:</w:t>
      </w:r>
      <w:r>
        <w:rPr>
          <w:rFonts w:ascii="Times New Roman" w:cs="Times New Roman" w:eastAsia="Times New Roman" w:hAnsi="Times New Roman"/>
          <w:b w:val="false"/>
          <w:bCs w:val="false"/>
          <w:sz w:val="24"/>
          <w:szCs w:val="24"/>
        </w:rPr>
        <w:t xml:space="preserve"> una contraddizione conservata con annotazione, una contraddizione sciolta per riscontro, un riscontro aritmetico superato; le pietre deposte non si scalpellano.</w:t>
      </w:r>
    </w:p>
    <w:p>
      <w:pPr>
        <w:pStyle w:val="Heading1"/>
        <w:spacing w:after="180" w:before="360"/>
      </w:pPr>
      <w:r>
        <w:rPr>
          <w:rFonts w:ascii="Times New Roman" w:cs="Times New Roman" w:eastAsia="Times New Roman" w:hAnsi="Times New Roman"/>
          <w:b/>
          <w:bCs/>
          <w:color w:val="000000"/>
          <w:sz w:val="28"/>
          <w:szCs w:val="28"/>
        </w:rPr>
        <w:t xml:space="preserve">Capitolo decimo. Esito del conferimento e programma per la diciottesima tavola</w:t>
      </w:r>
    </w:p>
    <w:p>
      <w:pPr>
        <w:spacing w:after="160" w:line="300"/>
        <w:ind w:firstLine="340"/>
        <w:jc w:val="both"/>
      </w:pPr>
      <w:r>
        <w:rPr>
          <w:rFonts w:ascii="Times New Roman" w:cs="Times New Roman" w:eastAsia="Times New Roman" w:hAnsi="Times New Roman"/>
          <w:b w:val="false"/>
          <w:bCs w:val="false"/>
          <w:sz w:val="24"/>
          <w:szCs w:val="24"/>
        </w:rPr>
        <w:t xml:space="preserve">L'esito della triangolazione è il seguente. L'Opera è conferibile alla diciottesima tavola della Camera Istruttoria con quattro saldature confermate: la disciplina comune, il comunicato apocrifo con il terzo soggetto, la mappa del negativo delle tre discontinuità, la regola del vivaio sull'interrogativo della criminalità organizzata. Il conferimento porta in dote un dato nuovo condizionato — l'individuazione giudiziaria dell'autore materiale del comunicato apocrifo, con promozione sospesa all'acquisizione integrale dei tre atti dello stralcio numero trecentoventi barra novantuno — e un'acquisizione metodologica, la tassonomia delle lacune in quattro classi, complementare alla scala degli Stati Zero. Le pendenze dichiarate sono quattro: l'esplicitazione dell'autorità della richiesta di archiviazione del tredici marzo millenovecentonovantadue; la dichiarazione formale della regola di corrispondenza fra le scale; la riconciliazione fra le priorità dell'Opera e le ventotto voci della tavola unica delle acquisizioni non conseguite; l'identificazione puntuale della documentazione parlamentare recepita per i due interrogativi dichiarati risolti.</w:t>
      </w:r>
    </w:p>
    <w:p>
      <w:pPr>
        <w:spacing w:after="160" w:line="300"/>
        <w:ind w:firstLine="340"/>
        <w:jc w:val="both"/>
      </w:pPr>
      <w:r>
        <w:rPr>
          <w:rFonts w:ascii="Times New Roman" w:cs="Times New Roman" w:eastAsia="Times New Roman" w:hAnsi="Times New Roman"/>
          <w:b w:val="false"/>
          <w:bCs w:val="false"/>
          <w:sz w:val="24"/>
          <w:szCs w:val="24"/>
        </w:rPr>
        <w:t xml:space="preserve">Il programma operativo successivo è quello che l'Opera stessa annuncia come prossimo grande blocco: la ricostruzione probatoria segmento per segmento del sedici marzo millenovecentosettantotto, dal segmento che precede l'evento fino alle prime anomalie documentali, secondo la partizione dichiarata — ciò che è documentato prima dell'evento; l'ingresso nella sequenza; l'aggressione; la sottrazione del sequestrato; la fuga; le prime comunicazioni; l'attivazione degli apparati; le prime decisioni; le prime anomalie documentali. Per ciascun segmento l'Opera esige dieci indicazioni: il fatto; il documento primario; la testimonianza; l'apparato coinvolto; la fonte derivata; l'eventuale seconda catena indipendente; le contraddizioni; le anomalie; le spiegazioni alternative; il grado probatorio. La triangolazione aggiunge un solo vincolo, mutuato dal registro: per ciascun segmento andrà dichiarato anche lo Stato Zero eventualmente vigente, con la classe di lacuna che lo determina.</w:t>
      </w:r>
    </w:p>
    <w:p>
      <w:pPr>
        <w:spacing w:after="160" w:line="300"/>
        <w:ind w:firstLine="340"/>
        <w:jc w:val="both"/>
      </w:pPr>
      <w:r>
        <w:rPr>
          <w:rFonts w:ascii="Times New Roman" w:cs="Times New Roman" w:eastAsia="Times New Roman" w:hAnsi="Times New Roman"/>
          <w:b w:val="false"/>
          <w:bCs w:val="false"/>
          <w:sz w:val="24"/>
          <w:szCs w:val="24"/>
        </w:rPr>
        <w:t xml:space="preserve">Restano sovrane le due formule che i reperti consegnano e che questo atto salda in chiusura. La regola conclusiva dell'Opera: non cercare la prova della teoria; cercare la struttura documentale che ogni teoria deve riuscire a spiegare — se una teoria spiega integralmente la struttura documentale e sopravvive alle controprove indipendenti, acquista grado; se richiede fatti non documentati, viene declassata; se contraddice atti primari, viene respinta; se rimane compatibile con più spiegazioni, la questione resta aperta. E la soglia falsificante del registro: soltanto un documento primario che attesti un rapporto organico di direzione, di finanziamento o di comando sposterebbe le adjudicazioni; fino ad allora ogni catena di archi certi resta corridoio, non disegno. </w:t>
      </w:r>
      <w:r>
        <w:rPr>
          <w:rFonts w:ascii="Times New Roman" w:cs="Times New Roman" w:eastAsia="Times New Roman" w:hAnsi="Times New Roman"/>
          <w:b/>
          <w:bCs/>
          <w:sz w:val="24"/>
          <w:szCs w:val="24"/>
        </w:rPr>
        <w:t xml:space="preserve">Sintesi del dato acquisito:</w:t>
      </w:r>
      <w:r>
        <w:rPr>
          <w:rFonts w:ascii="Times New Roman" w:cs="Times New Roman" w:eastAsia="Times New Roman" w:hAnsi="Times New Roman"/>
          <w:b w:val="false"/>
          <w:bCs w:val="false"/>
          <w:sz w:val="24"/>
          <w:szCs w:val="24"/>
        </w:rPr>
        <w:t xml:space="preserve"> il conferimento è dichiarato eseguibile, con quattro saldature, un dato nuovo condizionato, una dote metodologica e quattro pendenze; il blocco successivo è la matrice dei segmenti del sedici marzo, con l'obbligo aggiuntivo dello Stato Zero per segmento.</w:t>
      </w:r>
    </w:p>
    <w:p>
      <w:pPr>
        <w:pStyle w:val="Heading1"/>
        <w:spacing w:after="180" w:before="360"/>
      </w:pPr>
      <w:r>
        <w:rPr>
          <w:rFonts w:ascii="Times New Roman" w:cs="Times New Roman" w:eastAsia="Times New Roman" w:hAnsi="Times New Roman"/>
          <w:b/>
          <w:bCs/>
          <w:color w:val="000000"/>
          <w:sz w:val="28"/>
          <w:szCs w:val="28"/>
        </w:rPr>
        <w:t xml:space="preserve">Raccomandazioni di prosecuzione e caveat</w:t>
      </w:r>
    </w:p>
    <w:p>
      <w:pPr>
        <w:spacing w:after="160" w:line="300"/>
        <w:ind w:firstLine="340"/>
        <w:jc w:val="both"/>
      </w:pPr>
      <w:r>
        <w:rPr>
          <w:rFonts w:ascii="Times New Roman" w:cs="Times New Roman" w:eastAsia="Times New Roman" w:hAnsi="Times New Roman"/>
          <w:b w:val="false"/>
          <w:bCs w:val="false"/>
          <w:sz w:val="24"/>
          <w:szCs w:val="24"/>
        </w:rPr>
        <w:t xml:space="preserve">Restano aperte, cumulativamente, le pendenze delle edizioni precedenti del Dossier e le verifiche aperte del repertorio delle fonti, degli archivi e delle sentenze, che nessuna riga del presente atto chiude né attenua. Il presente registro adjudica reperti e statuti, non contenuti: nessuna proposizione qui graduata vale come accertamento storico autonomo, e ogni voce destinata alla diffusione pubblica resta soggetta alla verifica preventiva sull'esistenza e sul tenore della fonte, secondo la regola dichiarata del progetto. Vige il divieto assoluto di confondere l'inventario con la colpa: la presenza di un nome, di una sigla o di una co-occorrenza in un repertorio non asserisce alcuna responsabilità. La Regola di Ferro è sovrana su ogni riga.</w:t>
      </w:r>
    </w:p>
    <w:p>
      <w:pPr>
        <w:pStyle w:val="Heading1"/>
        <w:spacing w:after="180" w:before="360"/>
      </w:pPr>
      <w:r>
        <w:rPr>
          <w:rFonts w:ascii="Times New Roman" w:cs="Times New Roman" w:eastAsia="Times New Roman" w:hAnsi="Times New Roman"/>
          <w:b/>
          <w:bCs/>
          <w:color w:val="000000"/>
          <w:sz w:val="28"/>
          <w:szCs w:val="28"/>
        </w:rPr>
        <w:t xml:space="preserve">Consegna finale</w:t>
      </w:r>
    </w:p>
    <w:p>
      <w:pPr>
        <w:spacing w:after="160" w:line="300"/>
        <w:ind w:firstLine="340"/>
        <w:jc w:val="both"/>
      </w:pPr>
      <w:r>
        <w:rPr>
          <w:rFonts w:ascii="Times New Roman" w:cs="Times New Roman" w:eastAsia="Times New Roman" w:hAnsi="Times New Roman"/>
          <w:b w:val="false"/>
          <w:bCs w:val="false"/>
          <w:sz w:val="24"/>
          <w:szCs w:val="24"/>
        </w:rPr>
        <w:t xml:space="preserve">Il registro si chiude con la memoria rigorosa dei servitori dello Stato caduti in via Fani il sedici marzo millenovecentosettantotto: Oreste Leonardi, Domenico Ricci, Francesco Zizzi, Giulio Rivera e Raffaele Iozzino.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 Aldo Moro — Tutta la Verità — Registro esteso di triangolazione</dc:title>
  <dc:creator>Luigi De Michele</dc:creator>
  <dc:description>Triangolazione dell'Opera seconda con il Dossier V74 (diciassettesima tavola dello statuto del conferimento) e con il Trattato Topografico.</dc:description>
  <cp:lastModifiedBy>Un-named</cp:lastModifiedBy>
  <cp:revision>1</cp:revision>
  <dcterms:created xsi:type="dcterms:W3CDTF">2026-08-23T15:46:08.491Z</dcterms:created>
  <dcterms:modified xsi:type="dcterms:W3CDTF">2026-08-23T15:46:08.502Z</dcterms:modified>
</cp:coreProperties>
</file>

<file path=docProps/custom.xml><?xml version="1.0" encoding="utf-8"?>
<Properties xmlns="http://schemas.openxmlformats.org/officeDocument/2006/custom-properties" xmlns:vt="http://schemas.openxmlformats.org/officeDocument/2006/docPropsVTypes"/>
</file>