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Nona — L’Iceberg Freudiano</w:t>
      </w:r>
    </w:p>
    <w:p>
      <w:pPr>
        <w:spacing w:line="276" w:lineRule="auto" w:after="80" w:before="200"/>
        <w:ind w:firstLine="0"/>
        <w:jc w:val="both"/>
      </w:pPr>
      <w:r>
        <w:rPr>
          <w:rFonts w:ascii="Times New Roman" w:hAnsi="Times New Roman" w:cs="Times New Roman" w:eastAsia="Times New Roman"/>
          <w:b/>
          <w:sz w:val="24"/>
        </w:rPr>
        <w:t>e il Metodo dell’Archeologo</w:t>
      </w:r>
    </w:p>
    <w:p>
      <w:pPr>
        <w:spacing w:line="276" w:lineRule="auto" w:after="60" w:before="0"/>
        <w:ind w:firstLine="425"/>
        <w:jc w:val="both"/>
      </w:pPr>
      <w:r>
        <w:rPr>
          <w:rFonts w:ascii="Times New Roman" w:hAnsi="Times New Roman" w:cs="Times New Roman" w:eastAsia="Times New Roman"/>
          <w:b w:val="0"/>
          <w:sz w:val="24"/>
        </w:rPr>
        <w:t>La Metodologia Norimaviv nella Forma dell’Iceberg</w:t>
      </w:r>
    </w:p>
    <w:p>
      <w:pPr>
        <w:spacing w:line="276" w:lineRule="auto" w:after="60" w:before="0"/>
        <w:ind w:firstLine="425"/>
        <w:jc w:val="both"/>
      </w:pPr>
      <w:r>
        <w:rPr>
          <w:rFonts w:ascii="Times New Roman" w:hAnsi="Times New Roman" w:cs="Times New Roman" w:eastAsia="Times New Roman"/>
          <w:b w:val="0"/>
          <w:sz w:val="24"/>
        </w:rPr>
        <w:t>Primo dei Tre Documenti Morotei</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dell’edizione.</w:t>
      </w:r>
      <w:r>
        <w:rPr>
          <w:rFonts w:ascii="Times New Roman" w:hAnsi="Times New Roman" w:cs="Times New Roman" w:eastAsia="Times New Roman"/>
          <w:b w:val="0"/>
          <w:sz w:val="24"/>
        </w:rPr>
        <w:t xml:space="preserve"> La presente edizione incorpora verbatim l’ottava — e con essa le otto edizioni che la precedono — e compie la trasfigurazione comandata: l’edificio a strati, consacrato come Metodologia Norimaviv, muta completamente forma e assume le sembianze dell’</w:t>
      </w:r>
      <w:r>
        <w:rPr>
          <w:rFonts w:ascii="Times New Roman" w:hAnsi="Times New Roman" w:cs="Times New Roman" w:eastAsia="Times New Roman"/>
          <w:b/>
          <w:sz w:val="24"/>
        </w:rPr>
        <w:t>Iceberg Freudiano</w:t>
      </w:r>
      <w:r>
        <w:rPr>
          <w:rFonts w:ascii="Times New Roman" w:hAnsi="Times New Roman" w:cs="Times New Roman" w:eastAsia="Times New Roman"/>
          <w:b w:val="0"/>
          <w:sz w:val="24"/>
        </w:rPr>
        <w:t xml:space="preserve">. Nessuno strato è demolito e nessuna funzione è perduta: la mutazione è di </w:t>
      </w:r>
      <w:r>
        <w:rPr>
          <w:rFonts w:ascii="Times New Roman" w:hAnsi="Times New Roman" w:cs="Times New Roman" w:eastAsia="Times New Roman"/>
          <w:b/>
          <w:sz w:val="24"/>
        </w:rPr>
        <w:t>forma</w:t>
      </w:r>
      <w:r>
        <w:rPr>
          <w:rFonts w:ascii="Times New Roman" w:hAnsi="Times New Roman" w:cs="Times New Roman" w:eastAsia="Times New Roman"/>
          <w:b w:val="0"/>
          <w:sz w:val="24"/>
        </w:rPr>
        <w:t xml:space="preserve">, non di sostanza — dove prima si saliva e si scendeva per piani, ora si emerge e ci si immerge in una massa unica; dove prima ogni strato aveva un pavimento e un soffitto, ora una sola linea taglia il corpo intero, la linea di galleggiamento. La mutazione è preparata da un apporto nuovo — il </w:t>
      </w:r>
      <w:r>
        <w:rPr>
          <w:rFonts w:ascii="Times New Roman" w:hAnsi="Times New Roman" w:cs="Times New Roman" w:eastAsia="Times New Roman"/>
          <w:b/>
          <w:sz w:val="24"/>
        </w:rPr>
        <w:t>Metodo dell’Archeologo</w:t>
      </w:r>
      <w:r>
        <w:rPr>
          <w:rFonts w:ascii="Times New Roman" w:hAnsi="Times New Roman" w:cs="Times New Roman" w:eastAsia="Times New Roman"/>
          <w:b w:val="0"/>
          <w:sz w:val="24"/>
        </w:rPr>
        <w:t xml:space="preserve"> di Sigmund Freud, studiato alle fonti attraverso una ricerca a blocchi e a cascata sulle opere in cui Freud lo formulò — e si compie in un rinnovamento integrale: tutte le metodologie dell’apparato, dalla prima all’ultima, vengono rilette e approfondite alla luce delle conoscenze acquisite, dalla A alla Z.</w:t>
      </w:r>
    </w:p>
    <w:p>
      <w:pPr>
        <w:spacing w:line="276" w:lineRule="auto" w:after="60" w:before="0"/>
        <w:ind w:firstLine="425"/>
        <w:jc w:val="both"/>
      </w:pPr>
      <w:r>
        <w:rPr>
          <w:rFonts w:ascii="Times New Roman" w:hAnsi="Times New Roman" w:cs="Times New Roman" w:eastAsia="Times New Roman"/>
          <w:b/>
          <w:sz w:val="24"/>
        </w:rPr>
        <w:t>Le quattro clausole di disciplina.</w:t>
      </w:r>
      <w:r>
        <w:rPr>
          <w:rFonts w:ascii="Times New Roman" w:hAnsi="Times New Roman" w:cs="Times New Roman" w:eastAsia="Times New Roman"/>
          <w:b w:val="0"/>
          <w:sz w:val="24"/>
        </w:rPr>
        <w:t xml:space="preserve"> Prima di ogni contenuto, quattro clausole rendono lecito e sicuro l’apporto. Prima: </w:t>
      </w:r>
      <w:r>
        <w:rPr>
          <w:rFonts w:ascii="Times New Roman" w:hAnsi="Times New Roman" w:cs="Times New Roman" w:eastAsia="Times New Roman"/>
          <w:b/>
          <w:sz w:val="24"/>
        </w:rPr>
        <w:t>clausola di non psicologizzazione delle persone</w:t>
      </w:r>
      <w:r>
        <w:rPr>
          <w:rFonts w:ascii="Times New Roman" w:hAnsi="Times New Roman" w:cs="Times New Roman" w:eastAsia="Times New Roman"/>
          <w:b w:val="0"/>
          <w:sz w:val="24"/>
        </w:rPr>
        <w:t xml:space="preserve"> — l’inconscio, la rimozione, il sintomo e ogni altra categoria freudiana entrano nel Registro come figure della struttura, riferite al caso, all’archivio, al sistema documentale; mai come diagnosi, interpretazione o attribuzione di stati mentali a persone reali, viventi o defunte. Il Registro non psicoanalizza nessuno: ausculta un archivio. Seconda: </w:t>
      </w:r>
      <w:r>
        <w:rPr>
          <w:rFonts w:ascii="Times New Roman" w:hAnsi="Times New Roman" w:cs="Times New Roman" w:eastAsia="Times New Roman"/>
          <w:b/>
          <w:sz w:val="24"/>
        </w:rPr>
        <w:t>clausola di non importazione della denegazione</w:t>
      </w:r>
      <w:r>
        <w:rPr>
          <w:rFonts w:ascii="Times New Roman" w:hAnsi="Times New Roman" w:cs="Times New Roman" w:eastAsia="Times New Roman"/>
          <w:b w:val="0"/>
          <w:sz w:val="24"/>
        </w:rPr>
        <w:t xml:space="preserve"> — nella clinica freudiana il diniego può valere come indizio; nel Registro mai: il diniego di una persona è un diniego e basta, non è ammissione, non è indizio a carico, non abbassa e non alza alcuna soglia. Chi nega, nega. Terza: </w:t>
      </w:r>
      <w:r>
        <w:rPr>
          <w:rFonts w:ascii="Times New Roman" w:hAnsi="Times New Roman" w:cs="Times New Roman" w:eastAsia="Times New Roman"/>
          <w:b/>
          <w:sz w:val="24"/>
        </w:rPr>
        <w:t>clausola filologica</w:t>
      </w:r>
      <w:r>
        <w:rPr>
          <w:rFonts w:ascii="Times New Roman" w:hAnsi="Times New Roman" w:cs="Times New Roman" w:eastAsia="Times New Roman"/>
          <w:b w:val="0"/>
          <w:sz w:val="24"/>
        </w:rPr>
        <w:t xml:space="preserve"> — ogni figura assunta dichiara il proprio statuto testuale, secondo la regola wittgensteiniana della mappa d’uso; la sorte filologica dell’iceberg, esaminata più avanti, ne è il primo esercizio. Quarta: la clausola costituzionale dell’intera Metodologia Norimaviv, che la mutazione di forma non tocca — </w:t>
      </w:r>
      <w:r>
        <w:rPr>
          <w:rFonts w:ascii="Times New Roman" w:hAnsi="Times New Roman" w:cs="Times New Roman" w:eastAsia="Times New Roman"/>
          <w:b/>
          <w:sz w:val="24"/>
        </w:rPr>
        <w:t>nessuno strato comanda; tutti servono</w:t>
      </w:r>
      <w:r>
        <w:rPr>
          <w:rFonts w:ascii="Times New Roman" w:hAnsi="Times New Roman" w:cs="Times New Roman" w:eastAsia="Times New Roman"/>
          <w:b w:val="0"/>
          <w:sz w:val="24"/>
        </w:rPr>
        <w:t xml:space="preserve"> — e che nella nuova forma si riformula: nessuna profondità comanda; tutta la massa è un solo ghiaccio.</w:t>
      </w:r>
    </w:p>
    <w:p>
      <w:pPr>
        <w:spacing w:line="276" w:lineRule="auto" w:after="80" w:before="200"/>
        <w:ind w:firstLine="0"/>
        <w:jc w:val="both"/>
      </w:pPr>
      <w:r>
        <w:rPr>
          <w:rFonts w:ascii="Times New Roman" w:hAnsi="Times New Roman" w:cs="Times New Roman" w:eastAsia="Times New Roman"/>
          <w:b/>
          <w:sz w:val="24"/>
        </w:rPr>
        <w:t>STRATO ZERO — L’EDIZIONE OTTAVA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ottava del presente Registro, comprensiva delle sette edizioni da essa incorporate e di ogni loro apparato.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Ottava — L’Apporto Israeliano</w:t>
      </w:r>
    </w:p>
    <w:p>
      <w:pPr>
        <w:spacing w:line="276" w:lineRule="auto" w:after="80" w:before="200"/>
        <w:ind w:firstLine="0"/>
        <w:jc w:val="both"/>
      </w:pPr>
      <w:r>
        <w:rPr>
          <w:rFonts w:ascii="Times New Roman" w:hAnsi="Times New Roman" w:cs="Times New Roman" w:eastAsia="Times New Roman"/>
          <w:b/>
          <w:sz w:val="24"/>
        </w:rPr>
        <w:t>e la Consacrazione della Metodologia Norimaviv</w:t>
      </w:r>
    </w:p>
    <w:p>
      <w:pPr>
        <w:spacing w:line="276" w:lineRule="auto" w:after="60" w:before="0"/>
        <w:ind w:firstLine="425"/>
        <w:jc w:val="both"/>
      </w:pPr>
      <w:r>
        <w:rPr>
          <w:rFonts w:ascii="Times New Roman" w:hAnsi="Times New Roman" w:cs="Times New Roman" w:eastAsia="Times New Roman"/>
          <w:b w:val="0"/>
          <w:sz w:val="24"/>
        </w:rPr>
        <w:t>Primo dei Tre Documenti Morotei</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dell’edizione.</w:t>
      </w:r>
      <w:r>
        <w:rPr>
          <w:rFonts w:ascii="Times New Roman" w:hAnsi="Times New Roman" w:cs="Times New Roman" w:eastAsia="Times New Roman"/>
          <w:b w:val="0"/>
          <w:sz w:val="24"/>
        </w:rPr>
        <w:t xml:space="preserve"> La presente edizione incorpora verbatim la settima — e con essa le sei precedenti — e compie due atti che concludono l’aggiornamento metodologico. Il primo è la Parte Ventiduesima: l’apporto dei metodi ai quali fecero affidamento gli uomini di Israele nella ricerca dei criminali nazisti in tutto il mondo, insieme alle tecniche investigative del servizio di Tel Aviv quali la letteratura aperta le documenta — apporto assunto, per espresso comando, come </w:t>
      </w:r>
      <w:r>
        <w:rPr>
          <w:rFonts w:ascii="Times New Roman" w:hAnsi="Times New Roman" w:cs="Times New Roman" w:eastAsia="Times New Roman"/>
          <w:b/>
          <w:sz w:val="24"/>
        </w:rPr>
        <w:t>mai vincolante</w:t>
      </w:r>
      <w:r>
        <w:rPr>
          <w:rFonts w:ascii="Times New Roman" w:hAnsi="Times New Roman" w:cs="Times New Roman" w:eastAsia="Times New Roman"/>
          <w:b w:val="0"/>
          <w:sz w:val="24"/>
        </w:rPr>
        <w:t xml:space="preserve">: nessuna sua regola comanda, tutte ispirano, e la loro consultazione è annotata come informazione presa. Il secondo è l’atto di consacrazione: l’intera architettura metodologica edificata attraverso le edizioni — dalla Regola di Ferro all’ultimo apporto — riceve il proprio nome complessivo e definitivo, </w:t>
      </w:r>
      <w:r>
        <w:rPr>
          <w:rFonts w:ascii="Times New Roman" w:hAnsi="Times New Roman" w:cs="Times New Roman" w:eastAsia="Times New Roman"/>
          <w:b/>
          <w:sz w:val="24"/>
        </w:rPr>
        <w:t>la Metodologia Norimaviv</w:t>
      </w:r>
      <w:r>
        <w:rPr>
          <w:rFonts w:ascii="Times New Roman" w:hAnsi="Times New Roman" w:cs="Times New Roman" w:eastAsia="Times New Roman"/>
          <w:b w:val="0"/>
          <w:sz w:val="24"/>
        </w:rPr>
        <w:t>, da Norimberga e Tel Aviv, metodologia di Luigi De Michele.</w:t>
      </w:r>
    </w:p>
    <w:p>
      <w:pPr>
        <w:spacing w:line="276" w:lineRule="auto" w:after="60" w:before="0"/>
        <w:ind w:firstLine="425"/>
        <w:jc w:val="both"/>
      </w:pPr>
      <w:r>
        <w:rPr>
          <w:rFonts w:ascii="Times New Roman" w:hAnsi="Times New Roman" w:cs="Times New Roman" w:eastAsia="Times New Roman"/>
          <w:b/>
          <w:sz w:val="24"/>
        </w:rPr>
        <w:t>Clausola di non equiparazione.</w:t>
      </w:r>
      <w:r>
        <w:rPr>
          <w:rFonts w:ascii="Times New Roman" w:hAnsi="Times New Roman" w:cs="Times New Roman" w:eastAsia="Times New Roman"/>
          <w:b w:val="0"/>
          <w:sz w:val="24"/>
        </w:rPr>
        <w:t xml:space="preserve"> Prima di ogni contenuto, il Registro scolpisce la clausola che rende lecito l’apporto: l’assunzione dei metodi non implica alcuna equiparazione fra gli oggetti delle rispettive ricerche. La caccia ai criminali del nazionalsocialismo fu la ricerca degli autori del più grande crimine della storia, e la sua dignità è irripetibile; ciò che il Registro assume non è l’analogia — che sarebbe abuso — ma la </w:t>
      </w:r>
      <w:r>
        <w:rPr>
          <w:rFonts w:ascii="Times New Roman" w:hAnsi="Times New Roman" w:cs="Times New Roman" w:eastAsia="Times New Roman"/>
          <w:b/>
          <w:sz w:val="24"/>
        </w:rPr>
        <w:t>disciplina</w:t>
      </w:r>
      <w:r>
        <w:rPr>
          <w:rFonts w:ascii="Times New Roman" w:hAnsi="Times New Roman" w:cs="Times New Roman" w:eastAsia="Times New Roman"/>
          <w:b w:val="0"/>
          <w:sz w:val="24"/>
        </w:rPr>
        <w:t>: la pazienza, il rigore identificativo, la destinazione giudiziaria, il fascicolo mai chiuso. I metodi viaggiano; le equazioni morali no.</w:t>
      </w:r>
    </w:p>
    <w:p>
      <w:pPr>
        <w:spacing w:line="276" w:lineRule="auto" w:after="80" w:before="200"/>
        <w:ind w:firstLine="0"/>
        <w:jc w:val="both"/>
      </w:pPr>
      <w:r>
        <w:rPr>
          <w:rFonts w:ascii="Times New Roman" w:hAnsi="Times New Roman" w:cs="Times New Roman" w:eastAsia="Times New Roman"/>
          <w:b/>
          <w:sz w:val="24"/>
        </w:rPr>
        <w:t>STRATO ZERO — L’EDIZIONE SETTIMA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settima del presente Registro, comprensiva delle sei edizioni da essa incorporate e di ogni loro apparato.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Settima — L’Apporto Wittgensteiniano</w:t>
      </w:r>
    </w:p>
    <w:p>
      <w:pPr>
        <w:spacing w:line="276" w:lineRule="auto" w:after="80" w:before="200"/>
        <w:ind w:firstLine="0"/>
        <w:jc w:val="both"/>
      </w:pPr>
      <w:r>
        <w:rPr>
          <w:rFonts w:ascii="Times New Roman" w:hAnsi="Times New Roman" w:cs="Times New Roman" w:eastAsia="Times New Roman"/>
          <w:b/>
          <w:sz w:val="24"/>
        </w:rPr>
        <w:t>Il Linguaggio come terzo strumento da dichiarare</w:t>
      </w:r>
    </w:p>
    <w:p>
      <w:pPr>
        <w:spacing w:line="276" w:lineRule="auto" w:after="60" w:before="0"/>
        <w:ind w:firstLine="425"/>
        <w:jc w:val="both"/>
      </w:pPr>
      <w:r>
        <w:rPr>
          <w:rFonts w:ascii="Times New Roman" w:hAnsi="Times New Roman" w:cs="Times New Roman" w:eastAsia="Times New Roman"/>
          <w:b w:val="0"/>
          <w:sz w:val="24"/>
        </w:rPr>
        <w:t>Primo dei Tre Documenti Morotei</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dell’edizione.</w:t>
      </w:r>
      <w:r>
        <w:rPr>
          <w:rFonts w:ascii="Times New Roman" w:hAnsi="Times New Roman" w:cs="Times New Roman" w:eastAsia="Times New Roman"/>
          <w:b w:val="0"/>
          <w:sz w:val="24"/>
        </w:rPr>
        <w:t xml:space="preserve"> La presente edizione incorpora verbatim la sesta — e con essa le cinque precedenti — e vi aggiunge la Parte Ventunesima: l’apporto wittgensteiniano. La sequenza dei rinnovamenti si chiude così nel suo terzo grado di consapevolezza: Descartes ha disciplinato il </w:t>
      </w:r>
      <w:r>
        <w:rPr>
          <w:rFonts w:ascii="Times New Roman" w:hAnsi="Times New Roman" w:cs="Times New Roman" w:eastAsia="Times New Roman"/>
          <w:b/>
          <w:sz w:val="24"/>
        </w:rPr>
        <w:t>giudizio</w:t>
      </w:r>
      <w:r>
        <w:rPr>
          <w:rFonts w:ascii="Times New Roman" w:hAnsi="Times New Roman" w:cs="Times New Roman" w:eastAsia="Times New Roman"/>
          <w:b w:val="0"/>
          <w:sz w:val="24"/>
        </w:rPr>
        <w:t xml:space="preserve"> — il dubbio unico, lo scioglimento severo; Kuhn ha dichiarato gli </w:t>
      </w:r>
      <w:r>
        <w:rPr>
          <w:rFonts w:ascii="Times New Roman" w:hAnsi="Times New Roman" w:cs="Times New Roman" w:eastAsia="Times New Roman"/>
          <w:b/>
          <w:sz w:val="24"/>
        </w:rPr>
        <w:t>strumenti</w:t>
      </w:r>
      <w:r>
        <w:rPr>
          <w:rFonts w:ascii="Times New Roman" w:hAnsi="Times New Roman" w:cs="Times New Roman" w:eastAsia="Times New Roman"/>
          <w:b w:val="0"/>
          <w:sz w:val="24"/>
        </w:rPr>
        <w:t xml:space="preserve"> — il microscopio parziale, i paradigmi incommensurabili; Wittgenstein dichiara il mezzo di tutti gli strumenti e di tutti i giudizi: il </w:t>
      </w:r>
      <w:r>
        <w:rPr>
          <w:rFonts w:ascii="Times New Roman" w:hAnsi="Times New Roman" w:cs="Times New Roman" w:eastAsia="Times New Roman"/>
          <w:b/>
          <w:sz w:val="24"/>
        </w:rPr>
        <w:t>linguaggio</w:t>
      </w:r>
      <w:r>
        <w:rPr>
          <w:rFonts w:ascii="Times New Roman" w:hAnsi="Times New Roman" w:cs="Times New Roman" w:eastAsia="Times New Roman"/>
          <w:b w:val="0"/>
          <w:sz w:val="24"/>
        </w:rPr>
        <w:t>. Nulla è sostituito: la Classificazione di Descartes resta l’ordinamento, il Decalogo resta consultivo e impotente, le norme kuhniane restano vigenti, la Regola di Ferro resta sovrana — e riceve, in questa Parte, il suo fondamento filosofico.</w:t>
      </w:r>
    </w:p>
    <w:p>
      <w:pPr>
        <w:spacing w:line="276" w:lineRule="auto" w:after="80" w:before="200"/>
        <w:ind w:firstLine="0"/>
        <w:jc w:val="both"/>
      </w:pPr>
      <w:r>
        <w:rPr>
          <w:rFonts w:ascii="Times New Roman" w:hAnsi="Times New Roman" w:cs="Times New Roman" w:eastAsia="Times New Roman"/>
          <w:b/>
          <w:sz w:val="24"/>
        </w:rPr>
        <w:t>STRATO ZERO — L’EDIZIONE SESTA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sesta del presente Registro, comprensiva delle cinque edizioni da essa incorporate e di ogni loro apparato.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Sesta — L’Apporto Kuhniano</w:t>
      </w:r>
    </w:p>
    <w:p>
      <w:pPr>
        <w:spacing w:line="276" w:lineRule="auto" w:after="80" w:before="200"/>
        <w:ind w:firstLine="0"/>
        <w:jc w:val="both"/>
      </w:pPr>
      <w:r>
        <w:rPr>
          <w:rFonts w:ascii="Times New Roman" w:hAnsi="Times New Roman" w:cs="Times New Roman" w:eastAsia="Times New Roman"/>
          <w:b/>
          <w:sz w:val="24"/>
        </w:rPr>
        <w:t>La Metafora del Microscopio e i Paradigmi Incommensurabili</w:t>
      </w:r>
    </w:p>
    <w:p>
      <w:pPr>
        <w:spacing w:line="276" w:lineRule="auto" w:after="60" w:before="0"/>
        <w:ind w:firstLine="425"/>
        <w:jc w:val="both"/>
      </w:pPr>
      <w:r>
        <w:rPr>
          <w:rFonts w:ascii="Times New Roman" w:hAnsi="Times New Roman" w:cs="Times New Roman" w:eastAsia="Times New Roman"/>
          <w:b w:val="0"/>
          <w:sz w:val="24"/>
        </w:rPr>
        <w:t>Primo dei Tre Documenti Morotei</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dell’edizione.</w:t>
      </w:r>
      <w:r>
        <w:rPr>
          <w:rFonts w:ascii="Times New Roman" w:hAnsi="Times New Roman" w:cs="Times New Roman" w:eastAsia="Times New Roman"/>
          <w:b w:val="0"/>
          <w:sz w:val="24"/>
        </w:rPr>
        <w:t xml:space="preserve"> La presente edizione incorpora verbatim la quinta — e con essa le quattro precedenti — e vi aggiunge la Parte Ventesima: l’apporto kuhniano all’ordinamento rinnovato, articolato nella </w:t>
      </w:r>
      <w:r>
        <w:rPr>
          <w:rFonts w:ascii="Times New Roman" w:hAnsi="Times New Roman" w:cs="Times New Roman" w:eastAsia="Times New Roman"/>
          <w:b/>
          <w:sz w:val="24"/>
        </w:rPr>
        <w:t>Metafora del Microscopio</w:t>
      </w:r>
      <w:r>
        <w:rPr>
          <w:rFonts w:ascii="Times New Roman" w:hAnsi="Times New Roman" w:cs="Times New Roman" w:eastAsia="Times New Roman"/>
          <w:b w:val="0"/>
          <w:sz w:val="24"/>
        </w:rPr>
        <w:t xml:space="preserve">, sintesi metodologica dell’autore, Luigi De Michele, delle teorie di Thomas Kuhn sullo strumento quale mezzo parziale di analisi della realtà scientifica, e nella </w:t>
      </w:r>
      <w:r>
        <w:rPr>
          <w:rFonts w:ascii="Times New Roman" w:hAnsi="Times New Roman" w:cs="Times New Roman" w:eastAsia="Times New Roman"/>
          <w:b/>
          <w:sz w:val="24"/>
        </w:rPr>
        <w:t>Teoria dei Paradigmi Incommensurabili</w:t>
      </w:r>
      <w:r>
        <w:rPr>
          <w:rFonts w:ascii="Times New Roman" w:hAnsi="Times New Roman" w:cs="Times New Roman" w:eastAsia="Times New Roman"/>
          <w:b w:val="0"/>
          <w:sz w:val="24"/>
        </w:rPr>
        <w:t xml:space="preserve">, applicata per la prima volta in forma sistematica alle letture concorrenti del caso. L’apporto non sostituisce nulla: completa. La Classificazione di Descartes resta l’ordinamento; il Decalogo resta consultivo e impotente; la Regola di Ferro resta sovrana. Ciò che l’apporto aggiunge è la consapevolezza di secondo grado: il dubbio cartesiano è la sospensione del giudizio dell’analista, e Kuhn insegna che anche quando l’analista non giudica, </w:t>
      </w:r>
      <w:r>
        <w:rPr>
          <w:rFonts w:ascii="Times New Roman" w:hAnsi="Times New Roman" w:cs="Times New Roman" w:eastAsia="Times New Roman"/>
          <w:b/>
          <w:sz w:val="24"/>
        </w:rPr>
        <w:t>lo strumento con cui guarda ha già giudicato per lui</w:t>
      </w:r>
      <w:r>
        <w:rPr>
          <w:rFonts w:ascii="Times New Roman" w:hAnsi="Times New Roman" w:cs="Times New Roman" w:eastAsia="Times New Roman"/>
          <w:b w:val="0"/>
          <w:sz w:val="24"/>
        </w:rPr>
        <w:t xml:space="preserve"> — ha scelto il campo, preparato il vetrino, fissato l’ingrandimento. La Parte Ventesima è il registro di questa seconda umiltà.</w:t>
      </w:r>
    </w:p>
    <w:p>
      <w:pPr>
        <w:spacing w:line="276" w:lineRule="auto" w:after="80" w:before="200"/>
        <w:ind w:firstLine="0"/>
        <w:jc w:val="both"/>
      </w:pPr>
      <w:r>
        <w:rPr>
          <w:rFonts w:ascii="Times New Roman" w:hAnsi="Times New Roman" w:cs="Times New Roman" w:eastAsia="Times New Roman"/>
          <w:b/>
          <w:sz w:val="24"/>
        </w:rPr>
        <w:t>STRATO ZERO — L’EDIZIONE QUINTA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quinta del presente Registro, comprensiva delle edizioni prima, seconda, terza e quarta da essa incorporate, dell’Atto di Rinnovamento, della Classificazione di Descartes, del Decalogo delle Classificazioni Consultive e del Registro dei Dubbi Pendenti.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Quinta — Il Rinnovamento Cartesiano</w:t>
      </w:r>
    </w:p>
    <w:p>
      <w:pPr>
        <w:spacing w:line="276" w:lineRule="auto" w:after="80" w:before="200"/>
        <w:ind w:firstLine="0"/>
        <w:jc w:val="both"/>
      </w:pPr>
      <w:r>
        <w:rPr>
          <w:rFonts w:ascii="Times New Roman" w:hAnsi="Times New Roman" w:cs="Times New Roman" w:eastAsia="Times New Roman"/>
          <w:b/>
          <w:sz w:val="24"/>
        </w:rPr>
        <w:t>Primo dei Tre Documenti Morotei</w:t>
      </w:r>
    </w:p>
    <w:p>
      <w:pPr>
        <w:spacing w:line="276" w:lineRule="auto" w:after="60" w:before="0"/>
        <w:ind w:firstLine="425"/>
        <w:jc w:val="both"/>
      </w:pPr>
      <w:r>
        <w:rPr>
          <w:rFonts w:ascii="Times New Roman" w:hAnsi="Times New Roman" w:cs="Times New Roman" w:eastAsia="Times New Roman"/>
          <w:b w:val="0"/>
          <w:sz w:val="24"/>
        </w:rPr>
        <w:t>con la Classificazione di Descartes</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Atto di Rinnovamento.</w:t>
      </w:r>
      <w:r>
        <w:rPr>
          <w:rFonts w:ascii="Times New Roman" w:hAnsi="Times New Roman" w:cs="Times New Roman" w:eastAsia="Times New Roman"/>
          <w:b w:val="0"/>
          <w:sz w:val="24"/>
        </w:rPr>
        <w:t xml:space="preserve"> Con la presente edizione, il primo dei Tre Documenti Morotei — il Registro Analitico, cui seguiranno per rinnovamento il Registro Speculare degli Anelli Profondi e il terzo documento della trilogia — muta il proprio ordinamento probatorio. La </w:t>
      </w:r>
      <w:r>
        <w:rPr>
          <w:rFonts w:ascii="Times New Roman" w:hAnsi="Times New Roman" w:cs="Times New Roman" w:eastAsia="Times New Roman"/>
          <w:b/>
          <w:sz w:val="24"/>
        </w:rPr>
        <w:t>Classificazione Savona</w:t>
      </w:r>
      <w:r>
        <w:rPr>
          <w:rFonts w:ascii="Times New Roman" w:hAnsi="Times New Roman" w:cs="Times New Roman" w:eastAsia="Times New Roman"/>
          <w:b w:val="0"/>
          <w:sz w:val="24"/>
        </w:rPr>
        <w:t xml:space="preserve">, che ha governato le prime quattro edizioni, è deposta dal ruolo normativo: essa cessa di avere potere decisionale sulla ricerca, non gradua più le asserzioni, non ammette né respinge. Non è ripudiata: è ricollocata, con onore, quale prima voce del Decalogo delle Classificazioni Consultive istituito nella Parte Diciottesima. In suo luogo si insedia, quale unico ordinamento operativo, la </w:t>
      </w:r>
      <w:r>
        <w:rPr>
          <w:rFonts w:ascii="Times New Roman" w:hAnsi="Times New Roman" w:cs="Times New Roman" w:eastAsia="Times New Roman"/>
          <w:b/>
          <w:sz w:val="24"/>
        </w:rPr>
        <w:t>Classificazione di Descartes</w:t>
      </w:r>
      <w:r>
        <w:rPr>
          <w:rFonts w:ascii="Times New Roman" w:hAnsi="Times New Roman" w:cs="Times New Roman" w:eastAsia="Times New Roman"/>
          <w:b w:val="0"/>
          <w:sz w:val="24"/>
        </w:rPr>
        <w:t xml:space="preserve">, metodologia dell’autore, Luigi De Michele, formalizzata nella Parte Diciassettesima: </w:t>
      </w:r>
      <w:r>
        <w:rPr>
          <w:rFonts w:ascii="Times New Roman" w:hAnsi="Times New Roman" w:cs="Times New Roman" w:eastAsia="Times New Roman"/>
          <w:b/>
          <w:sz w:val="24"/>
        </w:rPr>
        <w:t>tutto ciò che è un dubbio resta un dubbio, indiviso e non classificabile, fintantoché non è sciolto</w:t>
      </w:r>
      <w:r>
        <w:rPr>
          <w:rFonts w:ascii="Times New Roman" w:hAnsi="Times New Roman" w:cs="Times New Roman" w:eastAsia="Times New Roman"/>
          <w:b w:val="0"/>
          <w:sz w:val="24"/>
        </w:rPr>
        <w:t>. Il rinnovamento vale per l’avvenire e per la rilettura: le edizioni incorporate restano verbatim con i loro marchi storici, che da oggi si leggono secondo la tavola di conversione; nessuna riga del passato è toccata, e tutto il passato è riletto.</w:t>
      </w:r>
    </w:p>
    <w:p>
      <w:pPr>
        <w:spacing w:line="276" w:lineRule="auto" w:after="60" w:before="0"/>
        <w:ind w:firstLine="425"/>
        <w:jc w:val="both"/>
      </w:pPr>
      <w:r>
        <w:rPr>
          <w:rFonts w:ascii="Times New Roman" w:hAnsi="Times New Roman" w:cs="Times New Roman" w:eastAsia="Times New Roman"/>
          <w:b/>
          <w:sz w:val="24"/>
        </w:rPr>
        <w:t>Statuto permanente.</w:t>
      </w:r>
      <w:r>
        <w:rPr>
          <w:rFonts w:ascii="Times New Roman" w:hAnsi="Times New Roman" w:cs="Times New Roman" w:eastAsia="Times New Roman"/>
          <w:b w:val="0"/>
          <w:sz w:val="24"/>
        </w:rPr>
        <w:t xml:space="preserve"> Restano fermi e sovrani: l’autonomia e l’autosufficienza del documento, con la dichiarazione del limite materiale dell’indipendenza; lo statuto investigativo e la sua codifica — istruttoria di ipotesi, mai attribuzione di responsabilità, presunzione piena per i viventi, destinazione alle sedi competenti di ciò che eccede la ricerca storica; la cumulatività preservativa; la Regola di Ferro. Cade soltanto, dell’apparato, ciò che il comando ha fatto cadere: il potere delle etichette sul corso dell’indagine. D’ora innanzi nessuna classificazione — né la deposta, né le nove consorelle del Decalogo — potrà chiudere una pista, retrocedere un’ipotesi, o pesare su una decisione istruttoria: le classificazioni informano chi le consulta, e la ricerca decide da sé.</w:t>
      </w:r>
    </w:p>
    <w:p>
      <w:pPr>
        <w:spacing w:line="276" w:lineRule="auto" w:after="80" w:before="200"/>
        <w:ind w:firstLine="0"/>
        <w:jc w:val="both"/>
      </w:pPr>
      <w:r>
        <w:rPr>
          <w:rFonts w:ascii="Times New Roman" w:hAnsi="Times New Roman" w:cs="Times New Roman" w:eastAsia="Times New Roman"/>
          <w:b/>
          <w:sz w:val="24"/>
        </w:rPr>
        <w:t>STRATO ZERO — L’EDIZIONE QUARTA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quarta del presente Registro, comprensiva delle edizioni prima, seconda e terza da essa incorporate, delle Parti sugli Anelli, della Metodologia del Salto della Quaglia e di ogni apparato. Nulla di quanto segue è stato modificato, abbreviato o riordinato; i marchi della classificazione deposta vi permangono quali testimonianze storiche dell’ordinamento previgente, e si leggono secondo la tavola di conversione della Parte Diciassettesima.</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Quarta — Definitiva quanto al censimento degli Anelli</w:t>
      </w:r>
    </w:p>
    <w:p>
      <w:pPr>
        <w:spacing w:line="276" w:lineRule="auto" w:after="80" w:before="200"/>
        <w:ind w:firstLine="0"/>
        <w:jc w:val="both"/>
      </w:pPr>
      <w:r>
        <w:rPr>
          <w:rFonts w:ascii="Times New Roman" w:hAnsi="Times New Roman" w:cs="Times New Roman" w:eastAsia="Times New Roman"/>
          <w:b/>
          <w:sz w:val="24"/>
        </w:rPr>
        <w:t>con la Metodologia del Salto della Quaglia</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 documento e mutamento di finalità.</w:t>
      </w:r>
      <w:r>
        <w:rPr>
          <w:rFonts w:ascii="Times New Roman" w:hAnsi="Times New Roman" w:cs="Times New Roman" w:eastAsia="Times New Roman"/>
          <w:b w:val="0"/>
          <w:sz w:val="24"/>
        </w:rPr>
        <w:t xml:space="preserve"> Il presente Registro è documento autonomo e autosufficiente, indipendente dal Registro Unico Federato di ITALIA NERA nei tre sensi dichiarati e misurati nelle edizioni precedenti, con il limite materiale espressamente dichiarato. Questa edizione incorpora verbatim la terza, e con essa la seconda e la prima, e compie tre atti: chiude in via definitiva il censimento dei nodi del Primo e del Secondo Anello; registra le terminazioni periferiche della rete, gli assoni che dal secondo anello puntano verso l’esterno; formalizza la </w:t>
      </w:r>
      <w:r>
        <w:rPr>
          <w:rFonts w:ascii="Times New Roman" w:hAnsi="Times New Roman" w:cs="Times New Roman" w:eastAsia="Times New Roman"/>
          <w:b/>
          <w:sz w:val="24"/>
        </w:rPr>
        <w:t>Metodologia del Salto della Quaglia</w:t>
      </w:r>
      <w:r>
        <w:rPr>
          <w:rFonts w:ascii="Times New Roman" w:hAnsi="Times New Roman" w:cs="Times New Roman" w:eastAsia="Times New Roman"/>
          <w:b w:val="0"/>
          <w:sz w:val="24"/>
        </w:rPr>
        <w:t xml:space="preserve">, metodologia propria dell’autore, Luigi De Michele, quale strumento permanente dell’apparato. Con questa edizione, inoltre, il Registro muta espressamente di finalità: le Parti dedicate agli Anelli, sin qui tenute a fini di cronaca documentale, sono da ora tenute </w:t>
      </w:r>
      <w:r>
        <w:rPr>
          <w:rFonts w:ascii="Times New Roman" w:hAnsi="Times New Roman" w:cs="Times New Roman" w:eastAsia="Times New Roman"/>
          <w:b/>
          <w:sz w:val="24"/>
        </w:rPr>
        <w:t>a fini investigativi</w:t>
      </w:r>
      <w:r>
        <w:rPr>
          <w:rFonts w:ascii="Times New Roman" w:hAnsi="Times New Roman" w:cs="Times New Roman" w:eastAsia="Times New Roman"/>
          <w:b w:val="0"/>
          <w:sz w:val="24"/>
        </w:rPr>
        <w:t>, per il vaglio di possibili responsabilità, collegamenti, connessioni, collusioni e connivenze, anche soltanto indirette.</w:t>
      </w:r>
    </w:p>
    <w:p>
      <w:pPr>
        <w:spacing w:line="276" w:lineRule="auto" w:after="60" w:before="0"/>
        <w:ind w:firstLine="425"/>
        <w:jc w:val="both"/>
      </w:pPr>
      <w:r>
        <w:rPr>
          <w:rFonts w:ascii="Times New Roman" w:hAnsi="Times New Roman" w:cs="Times New Roman" w:eastAsia="Times New Roman"/>
          <w:b/>
          <w:sz w:val="24"/>
        </w:rPr>
        <w:t>Codifica del fine investigativo.</w:t>
      </w:r>
      <w:r>
        <w:rPr>
          <w:rFonts w:ascii="Times New Roman" w:hAnsi="Times New Roman" w:cs="Times New Roman" w:eastAsia="Times New Roman"/>
          <w:b w:val="0"/>
          <w:sz w:val="24"/>
        </w:rPr>
        <w:t xml:space="preserve"> Il passaggio dalla cronaca al vaglio investigativo non abbassa lo standard probatorio: lo innalza. La cronaca può permettersi di registrare; l’investigazione deve poter reggere il contraddittorio. Ne discendono quattro regole che questa edizione scolpisce e che vincolano ogni suo uso. Prima: il vaglio investigativo è </w:t>
      </w:r>
      <w:r>
        <w:rPr>
          <w:rFonts w:ascii="Times New Roman" w:hAnsi="Times New Roman" w:cs="Times New Roman" w:eastAsia="Times New Roman"/>
          <w:b/>
          <w:sz w:val="24"/>
        </w:rPr>
        <w:t>istruttoria di ipotesi</w:t>
      </w:r>
      <w:r>
        <w:rPr>
          <w:rFonts w:ascii="Times New Roman" w:hAnsi="Times New Roman" w:cs="Times New Roman" w:eastAsia="Times New Roman"/>
          <w:b w:val="0"/>
          <w:sz w:val="24"/>
        </w:rPr>
        <w:t xml:space="preserve">, e ogni ipotesi è formulata con le proprie condizioni di falsificazione; il Registro genera e vaglia ipotesi, non pronuncia responsabilità. Seconda: nessuna responsabilità è attribuita ad alcuno che non risulti già accertata nella sede propria, che è e resta quella giudiziaria; per le persone viventi vale la presunzione piena, e per i defunti il giudizio storico si forma soltanto sul documentato. Terza: la classificazione Savona resta sovrana e invariata — il fine investigativo </w:t>
      </w:r>
      <w:r>
        <w:rPr>
          <w:rFonts w:ascii="Times New Roman" w:hAnsi="Times New Roman" w:cs="Times New Roman" w:eastAsia="Times New Roman"/>
          <w:b/>
          <w:sz w:val="24"/>
        </w:rPr>
        <w:t>trasforma le domande, non le prove</w:t>
      </w:r>
      <w:r>
        <w:rPr>
          <w:rFonts w:ascii="Times New Roman" w:hAnsi="Times New Roman" w:cs="Times New Roman" w:eastAsia="Times New Roman"/>
          <w:b w:val="0"/>
          <w:sz w:val="24"/>
        </w:rPr>
        <w:t xml:space="preserve"> — sicché un legame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resta ipotesi anche quando l’ipotesi è investigativamente feconda. Quarta: ove il vaglio produca elementi che eccedano la ricerca storica, la loro destinazione naturale sono le sedi competenti, che il Registro non sostituisce e alle quali non si sovrappone.</w:t>
      </w:r>
    </w:p>
    <w:p>
      <w:pPr>
        <w:spacing w:line="276" w:lineRule="auto" w:after="60" w:before="0"/>
        <w:ind w:firstLine="425"/>
        <w:jc w:val="both"/>
      </w:pPr>
      <w:r>
        <w:rPr>
          <w:rFonts w:ascii="Times New Roman" w:hAnsi="Times New Roman" w:cs="Times New Roman" w:eastAsia="Times New Roman"/>
          <w:b/>
          <w:sz w:val="24"/>
        </w:rPr>
        <w:t>Portata della certificazione.</w:t>
      </w:r>
      <w:r>
        <w:rPr>
          <w:rFonts w:ascii="Times New Roman" w:hAnsi="Times New Roman" w:cs="Times New Roman" w:eastAsia="Times New Roman"/>
          <w:b w:val="0"/>
          <w:sz w:val="24"/>
        </w:rPr>
        <w:t xml:space="preserve"> L’aggettivo definitivo e la qualità di certificato che questa edizione rivendica hanno un oggetto preciso e uno soltanto: la </w:t>
      </w:r>
      <w:r>
        <w:rPr>
          <w:rFonts w:ascii="Times New Roman" w:hAnsi="Times New Roman" w:cs="Times New Roman" w:eastAsia="Times New Roman"/>
          <w:b/>
          <w:sz w:val="24"/>
        </w:rPr>
        <w:t>completezza del censimento</w:t>
      </w:r>
      <w:r>
        <w:rPr>
          <w:rFonts w:ascii="Times New Roman" w:hAnsi="Times New Roman" w:cs="Times New Roman" w:eastAsia="Times New Roman"/>
          <w:b w:val="0"/>
          <w:sz w:val="24"/>
        </w:rPr>
        <w:t>. Il Registro certifica che ogni nodo emerso dall’estrazione computazionale dei due Anelli, sopra le soglie dichiarate, è stato iscritto, oppure espunto con motivazione, oppure assegnato a istruttoria con nome e numero: nessuno è stato taciuto. Il Registro non certifica — perché nessun metodo onesto potrebbe — i legami: ciascuno di essi resta al livello che le fonti consentono, e la parola certificato non si trasferisce mai dal censimento alla connessione.</w:t>
      </w:r>
    </w:p>
    <w:p>
      <w:pPr>
        <w:spacing w:line="276" w:lineRule="auto" w:after="80" w:before="200"/>
        <w:ind w:firstLine="0"/>
        <w:jc w:val="both"/>
      </w:pPr>
      <w:r>
        <w:rPr>
          <w:rFonts w:ascii="Times New Roman" w:hAnsi="Times New Roman" w:cs="Times New Roman" w:eastAsia="Times New Roman"/>
          <w:b/>
          <w:sz w:val="24"/>
        </w:rPr>
        <w:t>STRATO ZERO — L’EDIZIONE TERZA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terza del presente Registro, comprensiva delle edizioni prima e seconda da essa incorporate, delle Parti Undicesima e Dodicesima sugli Anelli di Prossimità e di ogni loro apparato.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Terza — con il Secondo Anello di Prossimità</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 documento.</w:t>
      </w:r>
      <w:r>
        <w:rPr>
          <w:rFonts w:ascii="Times New Roman" w:hAnsi="Times New Roman" w:cs="Times New Roman" w:eastAsia="Times New Roman"/>
          <w:b w:val="0"/>
          <w:sz w:val="24"/>
        </w:rPr>
        <w:t xml:space="preserve"> Il presente Registro è documento autonomo e autosufficiente, indipendente dal Registro Unico Federato di ITALIA NERA nei tre sensi dichiarati e misurati nell’edizione seconda — indipendenza di catena probatoria, di apparato e da ogni prodotto dell’opera — con l’espressa dichiarazione del limite materiale di tale indipendenza, ossia la sovrapposizione parziale del corpus di fonti terze, dalla quale discende che la convergenza fra i due Registri non vale mai come conferma reciproca. Questa edizione incorpora verbatim l’edizione seconda, e con essa la prima, e vi aggiunge la Parte Dodicesima: l’espansione della rete al Secondo Anello di Prossimità.</w:t>
      </w:r>
    </w:p>
    <w:p>
      <w:pPr>
        <w:spacing w:line="276" w:lineRule="auto" w:after="60" w:before="0"/>
        <w:ind w:firstLine="425"/>
        <w:jc w:val="both"/>
      </w:pPr>
      <w:r>
        <w:rPr>
          <w:rFonts w:ascii="Times New Roman" w:hAnsi="Times New Roman" w:cs="Times New Roman" w:eastAsia="Times New Roman"/>
          <w:b/>
          <w:sz w:val="24"/>
        </w:rPr>
        <w:t>Statuto del Secondo Anello.</w:t>
      </w:r>
      <w:r>
        <w:rPr>
          <w:rFonts w:ascii="Times New Roman" w:hAnsi="Times New Roman" w:cs="Times New Roman" w:eastAsia="Times New Roman"/>
          <w:b w:val="0"/>
          <w:sz w:val="24"/>
        </w:rPr>
        <w:t xml:space="preserve"> L’espansione al secondo grado obbedisce alla logica della propagazione in una rete: i vicini del Primo Anello divengono semi, e se ne estraggono i vicini. Ma ciò che nella propagazione è naturale, nella prova è vietato, e il Registro lo scolpisce in apertura con tre avvertenze che governano l’intera Parte Dodicesima. Prima: </w:t>
      </w:r>
      <w:r>
        <w:rPr>
          <w:rFonts w:ascii="Times New Roman" w:hAnsi="Times New Roman" w:cs="Times New Roman" w:eastAsia="Times New Roman"/>
          <w:b/>
          <w:sz w:val="24"/>
        </w:rPr>
        <w:t>la prossimità non è transitiva</w:t>
      </w:r>
      <w:r>
        <w:rPr>
          <w:rFonts w:ascii="Times New Roman" w:hAnsi="Times New Roman" w:cs="Times New Roman" w:eastAsia="Times New Roman"/>
          <w:b w:val="0"/>
          <w:sz w:val="24"/>
        </w:rPr>
        <w:t xml:space="preserve"> — che il nodo A sia prossimo al nodo B, e B prossimo a C, non rende A prossimo a C, e men che meno connesso. Seconda: </w:t>
      </w:r>
      <w:r>
        <w:rPr>
          <w:rFonts w:ascii="Times New Roman" w:hAnsi="Times New Roman" w:cs="Times New Roman" w:eastAsia="Times New Roman"/>
          <w:b/>
          <w:sz w:val="24"/>
        </w:rPr>
        <w:t>due ipotesi concatenate non si sommano ma si indeboliscono</w:t>
      </w:r>
      <w:r>
        <w:rPr>
          <w:rFonts w:ascii="Times New Roman" w:hAnsi="Times New Roman" w:cs="Times New Roman" w:eastAsia="Times New Roman"/>
          <w:b w:val="0"/>
          <w:sz w:val="24"/>
        </w:rPr>
        <w:t xml:space="preserve"> — un legame di Livello C che poggia su un altro legame di Livello C non produce un Livello B, produce un’ipotesi al quadrato. Terza: in una rete documentale densa vige l’</w:t>
      </w:r>
      <w:r>
        <w:rPr>
          <w:rFonts w:ascii="Times New Roman" w:hAnsi="Times New Roman" w:cs="Times New Roman" w:eastAsia="Times New Roman"/>
          <w:b/>
          <w:sz w:val="24"/>
        </w:rPr>
        <w:t>effetto di piccolo mondo</w:t>
      </w:r>
      <w:r>
        <w:rPr>
          <w:rFonts w:ascii="Times New Roman" w:hAnsi="Times New Roman" w:cs="Times New Roman" w:eastAsia="Times New Roman"/>
          <w:b w:val="0"/>
          <w:sz w:val="24"/>
        </w:rPr>
        <w:t xml:space="preserve"> — a due passi da qualunque nodo si raggiunge quasi tutto il lessico — sicché il Secondo Anello non è una mappa del caso ma una mappa del contesto entro cui le fonti collocano il caso; per distinguere l’uno dall’altro, ogni seme di secondo grado è accompagnato da una </w:t>
      </w:r>
      <w:r>
        <w:rPr>
          <w:rFonts w:ascii="Times New Roman" w:hAnsi="Times New Roman" w:cs="Times New Roman" w:eastAsia="Times New Roman"/>
          <w:b/>
          <w:sz w:val="24"/>
        </w:rPr>
        <w:t>metrica di deriva tematica</w:t>
      </w:r>
      <w:r>
        <w:rPr>
          <w:rFonts w:ascii="Times New Roman" w:hAnsi="Times New Roman" w:cs="Times New Roman" w:eastAsia="Times New Roman"/>
          <w:b w:val="0"/>
          <w:sz w:val="24"/>
        </w:rPr>
        <w:t>, la frazione delle sue finestre che contiene ancora il caso, dichiarata voce per voce. Il Secondo Anello è registrato per dovere di cronaca: nessuna sua voce è affermata dal Registro.</w:t>
      </w:r>
    </w:p>
    <w:p>
      <w:pPr>
        <w:spacing w:line="276" w:lineRule="auto" w:after="80" w:before="200"/>
        <w:ind w:firstLine="0"/>
        <w:jc w:val="both"/>
      </w:pPr>
      <w:r>
        <w:rPr>
          <w:rFonts w:ascii="Times New Roman" w:hAnsi="Times New Roman" w:cs="Times New Roman" w:eastAsia="Times New Roman"/>
          <w:b/>
          <w:sz w:val="24"/>
        </w:rPr>
        <w:t>STRATO ZERO — L’EDIZIONE SECONDA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seconda del presente Registro, comprensiva del frontespizio con la dichiarazione di indipendenza delle fonti, dell’edizione prima da essa incorporata e della Parte Undicesima sul Primo Anello di Prossimità.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80" w:before="200"/>
        <w:ind w:firstLine="0"/>
        <w:jc w:val="both"/>
      </w:pPr>
      <w:r>
        <w:rPr>
          <w:rFonts w:ascii="Times New Roman" w:hAnsi="Times New Roman" w:cs="Times New Roman" w:eastAsia="Times New Roman"/>
          <w:b/>
          <w:sz w:val="24"/>
        </w:rPr>
        <w:t>Edizione Seconda — con il Primo Anello di Prossimità</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 documento.</w:t>
      </w:r>
      <w:r>
        <w:rPr>
          <w:rFonts w:ascii="Times New Roman" w:hAnsi="Times New Roman" w:cs="Times New Roman" w:eastAsia="Times New Roman"/>
          <w:b w:val="0"/>
          <w:sz w:val="24"/>
        </w:rPr>
        <w:t xml:space="preserve"> Il presente Registro è documento autonomo e autosufficiente. Non è sezione, estratto né derivazione del Registro Unico Federato di ITALIA NERA, e non ne presuppone la lettura: metodologia, apparato dei Domini, tipologia degli archi, Pattern analitici e standard probatorio vi sono ripetuti per intero e non per rinvio, affinché il Registro possa essere letto, verificato e falsificato da solo. Esso incorpora verbatim l’edizione prima e vi aggiunge la registrazione del Primo Anello di Prossimità.</w:t>
      </w:r>
    </w:p>
    <w:p>
      <w:pPr>
        <w:spacing w:line="276" w:lineRule="auto" w:after="60" w:before="0"/>
        <w:ind w:firstLine="425"/>
        <w:jc w:val="both"/>
      </w:pPr>
      <w:r>
        <w:rPr>
          <w:rFonts w:ascii="Times New Roman" w:hAnsi="Times New Roman" w:cs="Times New Roman" w:eastAsia="Times New Roman"/>
          <w:b/>
          <w:sz w:val="24"/>
        </w:rPr>
        <w:t>Dichiarazione di indipendenza delle fonti.</w:t>
      </w:r>
      <w:r>
        <w:rPr>
          <w:rFonts w:ascii="Times New Roman" w:hAnsi="Times New Roman" w:cs="Times New Roman" w:eastAsia="Times New Roman"/>
          <w:b w:val="0"/>
          <w:sz w:val="24"/>
        </w:rPr>
        <w:t xml:space="preserve"> Le fonti del presente Registro sono indipendenti rispetto a quelle del Registro Unico Federato di ITALIA NERA nei sensi che seguono, ciascuno dei quali è verificabile e nessuno dei quali è retorico. Primo, </w:t>
      </w:r>
      <w:r>
        <w:rPr>
          <w:rFonts w:ascii="Times New Roman" w:hAnsi="Times New Roman" w:cs="Times New Roman" w:eastAsia="Times New Roman"/>
          <w:b/>
          <w:sz w:val="24"/>
        </w:rPr>
        <w:t>indipendenza di catena probatoria</w:t>
      </w:r>
      <w:r>
        <w:rPr>
          <w:rFonts w:ascii="Times New Roman" w:hAnsi="Times New Roman" w:cs="Times New Roman" w:eastAsia="Times New Roman"/>
          <w:b w:val="0"/>
          <w:sz w:val="24"/>
        </w:rPr>
        <w:t xml:space="preserve">: nessuna asserzione, nessuna classificazione e nessun testo del Registro Unico è qui accolto per autorità; ogni livello </w:t>
      </w:r>
      <w:r>
        <w:rPr>
          <w:rFonts w:ascii="Times New Roman" w:hAnsi="Times New Roman" w:cs="Times New Roman" w:eastAsia="Times New Roman"/>
          <w:b/>
          <w:sz w:val="24"/>
        </w:rPr>
        <w:t>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B</w:t>
      </w:r>
      <w:r>
        <w:rPr>
          <w:rFonts w:ascii="Times New Roman" w:hAnsi="Times New Roman" w:cs="Times New Roman" w:eastAsia="Times New Roman"/>
          <w:b w:val="0"/>
          <w:sz w:val="24"/>
        </w:rPr>
        <w:t xml:space="preserve"> o </w:t>
      </w:r>
      <w:r>
        <w:rPr>
          <w:rFonts w:ascii="Times New Roman" w:hAnsi="Times New Roman" w:cs="Times New Roman" w:eastAsia="Times New Roman"/>
          <w:b/>
          <w:sz w:val="24"/>
        </w:rPr>
        <w:t>C</w:t>
      </w:r>
      <w:r>
        <w:rPr>
          <w:rFonts w:ascii="Times New Roman" w:hAnsi="Times New Roman" w:cs="Times New Roman" w:eastAsia="Times New Roman"/>
          <w:b w:val="0"/>
          <w:sz w:val="24"/>
        </w:rPr>
        <w:t xml:space="preserve"> è stato riassegnato ex novo risalendo alla fonte primaria, e nessun grado di prova è stato ereditato. Secondo, </w:t>
      </w:r>
      <w:r>
        <w:rPr>
          <w:rFonts w:ascii="Times New Roman" w:hAnsi="Times New Roman" w:cs="Times New Roman" w:eastAsia="Times New Roman"/>
          <w:b/>
          <w:sz w:val="24"/>
        </w:rPr>
        <w:t>indipendenza di apparato</w:t>
      </w:r>
      <w:r>
        <w:rPr>
          <w:rFonts w:ascii="Times New Roman" w:hAnsi="Times New Roman" w:cs="Times New Roman" w:eastAsia="Times New Roman"/>
          <w:b w:val="0"/>
          <w:sz w:val="24"/>
        </w:rPr>
        <w:t xml:space="preserve">: la Camera Istruttoria, il registro delle lacune, il lessico dei nodi, il calcolo di prossimità e le ipotesi concorrenti di questo Registro sono propri e non derivati; le ipotesi in competizione qui formulate non coincidono con quelle del Registro Unico e hanno un diverso falsificatore di riferimento. Terzo, </w:t>
      </w:r>
      <w:r>
        <w:rPr>
          <w:rFonts w:ascii="Times New Roman" w:hAnsi="Times New Roman" w:cs="Times New Roman" w:eastAsia="Times New Roman"/>
          <w:b/>
          <w:sz w:val="24"/>
        </w:rPr>
        <w:t>indipendenza da ogni prodotto dell’opera</w:t>
      </w:r>
      <w:r>
        <w:rPr>
          <w:rFonts w:ascii="Times New Roman" w:hAnsi="Times New Roman" w:cs="Times New Roman" w:eastAsia="Times New Roman"/>
          <w:b w:val="0"/>
          <w:sz w:val="24"/>
        </w:rPr>
        <w:t>: il corpus di calcolo esclude per terzietà i trentuno prodotti dell’opera presenti in cartella, e si compone unicamente di fonti terze — atti parlamentari, atti giudiziari, inventari archivistici, corpora autografi, monografie e voci di riferimento.</w:t>
      </w:r>
    </w:p>
    <w:p>
      <w:pPr>
        <w:spacing w:line="276" w:lineRule="auto" w:after="60" w:before="0"/>
        <w:ind w:firstLine="425"/>
        <w:jc w:val="both"/>
      </w:pPr>
      <w:r>
        <w:rPr>
          <w:rFonts w:ascii="Times New Roman" w:hAnsi="Times New Roman" w:cs="Times New Roman" w:eastAsia="Times New Roman"/>
          <w:b/>
          <w:sz w:val="24"/>
        </w:rPr>
        <w:t>Limite dichiarato dell’indipendenza.</w:t>
      </w:r>
      <w:r>
        <w:rPr>
          <w:rFonts w:ascii="Times New Roman" w:hAnsi="Times New Roman" w:cs="Times New Roman" w:eastAsia="Times New Roman"/>
          <w:b w:val="0"/>
          <w:sz w:val="24"/>
        </w:rPr>
        <w:t xml:space="preserve"> Il metodo impone di dichiarare anche ciò che l’indipendenza non è, poiché una convergenza spuria dichiarata autentica sarebbe precisamente l’errore che questo Registro esiste per prevenire. Il sottocorpus qui utilizzato consta di sessantotto fonti selezionate per pertinenza entro un insieme di duecentoquarantuno fonti terze disponibili; di esse quindici hanno il caso Moro come tema dominante e costituiscono il nucleo proprio del Registro, mentre le rimanenti sono fonti generali della materia che il Registro Unico impiega anch’esso per oggetti diversi. </w:t>
      </w:r>
      <w:r>
        <w:rPr>
          <w:rFonts w:ascii="Times New Roman" w:hAnsi="Times New Roman" w:cs="Times New Roman" w:eastAsia="Times New Roman"/>
          <w:b/>
          <w:sz w:val="24"/>
        </w:rPr>
        <w:t>La sovrapposizione materiale parziale del corpus è pertanto dichiarata e misurata.</w:t>
      </w:r>
      <w:r>
        <w:rPr>
          <w:rFonts w:ascii="Times New Roman" w:hAnsi="Times New Roman" w:cs="Times New Roman" w:eastAsia="Times New Roman"/>
          <w:b w:val="0"/>
          <w:sz w:val="24"/>
        </w:rPr>
        <w:t xml:space="preserve"> Ne discende la regola che questo Registro osserva senza eccezioni: la convergenza fra le conclusioni di questo Registro e quelle del Registro Unico </w:t>
      </w:r>
      <w:r>
        <w:rPr>
          <w:rFonts w:ascii="Times New Roman" w:hAnsi="Times New Roman" w:cs="Times New Roman" w:eastAsia="Times New Roman"/>
          <w:b/>
          <w:sz w:val="24"/>
        </w:rPr>
        <w:t>non costituisce conferma reciproca</w:t>
      </w:r>
      <w:r>
        <w:rPr>
          <w:rFonts w:ascii="Times New Roman" w:hAnsi="Times New Roman" w:cs="Times New Roman" w:eastAsia="Times New Roman"/>
          <w:b w:val="0"/>
          <w:sz w:val="24"/>
        </w:rPr>
        <w:t>, poiché due letture del medesimo documento non sono due fonti indipendenti; vale come conferma soltanto la convergenza di fonti fra loro indipendenti sul medesimo punto, e l’indipendenza è accertata e mai presunta.</w:t>
      </w:r>
    </w:p>
    <w:p>
      <w:pPr>
        <w:spacing w:line="276" w:lineRule="auto" w:after="60" w:before="0"/>
        <w:ind w:firstLine="425"/>
        <w:jc w:val="both"/>
      </w:pPr>
      <w:r>
        <w:rPr>
          <w:rFonts w:ascii="Times New Roman" w:hAnsi="Times New Roman" w:cs="Times New Roman" w:eastAsia="Times New Roman"/>
          <w:b/>
          <w:sz w:val="24"/>
        </w:rPr>
        <w:t>Statuto del Primo Anello.</w:t>
      </w:r>
      <w:r>
        <w:rPr>
          <w:rFonts w:ascii="Times New Roman" w:hAnsi="Times New Roman" w:cs="Times New Roman" w:eastAsia="Times New Roman"/>
          <w:b w:val="0"/>
          <w:sz w:val="24"/>
        </w:rPr>
        <w:t xml:space="preserve"> La Parte Undicesima registra i nodi documentalmente prossimi ai nodi del caso, ricavati per misura di vicinanza testuale nelle fonti. Tale registrazione è compiuta </w:t>
      </w:r>
      <w:r>
        <w:rPr>
          <w:rFonts w:ascii="Times New Roman" w:hAnsi="Times New Roman" w:cs="Times New Roman" w:eastAsia="Times New Roman"/>
          <w:b/>
          <w:sz w:val="24"/>
        </w:rPr>
        <w:t>per dovere di cronaca e non a titolo di asserzione</w:t>
      </w:r>
      <w:r>
        <w:rPr>
          <w:rFonts w:ascii="Times New Roman" w:hAnsi="Times New Roman" w:cs="Times New Roman" w:eastAsia="Times New Roman"/>
          <w:b w:val="0"/>
          <w:sz w:val="24"/>
        </w:rPr>
        <w:t xml:space="preserve">: la prossimità di due nomi entro una medesima finestra di testo attesta che una fonte li ha accostati, non che fra i due corra un arco. Ogni voce del Primo Anello è pertanto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legame, quale che sia il livello dei singoli nodi che collega, e nessuna di esse è affermata dal Registro. Il Primo Anello è mappa di ciò che è stato scritto, non mappa di ciò che è accaduto: chi lo leggesse come la seconda commetterebbe esattamente l’errore del pollo induttivista di Russell, e il Registro lo dichiara qui in apertura perché nessun lettore possa incorrervi in buona fede.</w:t>
      </w:r>
    </w:p>
    <w:p>
      <w:pPr>
        <w:spacing w:line="276" w:lineRule="auto" w:after="80" w:before="200"/>
        <w:ind w:firstLine="0"/>
        <w:jc w:val="both"/>
      </w:pPr>
      <w:r>
        <w:rPr>
          <w:rFonts w:ascii="Times New Roman" w:hAnsi="Times New Roman" w:cs="Times New Roman" w:eastAsia="Times New Roman"/>
          <w:b/>
          <w:sz w:val="24"/>
        </w:rPr>
        <w:t>STRATO ZERO — L’EDIZIONE PRIMA INCORPORATA VERBATIM</w:t>
      </w:r>
    </w:p>
    <w:p>
      <w:pPr>
        <w:spacing w:line="276" w:lineRule="auto" w:after="60" w:before="0"/>
        <w:ind w:firstLine="425"/>
        <w:jc w:val="both"/>
      </w:pPr>
      <w:r>
        <w:rPr>
          <w:rFonts w:ascii="Times New Roman" w:hAnsi="Times New Roman" w:cs="Times New Roman" w:eastAsia="Times New Roman"/>
          <w:b w:val="0"/>
          <w:sz w:val="24"/>
        </w:rPr>
        <w:t>Segue, riprodotta integralmente e senza alcun intervento per copia diretta del flusso documentale, l’edizione prima del presente Registro, comprensiva della Nota metodologica, del censimento del corpus, della declinazione dei dieci Domini, della tipologia degli archi, del Registro dei nodi, della cronologia strutturale, dei Pattern applicati, delle ipotesi concorrenti, del registro delle lacune e della Camera Istruttoria. Nulla di quanto segue è stato modificato, abbreviato o riordinato.</w:t>
      </w:r>
    </w:p>
    <w:p>
      <w:pPr>
        <w:spacing w:line="276" w:lineRule="auto" w:after="80" w:before="200"/>
        <w:ind w:firstLine="0"/>
        <w:jc w:val="both"/>
      </w:pPr>
      <w:r>
        <w:rPr>
          <w:rFonts w:ascii="Times New Roman" w:hAnsi="Times New Roman" w:cs="Times New Roman" w:eastAsia="Times New Roman"/>
          <w:b/>
          <w:sz w:val="24"/>
        </w:rPr>
        <w:t>REGISTRO ANALITICO DEL CASO MORO</w:t>
      </w:r>
    </w:p>
    <w:p>
      <w:pPr>
        <w:spacing w:line="276" w:lineRule="auto" w:after="60" w:before="0"/>
        <w:ind w:firstLine="425"/>
        <w:jc w:val="both"/>
      </w:pPr>
      <w:r>
        <w:rPr>
          <w:rFonts w:ascii="Times New Roman" w:hAnsi="Times New Roman" w:cs="Times New Roman" w:eastAsia="Times New Roman"/>
          <w:b w:val="0"/>
          <w:sz w:val="24"/>
        </w:rPr>
        <w:t>Registro autonomo delle reti informali del sequestro e dell’omicidio di Aldo Moro</w:t>
      </w:r>
    </w:p>
    <w:p>
      <w:pPr>
        <w:spacing w:line="276" w:lineRule="auto" w:after="60" w:before="0"/>
        <w:ind w:firstLine="425"/>
        <w:jc w:val="both"/>
      </w:pPr>
      <w:r>
        <w:rPr>
          <w:rFonts w:ascii="Times New Roman" w:hAnsi="Times New Roman" w:cs="Times New Roman" w:eastAsia="Times New Roman"/>
          <w:b w:val="0"/>
          <w:sz w:val="24"/>
        </w:rPr>
        <w:t>Edizione Prima — Integrale</w:t>
      </w:r>
    </w:p>
    <w:p>
      <w:pPr>
        <w:spacing w:line="276" w:lineRule="auto" w:after="60" w:before="0"/>
        <w:ind w:firstLine="425"/>
        <w:jc w:val="both"/>
      </w:pPr>
      <w:r>
        <w:rPr>
          <w:rFonts w:ascii="Times New Roman" w:hAnsi="Times New Roman" w:cs="Times New Roman" w:eastAsia="Times New Roman"/>
          <w:b w:val="0"/>
          <w:sz w:val="24"/>
        </w:rPr>
        <w:t>Luigi De Michele</w:t>
      </w:r>
    </w:p>
    <w:p>
      <w:pPr>
        <w:spacing w:line="276" w:lineRule="auto" w:after="60" w:before="0"/>
        <w:ind w:firstLine="425"/>
        <w:jc w:val="both"/>
      </w:pPr>
      <w:r>
        <w:rPr>
          <w:rFonts w:ascii="Times New Roman" w:hAnsi="Times New Roman" w:cs="Times New Roman" w:eastAsia="Times New Roman"/>
          <w:b w:val="0"/>
          <w:sz w:val="24"/>
        </w:rPr>
        <w:t>Due agosto duemilaventisei</w:t>
      </w:r>
    </w:p>
    <w:p>
      <w:pPr>
        <w:spacing w:line="276" w:lineRule="auto" w:after="60" w:before="0"/>
        <w:ind w:firstLine="425"/>
        <w:jc w:val="both"/>
      </w:pPr>
      <w:r>
        <w:rPr>
          <w:rFonts w:ascii="Times New Roman" w:hAnsi="Times New Roman" w:cs="Times New Roman" w:eastAsia="Times New Roman"/>
          <w:b/>
          <w:sz w:val="24"/>
        </w:rPr>
        <w:t>Statuto del documento.</w:t>
      </w:r>
      <w:r>
        <w:rPr>
          <w:rFonts w:ascii="Times New Roman" w:hAnsi="Times New Roman" w:cs="Times New Roman" w:eastAsia="Times New Roman"/>
          <w:b w:val="0"/>
          <w:sz w:val="24"/>
        </w:rPr>
        <w:t xml:space="preserve"> Il presente Registro è documento autonomo e autosufficiente. Esso non è una sezione, un estratto né una derivazione del Registro Unico Federato di ITALIA NERA, e non presuppone la lettura di quello: la metodologia, l’apparato dei Domini, la tipologia degli archi, i Pattern analitici e lo standard probatorio vi sono ripetuti per intero e non per rinvio, affinché il Registro possa essere letto, verificato e falsificato da solo. Condivide con il Registro Unico l’identica metodologia e l’identica architettura, ma ha un proprio oggetto circoscritto — il sequestro di via Fani del sedici marzo millenovecentosettantotto, i cinquantacinque giorni della prigionia e l’omicidio del nove maggio, con i nodi, gli archi e le questioni che vi afferiscono — e un proprio corpus, un proprio registro delle lacune, una propria Camera Istruttoria. Ove le due opere confliggano su un punto di fatto, prevale quella che esibisce la fonte di livello superiore; ove convergano, la convergenza non costituisce conferma, poiché non sono fonti indipendenti fra loro.</w:t>
      </w:r>
    </w:p>
    <w:p>
      <w:pPr>
        <w:spacing w:line="276" w:lineRule="auto" w:after="80" w:before="200"/>
        <w:ind w:firstLine="0"/>
        <w:jc w:val="both"/>
      </w:pPr>
      <w:r>
        <w:rPr>
          <w:rFonts w:ascii="Times New Roman" w:hAnsi="Times New Roman" w:cs="Times New Roman" w:eastAsia="Times New Roman"/>
          <w:b/>
          <w:sz w:val="24"/>
        </w:rPr>
        <w:t>PARTE PRIMA — NOTA METODOLOGICA</w:t>
      </w:r>
    </w:p>
    <w:p>
      <w:pPr>
        <w:spacing w:line="276" w:lineRule="auto" w:after="80" w:before="200"/>
        <w:ind w:firstLine="0"/>
        <w:jc w:val="both"/>
      </w:pPr>
      <w:r>
        <w:rPr>
          <w:rFonts w:ascii="Times New Roman" w:hAnsi="Times New Roman" w:cs="Times New Roman" w:eastAsia="Times New Roman"/>
          <w:b/>
          <w:sz w:val="24"/>
        </w:rPr>
        <w:t>Premessa epistemologica: perché il Caso Moro è il caso limite del metodo</w:t>
      </w:r>
    </w:p>
    <w:p>
      <w:pPr>
        <w:spacing w:line="276" w:lineRule="auto" w:after="60" w:before="0"/>
        <w:ind w:firstLine="425"/>
        <w:jc w:val="both"/>
      </w:pPr>
      <w:r>
        <w:rPr>
          <w:rFonts w:ascii="Times New Roman" w:hAnsi="Times New Roman" w:cs="Times New Roman" w:eastAsia="Times New Roman"/>
          <w:b w:val="0"/>
          <w:sz w:val="24"/>
        </w:rPr>
        <w:t>Il caso Moro costituisce, per la storiografia e per l’analisi delle reti informali, un banco di prova più severo di qualunque altro episodio della storia repubblicana, e la ragione non risiede soltanto nella gravità dell’evento. Risiede nel fatto che su di esso si è depositata, in quasi cinquant’anni, una sedimentazione di narrazioni concorrenti così densa da rendere quasi impossibile distinguere il fatto accertato dall’ipotesi ripetuta. Cinque processi, due Commissioni parlamentari d’inchiesta a esso specificamente dedicate, una terza — quella sulle stragi — che vi ha dedicato tomi interi, una letteratura monografica di migliaia di titoli, una pubblicistica militante di ogni orientamento: il risultato è che il caso Moro è oggi il luogo dove la conoscenza per accumulo produce meno chiarezza che altrove, perché ogni nuovo strato di racconto si sovrappone ai precedenti senza espungerli.</w:t>
      </w:r>
    </w:p>
    <w:p>
      <w:pPr>
        <w:spacing w:line="276" w:lineRule="auto" w:after="60" w:before="0"/>
        <w:ind w:firstLine="425"/>
        <w:jc w:val="both"/>
      </w:pPr>
      <w:r>
        <w:rPr>
          <w:rFonts w:ascii="Times New Roman" w:hAnsi="Times New Roman" w:cs="Times New Roman" w:eastAsia="Times New Roman"/>
          <w:b w:val="0"/>
          <w:sz w:val="24"/>
        </w:rPr>
        <w:t xml:space="preserve">Il metodo che questo Registro adotta muove da una constatazione elementare e scomoda: nel caso Moro la difficoltà non è la scarsità delle informazioni, ma la loro sovrabbondanza disordinata e la loro contaminazione reciproca. Vi sono affermazioni che circolano da decenni con l’autorevolezza del fatto e che, risalite alla fonte, si rivelano dichiarazioni non riscontrate, ricostruzioni giornalistiche o autodichiarazioni di soggetti interessati. Vi sono, all’opposto, accertamenti giudiziari definitivi che la pubblicistica tratta come opinioni fra le altre. Il compito del Registro non è dunque aggiungere una narrazione a quelle esistenti, ma </w:t>
      </w:r>
      <w:r>
        <w:rPr>
          <w:rFonts w:ascii="Times New Roman" w:hAnsi="Times New Roman" w:cs="Times New Roman" w:eastAsia="Times New Roman"/>
          <w:b/>
          <w:sz w:val="24"/>
        </w:rPr>
        <w:t>stratificare le asserzioni per grado di sostegno documentale</w:t>
      </w:r>
      <w:r>
        <w:rPr>
          <w:rFonts w:ascii="Times New Roman" w:hAnsi="Times New Roman" w:cs="Times New Roman" w:eastAsia="Times New Roman"/>
          <w:b w:val="0"/>
          <w:sz w:val="24"/>
        </w:rPr>
        <w:t>, restituendo a ciascuna il suo peso e privando ciascuna del peso che non le compete. Dove la fonte documenta, il Registro certifica; dove la fonte tace, il Registro indaga e non afferma. Questa è la Regola di Ferro, e nel caso Moro essa non è una cautela accessoria: è l’unico argine.</w:t>
      </w:r>
    </w:p>
    <w:p>
      <w:pPr>
        <w:spacing w:line="276" w:lineRule="auto" w:after="80" w:before="200"/>
        <w:ind w:firstLine="0"/>
        <w:jc w:val="both"/>
      </w:pPr>
      <w:r>
        <w:rPr>
          <w:rFonts w:ascii="Times New Roman" w:hAnsi="Times New Roman" w:cs="Times New Roman" w:eastAsia="Times New Roman"/>
          <w:b/>
          <w:sz w:val="24"/>
        </w:rPr>
        <w:t>Il problema dell’induzione e il Pollo di Popper applicato al caso Moro</w:t>
      </w:r>
    </w:p>
    <w:p>
      <w:pPr>
        <w:spacing w:line="276" w:lineRule="auto" w:after="60" w:before="0"/>
        <w:ind w:firstLine="425"/>
        <w:jc w:val="both"/>
      </w:pPr>
      <w:r>
        <w:rPr>
          <w:rFonts w:ascii="Times New Roman" w:hAnsi="Times New Roman" w:cs="Times New Roman" w:eastAsia="Times New Roman"/>
          <w:b w:val="0"/>
          <w:sz w:val="24"/>
        </w:rPr>
        <w:t>Karl Popper, nella Logica della scoperta scientifica, formulò la critica decisiva al metodo induttivo: nessuna quantità di osservazioni conformi dimostra una legge universale, mentre una sola osservazione contraria la falsifica. L’esempio del pollo induttivista, che Bertrand Russell propose nei Problemi della filosofia, illustra il pericolo di ogni ricerca che parta da una tesi precostituita e cerchi conferme nei dati: il pollo osserva il contadino portargli il cibo ogni giorno e ne inferisce che il contadino esisterà sempre per nutrirlo, fino al giorno in cui il contadino gli tira il collo.</w:t>
      </w:r>
    </w:p>
    <w:p>
      <w:pPr>
        <w:spacing w:line="276" w:lineRule="auto" w:after="60" w:before="0"/>
        <w:ind w:firstLine="425"/>
        <w:jc w:val="both"/>
      </w:pPr>
      <w:r>
        <w:rPr>
          <w:rFonts w:ascii="Times New Roman" w:hAnsi="Times New Roman" w:cs="Times New Roman" w:eastAsia="Times New Roman"/>
          <w:b w:val="0"/>
          <w:sz w:val="24"/>
        </w:rPr>
        <w:t>Nel caso Moro il rischio del Pollo di Popper assume la forma più insidiosa che gli sia data assumere, perché la materia offre un numero praticamente illimitato di coincidenze. Cinquantacinque giorni di storia italiana densissima, migliaia di attori, decine di apparati, un contesto internazionale in movimento: chiunque parta dalla tesi che il sequestro fu eterodiretto troverà, senza sforzo, decine di circostanze che la confermano, perché in un intervallo così denso qualunque tesi trova conferme. E chiunque parta dalla tesi opposta ne troverà altrettante. La struttura concentrica del racconto — un centro interpretativo dal quale si irradiano i fatti — genera l’illusione della dimostrazione senza che alcuna dimostrazione sia avvenuta: i dati confermano la tesi per effetto della struttura, non per forza propria.</w:t>
      </w:r>
    </w:p>
    <w:p>
      <w:pPr>
        <w:spacing w:line="276" w:lineRule="auto" w:after="60" w:before="0"/>
        <w:ind w:firstLine="425"/>
        <w:jc w:val="both"/>
      </w:pPr>
      <w:r>
        <w:rPr>
          <w:rFonts w:ascii="Times New Roman" w:hAnsi="Times New Roman" w:cs="Times New Roman" w:eastAsia="Times New Roman"/>
          <w:b w:val="0"/>
          <w:sz w:val="24"/>
        </w:rPr>
        <w:t xml:space="preserve">La soluzione popperiana impone che il Registro non sia organizzato attorno a un’ipotesi ma attorno ai dati, e che ogni ipotesi sia formulata in modo da poter essere falsificata. Ne discende una regola operativa che questo Registro osserva senza eccezioni: </w:t>
      </w:r>
      <w:r>
        <w:rPr>
          <w:rFonts w:ascii="Times New Roman" w:hAnsi="Times New Roman" w:cs="Times New Roman" w:eastAsia="Times New Roman"/>
          <w:b/>
          <w:sz w:val="24"/>
        </w:rPr>
        <w:t>per ogni asserzione si dichiara che cosa la falsificherebbe</w:t>
      </w:r>
      <w:r>
        <w:rPr>
          <w:rFonts w:ascii="Times New Roman" w:hAnsi="Times New Roman" w:cs="Times New Roman" w:eastAsia="Times New Roman"/>
          <w:b w:val="0"/>
          <w:sz w:val="24"/>
        </w:rPr>
        <w:t>. Un’asserzione che non ammette confutazione concepibile non è conoscenza ma professione di fede, e come tale non entra nel Registro se non come oggetto, mai come strumento.</w:t>
      </w:r>
    </w:p>
    <w:p>
      <w:pPr>
        <w:spacing w:line="276" w:lineRule="auto" w:after="80" w:before="200"/>
        <w:ind w:firstLine="0"/>
        <w:jc w:val="both"/>
      </w:pPr>
      <w:r>
        <w:rPr>
          <w:rFonts w:ascii="Times New Roman" w:hAnsi="Times New Roman" w:cs="Times New Roman" w:eastAsia="Times New Roman"/>
          <w:b/>
          <w:sz w:val="24"/>
        </w:rPr>
        <w:t>Il paradigma indiziario e la conoscenza per tracce</w:t>
      </w:r>
    </w:p>
    <w:p>
      <w:pPr>
        <w:spacing w:line="276" w:lineRule="auto" w:after="60" w:before="0"/>
        <w:ind w:firstLine="425"/>
        <w:jc w:val="both"/>
      </w:pPr>
      <w:r>
        <w:rPr>
          <w:rFonts w:ascii="Times New Roman" w:hAnsi="Times New Roman" w:cs="Times New Roman" w:eastAsia="Times New Roman"/>
          <w:b w:val="0"/>
          <w:sz w:val="24"/>
        </w:rPr>
        <w:t>Carlo Ginzburg, nel saggio sulle radici del paradigma indiziario, individuò il metodo che accomuna la semeiotica medica, l’attribuzione conoscitiva delle opere d’arte, la psicoanalisi e l’investigazione: la conoscenza si costruisce non sulle regolarità statistiche ma sulle anomalie, sui dettagli marginali, sui sintomi che sfuggono al controllo cosciente del soggetto. Applicato al caso Moro, il paradigma indiziario significa che la struttura reale degli eventi non si rivela nelle dichiarazioni esplicite dei protagonisti — che sono tutte, per definizione, dichiarazioni di parte — ma nelle tracce involontarie: l’intestazione di un appartamento, la datazione di un documento, l’ordine in cui una notizia percorre una catena gerarchica, la discrepanza fra due verbali, l’omissione che ricorre.</w:t>
      </w:r>
    </w:p>
    <w:p>
      <w:pPr>
        <w:spacing w:line="276" w:lineRule="auto" w:after="60" w:before="0"/>
        <w:ind w:firstLine="425"/>
        <w:jc w:val="both"/>
      </w:pPr>
      <w:r>
        <w:rPr>
          <w:rFonts w:ascii="Times New Roman" w:hAnsi="Times New Roman" w:cs="Times New Roman" w:eastAsia="Times New Roman"/>
          <w:b w:val="0"/>
          <w:sz w:val="24"/>
        </w:rPr>
        <w:t>Vale però, e va scolpita, l’avvertenza che Ginzburg stesso pose: l’indizio non è la prova, e la moltiplicazione degli indizi non equivale alla loro convergenza. Tre indizi deboli che puntano in tre direzioni diverse non fanno un indizio forte. La convergenza che vale è quella di indizi indipendenti sullo stesso punto, e l’indipendenza va accertata e non presunta — nel caso Moro molte fonti apparentemente distinte risalgono a una medesima dichiarazione originaria, ripetuta e attribuita a testimoni diversi lungo decenni.</w:t>
      </w:r>
    </w:p>
    <w:p>
      <w:pPr>
        <w:spacing w:line="276" w:lineRule="auto" w:after="80" w:before="200"/>
        <w:ind w:firstLine="0"/>
        <w:jc w:val="both"/>
      </w:pPr>
      <w:r>
        <w:rPr>
          <w:rFonts w:ascii="Times New Roman" w:hAnsi="Times New Roman" w:cs="Times New Roman" w:eastAsia="Times New Roman"/>
          <w:b/>
          <w:sz w:val="24"/>
        </w:rPr>
        <w:t>Il quadro sistemico: Luhmann e l’accoppiamento strutturale</w:t>
      </w:r>
    </w:p>
    <w:p>
      <w:pPr>
        <w:spacing w:line="276" w:lineRule="auto" w:after="60" w:before="0"/>
        <w:ind w:firstLine="425"/>
        <w:jc w:val="both"/>
      </w:pPr>
      <w:r>
        <w:rPr>
          <w:rFonts w:ascii="Times New Roman" w:hAnsi="Times New Roman" w:cs="Times New Roman" w:eastAsia="Times New Roman"/>
          <w:b w:val="0"/>
          <w:sz w:val="24"/>
        </w:rPr>
        <w:t xml:space="preserve">La sociologia dei sistemi di Niklas Luhmann fornisce il quadro per comprendere come sfere di potere distinte interagiscano mantenendo autonomia operativa. Ogni sistema sociale è operativamente chiuso e cognitivamente aperto: opera secondo un proprio codice binario interno e osserva gli altri sistemi reagendo alle loro operazioni per accoppiamento strutturale. Nel caso Moro questo quadro è decisivo perché consente di descrivere l’interazione fra apparati senza postularne il concerto. L’organizzazione armata opera secondo il codice della propria legittimazione rivoluzionaria; l’intelligence secondo il codice segreto e pubblico; la politica secondo il codice del governo e dell’opposizione; l’istituzione religiosa secondo un codice proprio di mediazione morale; la magistratura secondo il codice della rilevanza penale. Che questi sistemi si osservino a vicenda, e che le operazioni dell’uno costituiscano ambiente per l’altro, è un dato strutturale che non implica alcun patto: la distinzione fra </w:t>
      </w:r>
      <w:r>
        <w:rPr>
          <w:rFonts w:ascii="Times New Roman" w:hAnsi="Times New Roman" w:cs="Times New Roman" w:eastAsia="Times New Roman"/>
          <w:b/>
          <w:sz w:val="24"/>
        </w:rPr>
        <w:t>accoppiamento strutturale</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concerto</w:t>
      </w:r>
      <w:r>
        <w:rPr>
          <w:rFonts w:ascii="Times New Roman" w:hAnsi="Times New Roman" w:cs="Times New Roman" w:eastAsia="Times New Roman"/>
          <w:b w:val="0"/>
          <w:sz w:val="24"/>
        </w:rPr>
        <w:t xml:space="preserve"> è, nel caso Moro, la distinzione fra analisi e dietrologia.</w:t>
      </w:r>
    </w:p>
    <w:p>
      <w:pPr>
        <w:spacing w:line="276" w:lineRule="auto" w:after="80" w:before="200"/>
        <w:ind w:firstLine="0"/>
        <w:jc w:val="both"/>
      </w:pPr>
      <w:r>
        <w:rPr>
          <w:rFonts w:ascii="Times New Roman" w:hAnsi="Times New Roman" w:cs="Times New Roman" w:eastAsia="Times New Roman"/>
          <w:b/>
          <w:sz w:val="24"/>
        </w:rPr>
        <w:t>Network analysis: nodi, archi, livelli</w:t>
      </w:r>
    </w:p>
    <w:p>
      <w:pPr>
        <w:spacing w:line="276" w:lineRule="auto" w:after="60" w:before="0"/>
        <w:ind w:firstLine="425"/>
        <w:jc w:val="both"/>
      </w:pPr>
      <w:r>
        <w:rPr>
          <w:rFonts w:ascii="Times New Roman" w:hAnsi="Times New Roman" w:cs="Times New Roman" w:eastAsia="Times New Roman"/>
          <w:b w:val="0"/>
          <w:sz w:val="24"/>
        </w:rPr>
        <w:t>L’apparato analitico opera su tre livelli. Il primo è quello dei nodi: individui, organizzazioni, luoghi ed eventi, ciascuno con i propri attributi di data, appartenenza, posizione e periodo di attività. Il secondo è quello degli archi, ossia le relazioni fra nodi, tipizzate per natura — parentela, affiliazione, operazione, comunicazione, conflitto — e dotate ciascuna di attributi di fonte, affidabilità, data e direzione. Il terzo è quello delle proprietà strutturali dell’intera rete: densità, centralità, modularità, buchi strutturali nel senso di Ronald Burt, ossia le posizioni dalle quali un intermediario controlla il flusso fra gruppi altrimenti disconnessi.</w:t>
      </w:r>
    </w:p>
    <w:p>
      <w:pPr>
        <w:spacing w:line="276" w:lineRule="auto" w:after="60" w:before="0"/>
        <w:ind w:firstLine="425"/>
        <w:jc w:val="both"/>
      </w:pPr>
      <w:r>
        <w:rPr>
          <w:rFonts w:ascii="Times New Roman" w:hAnsi="Times New Roman" w:cs="Times New Roman" w:eastAsia="Times New Roman"/>
          <w:b w:val="0"/>
          <w:sz w:val="24"/>
        </w:rPr>
        <w:t>Quattro misure di centralità governano la lettura. La centralità di grado conta le connessioni dirette e misura la visibilità più che la potenza. La centralità di intermediazione misura quanto un nodo giaccia sui percorsi più brevi fra altri nodi, e identifica i broker: è la misura più produttiva per questo Registro, perché nel caso Moro la questione decisiva è precisamente quali nodi collegassero mondi altrimenti separati. La centralità di prossimità misura la rapidità con cui un nodo raggiunge tutti gli altri, e traduce la capacità di mobilitare risorse eterogenee in tempi brevi — capacità che nei cinquantacinque giorni fu la risorsa più scarsa e più contesa. La centralità di autovettore misura non quante connessioni un nodo abbia ma quanto contino quelle che ha, e distingue chi è connesso a molti irrilevanti da chi è connesso a pochi decisivi.</w:t>
      </w:r>
    </w:p>
    <w:p>
      <w:pPr>
        <w:spacing w:line="276" w:lineRule="auto" w:after="60" w:before="0"/>
        <w:ind w:firstLine="425"/>
        <w:jc w:val="both"/>
      </w:pPr>
      <w:r>
        <w:rPr>
          <w:rFonts w:ascii="Times New Roman" w:hAnsi="Times New Roman" w:cs="Times New Roman" w:eastAsia="Times New Roman"/>
          <w:b w:val="0"/>
          <w:sz w:val="24"/>
        </w:rPr>
        <w:t>La rete è concepita come rete multilivello nel senso di Kivelä: gli stessi nodi compaiono su strati diversi, e gli archi si distinguono in intra-strato e inter-strato. Un medesimo individuo può esistere simultaneamente nello strato dell’organizzazione armata, in quello dei rapporti internazionali e in quello della mediazione religiosa, e sono precisamente gli archi inter-strato — i ponti fra i Domini — a costituire l’oggetto proprio di questo Registro.</w:t>
      </w:r>
    </w:p>
    <w:p>
      <w:pPr>
        <w:spacing w:line="276" w:lineRule="auto" w:after="80" w:before="200"/>
        <w:ind w:firstLine="0"/>
        <w:jc w:val="both"/>
      </w:pPr>
      <w:r>
        <w:rPr>
          <w:rFonts w:ascii="Times New Roman" w:hAnsi="Times New Roman" w:cs="Times New Roman" w:eastAsia="Times New Roman"/>
          <w:b/>
          <w:sz w:val="24"/>
        </w:rPr>
        <w:t>Lo standard probatorio: la classificazione Savona</w:t>
      </w:r>
    </w:p>
    <w:p>
      <w:pPr>
        <w:spacing w:line="276" w:lineRule="auto" w:after="60" w:before="0"/>
        <w:ind w:firstLine="425"/>
        <w:jc w:val="both"/>
      </w:pPr>
      <w:r>
        <w:rPr>
          <w:rFonts w:ascii="Times New Roman" w:hAnsi="Times New Roman" w:cs="Times New Roman" w:eastAsia="Times New Roman"/>
          <w:b w:val="0"/>
          <w:sz w:val="24"/>
        </w:rPr>
        <w:t xml:space="preserve">Ogni asserzione fattuale del Registro reca inline la propria classificazione, secondo lo standard di triangolazione delle fonti derivato dalla metodologia di Ernesto Savona e consolidato nella pratica giudiziaria italiana dal metodo Falcone. Il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connessione documentata, richiede la convergenza di almeno tre fonti indipendenti di natura diversa: una sentenza definitiva, una testimonianza riscontrata, un documento d’archivio. Il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connessione indiziaria, richiede due fonti indipendenti oppure una singola fonte di alta affidabilità, quale una sentenza di primo grado o una relazione parlamentare circostanziata: la connessione è probabile ma non certa e come tale è segnalata. Il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connessione ipotetica, si fonda su una fonte singola o su una convergenza di indizi circostanziali, ed è ipotesi investigativa esplicitamente marcata come tale, mai affermazione.</w:t>
      </w:r>
    </w:p>
    <w:p>
      <w:pPr>
        <w:spacing w:line="276" w:lineRule="auto" w:after="60" w:before="0"/>
        <w:ind w:firstLine="425"/>
        <w:jc w:val="both"/>
      </w:pPr>
      <w:r>
        <w:rPr>
          <w:rFonts w:ascii="Times New Roman" w:hAnsi="Times New Roman" w:cs="Times New Roman" w:eastAsia="Times New Roman"/>
          <w:b w:val="0"/>
          <w:sz w:val="24"/>
        </w:rPr>
        <w:t xml:space="preserve">Nel caso Moro questa classificazione produce un effetto che va anticipato perché disturba entrambe le narrazioni consolidate: molte delle affermazioni più diffuse — in un senso e nell’altro — si collocano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mentre il nucleo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più ristretto e insieme più solido di quanto la pubblicistica lasci intendere. Il Registro non considera questo un esito deludente ma il suo principale risultato: separare il poco che è accertato dal molto che è discusso è, in questa materia, l’atto conoscitivo fondamentale.</w:t>
      </w:r>
    </w:p>
    <w:p>
      <w:pPr>
        <w:spacing w:line="276" w:lineRule="auto" w:after="80" w:before="200"/>
        <w:ind w:firstLine="0"/>
        <w:jc w:val="both"/>
      </w:pPr>
      <w:r>
        <w:rPr>
          <w:rFonts w:ascii="Times New Roman" w:hAnsi="Times New Roman" w:cs="Times New Roman" w:eastAsia="Times New Roman"/>
          <w:b/>
          <w:sz w:val="24"/>
        </w:rPr>
        <w:t>Ordo expositionis e ordo probandi</w:t>
      </w:r>
    </w:p>
    <w:p>
      <w:pPr>
        <w:spacing w:line="276" w:lineRule="auto" w:after="60" w:before="0"/>
        <w:ind w:firstLine="425"/>
        <w:jc w:val="both"/>
      </w:pPr>
      <w:r>
        <w:rPr>
          <w:rFonts w:ascii="Times New Roman" w:hAnsi="Times New Roman" w:cs="Times New Roman" w:eastAsia="Times New Roman"/>
          <w:b w:val="0"/>
          <w:sz w:val="24"/>
        </w:rPr>
        <w:t>Il Registro distingue rigorosamente due ordini. L’ordo expositionis è l’ordine narrativo con cui la materia è esposta, e procede per cerchi concentrici dal fatto centrale verso i contesti sempre più ampi. L’ordo probandi è l’ordine della catena documentale, e procede al contrario, dal basso: dalla fonte al nodo, dal nodo all’arco, dall’arco al pattern, dal pattern all’ipotesi. I due ordini non coincidono e non devono essere confusi: la posizione di un elemento nell’esposizione non dice nulla della sua forza probatoria, che è dichiarata soltanto dalla classificazione Savona. Questa distinzione è il presidio strutturale contro il Pollo di Popper, perché impedisce che l’architettura del racconto si travesta da dimostrazione.</w:t>
      </w:r>
    </w:p>
    <w:p>
      <w:pPr>
        <w:spacing w:line="276" w:lineRule="auto" w:after="80" w:before="200"/>
        <w:ind w:firstLine="0"/>
        <w:jc w:val="both"/>
      </w:pPr>
      <w:r>
        <w:rPr>
          <w:rFonts w:ascii="Times New Roman" w:hAnsi="Times New Roman" w:cs="Times New Roman" w:eastAsia="Times New Roman"/>
          <w:b/>
          <w:sz w:val="24"/>
        </w:rPr>
        <w:t>PARTE SECONDA — IL CORPUS E IL SUO CENSIMENTO</w:t>
      </w:r>
    </w:p>
    <w:p>
      <w:pPr>
        <w:spacing w:line="276" w:lineRule="auto" w:after="80" w:before="200"/>
        <w:ind w:firstLine="0"/>
        <w:jc w:val="both"/>
      </w:pPr>
      <w:r>
        <w:rPr>
          <w:rFonts w:ascii="Times New Roman" w:hAnsi="Times New Roman" w:cs="Times New Roman" w:eastAsia="Times New Roman"/>
          <w:b/>
          <w:sz w:val="24"/>
        </w:rPr>
        <w:t>Consistenza del sottocorpus</w:t>
      </w:r>
    </w:p>
    <w:p>
      <w:pPr>
        <w:spacing w:line="276" w:lineRule="auto" w:after="60" w:before="0"/>
        <w:ind w:firstLine="425"/>
        <w:jc w:val="both"/>
      </w:pPr>
      <w:r>
        <w:rPr>
          <w:rFonts w:ascii="Times New Roman" w:hAnsi="Times New Roman" w:cs="Times New Roman" w:eastAsia="Times New Roman"/>
          <w:b w:val="0"/>
          <w:sz w:val="24"/>
        </w:rPr>
        <w:t>Il corpus documentale sul quale questo Registro è costruito consta di sessantotto fonti leggibili in forma testuale, per una consistenza complessiva di circa venti milioni e seicentomila caratteri, alle quali si aggiungono diciotto blocchi di materiale scansionato non ancora convertito in testo. La ricognizione è stata condotta per lettura integrale automatizzata di ogni file, con riconoscimento della firma binaria e non dell’estensione, poiché numerosi file recanti estensione di documento testuale contengono in realtà testo piano, e numerosi file recanti estensione di documento portabile contengono in realtà archivi di immagini scansionate. La distinzione è tutt’altro che formale: la seconda categoria non è leggibile e costituisce lacuna operativa.</w:t>
      </w:r>
    </w:p>
    <w:p>
      <w:pPr>
        <w:spacing w:line="276" w:lineRule="auto" w:after="60" w:before="0"/>
        <w:ind w:firstLine="425"/>
        <w:jc w:val="both"/>
      </w:pPr>
      <w:r>
        <w:rPr>
          <w:rFonts w:ascii="Times New Roman" w:hAnsi="Times New Roman" w:cs="Times New Roman" w:eastAsia="Times New Roman"/>
          <w:b w:val="0"/>
          <w:sz w:val="24"/>
        </w:rPr>
        <w:t>Le fonti si distribuiscono in cinque famiglie. La prima è quella degli atti parlamentari d’inchiesta, che comprende i tomi degli elaborati della Commissione stragi, la relazione dedicata al caso Moro, gli atti sulla dimensione sovranazionale e sull’ombra dei servizi orientali, i verbali delle sedute della decima legislatura e la relazione sulla loggia. La seconda è quella degli atti giudiziari, con le sentenze del processo Andreotti–Pecorelli e del processo Andreotti–Badalamenti. La terza è quella delle fonti archivistiche, con l’inventario del Gabinetto del Segretario generale della Presidenza della Repubblica per gli affari riservati dal millenovecentosessantuno al millenovecentonovantadue, che censisce il fascicolo dedicato all’affare Moro. La quarta è quella del corpus degli scritti e degli interventi di Aldo Moro dal millenovecentotrentadue al millenovecentosettantotto. La quinta è quella delle monografie e delle voci enciclopediche.</w:t>
      </w:r>
    </w:p>
    <w:p>
      <w:pPr>
        <w:spacing w:line="276" w:lineRule="auto" w:after="80" w:before="200"/>
        <w:ind w:firstLine="0"/>
        <w:jc w:val="both"/>
      </w:pPr>
      <w:r>
        <w:rPr>
          <w:rFonts w:ascii="Times New Roman" w:hAnsi="Times New Roman" w:cs="Times New Roman" w:eastAsia="Times New Roman"/>
          <w:b/>
          <w:sz w:val="24"/>
        </w:rPr>
        <w:t>Indice di Contaminazione della Fonte</w:t>
      </w:r>
    </w:p>
    <w:p>
      <w:pPr>
        <w:spacing w:line="276" w:lineRule="auto" w:after="60" w:before="0"/>
        <w:ind w:firstLine="425"/>
        <w:jc w:val="both"/>
      </w:pPr>
      <w:r>
        <w:rPr>
          <w:rFonts w:ascii="Times New Roman" w:hAnsi="Times New Roman" w:cs="Times New Roman" w:eastAsia="Times New Roman"/>
          <w:b w:val="0"/>
          <w:sz w:val="24"/>
        </w:rPr>
        <w:t xml:space="preserve">Il censimento impone una dichiarazione che il metodo esige e che la prudenza suggerirebbe di tacere. La fonte più densa dell’intero sottocorpus — quella che reca il maggior numero di occorrenze del nome di Moro, circa milleseicentocinquanta — è una monografia d’autore di orientamento dichiaratamente tesistico, il cui titolo stesso annuncia una tesi. Essa costituisce una fonte preziosa, poiché raccoglie in modo sistematico dichiarazioni, audizioni e riferimenti altrimenti dispersi, ed è </w:t>
      </w:r>
      <w:r>
        <w:rPr>
          <w:rFonts w:ascii="Times New Roman" w:hAnsi="Times New Roman" w:cs="Times New Roman" w:eastAsia="Times New Roman"/>
          <w:b/>
          <w:sz w:val="24"/>
        </w:rPr>
        <w:t>terza rispetto ai fatti</w:t>
      </w:r>
      <w:r>
        <w:rPr>
          <w:rFonts w:ascii="Times New Roman" w:hAnsi="Times New Roman" w:cs="Times New Roman" w:eastAsia="Times New Roman"/>
          <w:b w:val="0"/>
          <w:sz w:val="24"/>
        </w:rPr>
        <w:t xml:space="preserve"> che riferisce; ma non è </w:t>
      </w:r>
      <w:r>
        <w:rPr>
          <w:rFonts w:ascii="Times New Roman" w:hAnsi="Times New Roman" w:cs="Times New Roman" w:eastAsia="Times New Roman"/>
          <w:b/>
          <w:sz w:val="24"/>
        </w:rPr>
        <w:t>neutra rispetto alle ipotesi</w:t>
      </w:r>
      <w:r>
        <w:rPr>
          <w:rFonts w:ascii="Times New Roman" w:hAnsi="Times New Roman" w:cs="Times New Roman" w:eastAsia="Times New Roman"/>
          <w:b w:val="0"/>
          <w:sz w:val="24"/>
        </w:rPr>
        <w:t xml:space="preserve">, e va trattata come repertorio di segnalazioni da risalire alla fonte primaria, mai come fonte primaria essa stessa. Ogni asserzione che in questo Registro poggi unicamente su di essa è classificata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quale che sia il tono assertivo dell’originale.</w:t>
      </w:r>
    </w:p>
    <w:p>
      <w:pPr>
        <w:spacing w:line="276" w:lineRule="auto" w:after="60" w:before="0"/>
        <w:ind w:firstLine="425"/>
        <w:jc w:val="both"/>
      </w:pPr>
      <w:r>
        <w:rPr>
          <w:rFonts w:ascii="Times New Roman" w:hAnsi="Times New Roman" w:cs="Times New Roman" w:eastAsia="Times New Roman"/>
          <w:b w:val="0"/>
          <w:sz w:val="24"/>
        </w:rPr>
        <w:t xml:space="preserve">La medesima avvertenza vale, con minore intensità, per le voci enciclopediche collaborative presenti nel corpus, che sono utili come indice di questioni ma non costituiscono fonte per alcun livello superiore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Vale infine, in senso inverso, per gli atti parlamentari: essi sono fonti di alta affidabilità quanto ai documenti che riproducono e alle audizioni che verbalizzano, ma le valutazioni politiche che contengono restano valutazioni, e la relazione di maggioranza di una Commissione non è per ciò stesso un accertamento.</w:t>
      </w:r>
    </w:p>
    <w:p>
      <w:pPr>
        <w:spacing w:line="276" w:lineRule="auto" w:after="80" w:before="200"/>
        <w:ind w:firstLine="0"/>
        <w:jc w:val="both"/>
      </w:pPr>
      <w:r>
        <w:rPr>
          <w:rFonts w:ascii="Times New Roman" w:hAnsi="Times New Roman" w:cs="Times New Roman" w:eastAsia="Times New Roman"/>
          <w:b/>
          <w:sz w:val="24"/>
        </w:rPr>
        <w:t>La lacuna stenografica</w:t>
      </w:r>
    </w:p>
    <w:p>
      <w:pPr>
        <w:spacing w:line="276" w:lineRule="auto" w:after="60" w:before="0"/>
        <w:ind w:firstLine="425"/>
        <w:jc w:val="both"/>
      </w:pPr>
      <w:r>
        <w:rPr>
          <w:rFonts w:ascii="Times New Roman" w:hAnsi="Times New Roman" w:cs="Times New Roman" w:eastAsia="Times New Roman"/>
          <w:b w:val="0"/>
          <w:sz w:val="24"/>
        </w:rPr>
        <w:t xml:space="preserve">Diciotto blocchi di materiale scansionato, per complessive oltre mille immagini, contengono i resoconti stenografici delle sedute della seconda Commissione parlamentare d’inchiesta e la documentazione fotografica sull’agguato di via Fani. Essi non sono attualmente leggibili in forma testuale e costituiscono la </w:t>
      </w:r>
      <w:r>
        <w:rPr>
          <w:rFonts w:ascii="Times New Roman" w:hAnsi="Times New Roman" w:cs="Times New Roman" w:eastAsia="Times New Roman"/>
          <w:b/>
          <w:sz w:val="24"/>
        </w:rPr>
        <w:t>prima lacuna operativa</w:t>
      </w:r>
      <w:r>
        <w:rPr>
          <w:rFonts w:ascii="Times New Roman" w:hAnsi="Times New Roman" w:cs="Times New Roman" w:eastAsia="Times New Roman"/>
          <w:b w:val="0"/>
          <w:sz w:val="24"/>
        </w:rPr>
        <w:t xml:space="preserve"> di questo Registro. La loro conversione mediante riconoscimento ottico è l’operazione a priorità assoluta della prossima sessione di lavoro, perché quel materiale contiene le audizioni sulle quali si fondano numerose asserzioni che al momento risultano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unicamente per inaccessibilità della fonte primaria, e che la lettura potrebbe elevare — o, con pari probabilità, smentire. La lacuna è dichiarata e non silenziata: il Registro non tratta come inesistente ciò che è soltanto non ancora letto.</w:t>
      </w:r>
    </w:p>
    <w:p>
      <w:pPr>
        <w:spacing w:line="276" w:lineRule="auto" w:after="80" w:before="200"/>
        <w:ind w:firstLine="0"/>
        <w:jc w:val="both"/>
      </w:pPr>
      <w:r>
        <w:rPr>
          <w:rFonts w:ascii="Times New Roman" w:hAnsi="Times New Roman" w:cs="Times New Roman" w:eastAsia="Times New Roman"/>
          <w:b/>
          <w:sz w:val="24"/>
        </w:rPr>
        <w:t>PARTE TERZA — I DIECI DOMINI DECLINATI SUL CASO MORO</w:t>
      </w:r>
    </w:p>
    <w:p>
      <w:pPr>
        <w:spacing w:line="276" w:lineRule="auto" w:after="60" w:before="0"/>
        <w:ind w:firstLine="425"/>
        <w:jc w:val="both"/>
      </w:pPr>
      <w:r>
        <w:rPr>
          <w:rFonts w:ascii="Times New Roman" w:hAnsi="Times New Roman" w:cs="Times New Roman" w:eastAsia="Times New Roman"/>
          <w:b w:val="0"/>
          <w:sz w:val="24"/>
        </w:rPr>
        <w:t>I Domini sono inclusi secondo quattro criteri simultanei derivati dalla teoria dei campi di Bourdieu e da quella dei sistemi autopoietici di Maturana e Varela mediata da Luhmann: risorse autonome non riducibili a quelle di altri Domini, gerarchia interna propria, regole operative generate internamente, capacità di autoriproduzione. Segue la declinazione dei dieci Domini sull’oggetto di questo Registro.</w:t>
      </w:r>
    </w:p>
    <w:p>
      <w:pPr>
        <w:spacing w:line="276" w:lineRule="auto" w:after="60" w:before="0"/>
        <w:ind w:firstLine="425"/>
        <w:jc w:val="both"/>
      </w:pPr>
      <w:r>
        <w:rPr>
          <w:rFonts w:ascii="Times New Roman" w:hAnsi="Times New Roman" w:cs="Times New Roman" w:eastAsia="Times New Roman"/>
          <w:b/>
          <w:sz w:val="24"/>
        </w:rPr>
        <w:t>Dominio primo, criminalità organizzata.</w:t>
      </w:r>
      <w:r>
        <w:rPr>
          <w:rFonts w:ascii="Times New Roman" w:hAnsi="Times New Roman" w:cs="Times New Roman" w:eastAsia="Times New Roman"/>
          <w:b w:val="0"/>
          <w:sz w:val="24"/>
        </w:rPr>
        <w:t xml:space="preserve"> Vi afferiscono la banda della Magliana, alla quale è attribuita nel corpus una attività di ricerca del luogo di detenzione condotta su sollecitazione esterna al gruppo; il falsario cui è ricondotta la confezione del falso comunicato; e le contigue presenze di criminalità calabrese oggetto di dichiarazioni di collaboratori. La risorsa propria del Dominio è il monopolio della violenza illegale e la capillarità del controllo territoriale urbano, che nella primavera del millenovecentosettantotto era, per la capitale, risorsa informativa di prim’ordine.</w:t>
      </w:r>
    </w:p>
    <w:p>
      <w:pPr>
        <w:spacing w:line="276" w:lineRule="auto" w:after="60" w:before="0"/>
        <w:ind w:firstLine="425"/>
        <w:jc w:val="both"/>
      </w:pPr>
      <w:r>
        <w:rPr>
          <w:rFonts w:ascii="Times New Roman" w:hAnsi="Times New Roman" w:cs="Times New Roman" w:eastAsia="Times New Roman"/>
          <w:b/>
          <w:sz w:val="24"/>
        </w:rPr>
        <w:t>Dominio secondo, potere politico.</w:t>
      </w:r>
      <w:r>
        <w:rPr>
          <w:rFonts w:ascii="Times New Roman" w:hAnsi="Times New Roman" w:cs="Times New Roman" w:eastAsia="Times New Roman"/>
          <w:b w:val="0"/>
          <w:sz w:val="24"/>
        </w:rPr>
        <w:t xml:space="preserve"> Vi afferiscono la Democrazia Cristiana e la sua articolazione correntizia, il Partito Comunista Italiano e la formula della solidarietà nazionale, il Partito Socialista Italiano e la sua linea autonoma sulla trattativa, il Governo in carica e il Ministero dell’interno. La risorsa propria è il potere legislativo e amministrativo; la posta in gioco specifica, nei cinquantacinque giorni, fu la scelta fra la linea della fermezza e quella della trattativa, che divise il sistema politico lungo linee non coincidenti con quelle di maggioranza e opposizione.</w:t>
      </w:r>
    </w:p>
    <w:p>
      <w:pPr>
        <w:spacing w:line="276" w:lineRule="auto" w:after="60" w:before="0"/>
        <w:ind w:firstLine="425"/>
        <w:jc w:val="both"/>
      </w:pPr>
      <w:r>
        <w:rPr>
          <w:rFonts w:ascii="Times New Roman" w:hAnsi="Times New Roman" w:cs="Times New Roman" w:eastAsia="Times New Roman"/>
          <w:b/>
          <w:sz w:val="24"/>
        </w:rPr>
        <w:t>Dominio terzo, intelligence e servizi.</w:t>
      </w:r>
      <w:r>
        <w:rPr>
          <w:rFonts w:ascii="Times New Roman" w:hAnsi="Times New Roman" w:cs="Times New Roman" w:eastAsia="Times New Roman"/>
          <w:b w:val="0"/>
          <w:sz w:val="24"/>
        </w:rPr>
        <w:t xml:space="preserve"> Vi afferiscono i servizi italiani nella configurazione allora vigente e nella riforma appena entrata in funzione, l’Ufficio affari riservati, il comitato di crisi costituito presso il Ministero dell’interno e i comitati tecnico-operativi, nonché i servizi alleati e avversari nella misura in cui il corpus li documenta. La risorsa propria è il monopolio dell’informazione segreta. Il Dominio è, per questo Registro, quello a più alta densità di asserzioni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insieme quello dove la distinzione fra accoppiamento strutturale e concerto è più difficile e più necessaria.</w:t>
      </w:r>
    </w:p>
    <w:p>
      <w:pPr>
        <w:spacing w:line="276" w:lineRule="auto" w:after="60" w:before="0"/>
        <w:ind w:firstLine="425"/>
        <w:jc w:val="both"/>
      </w:pPr>
      <w:r>
        <w:rPr>
          <w:rFonts w:ascii="Times New Roman" w:hAnsi="Times New Roman" w:cs="Times New Roman" w:eastAsia="Times New Roman"/>
          <w:b/>
          <w:sz w:val="24"/>
        </w:rPr>
        <w:t>Dominio quarto, massoneria e società segrete.</w:t>
      </w:r>
      <w:r>
        <w:rPr>
          <w:rFonts w:ascii="Times New Roman" w:hAnsi="Times New Roman" w:cs="Times New Roman" w:eastAsia="Times New Roman"/>
          <w:b w:val="0"/>
          <w:sz w:val="24"/>
        </w:rPr>
        <w:t xml:space="preserve"> Vi afferisce la loggia oggetto della relazione parlamentare, la cui sezione dedicata all’affare Moro è documento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 acquisizioni che riferisce. La risorsa propria è la rete relazionale riservata, che opera per accesso e non per comando.</w:t>
      </w:r>
    </w:p>
    <w:p>
      <w:pPr>
        <w:spacing w:line="276" w:lineRule="auto" w:after="60" w:before="0"/>
        <w:ind w:firstLine="425"/>
        <w:jc w:val="both"/>
      </w:pPr>
      <w:r>
        <w:rPr>
          <w:rFonts w:ascii="Times New Roman" w:hAnsi="Times New Roman" w:cs="Times New Roman" w:eastAsia="Times New Roman"/>
          <w:b/>
          <w:sz w:val="24"/>
        </w:rPr>
        <w:t>Dominio quinto, istituzioni religiose.</w:t>
      </w:r>
      <w:r>
        <w:rPr>
          <w:rFonts w:ascii="Times New Roman" w:hAnsi="Times New Roman" w:cs="Times New Roman" w:eastAsia="Times New Roman"/>
          <w:b w:val="0"/>
          <w:sz w:val="24"/>
        </w:rPr>
        <w:t xml:space="preserve"> Vi afferiscono la Santa Sede e l’iniziativa personale del Pontefice, i canali di mediazione ecclesiastica e le figure sacerdotali indicate nel corpus come tramiti. La risorsa propria è la legittimità morale e la capacità di comunicare fuori dai canali istituzionali senza impegnare formalmente alcuno Stato.</w:t>
      </w:r>
    </w:p>
    <w:p>
      <w:pPr>
        <w:spacing w:line="276" w:lineRule="auto" w:after="60" w:before="0"/>
        <w:ind w:firstLine="425"/>
        <w:jc w:val="both"/>
      </w:pPr>
      <w:r>
        <w:rPr>
          <w:rFonts w:ascii="Times New Roman" w:hAnsi="Times New Roman" w:cs="Times New Roman" w:eastAsia="Times New Roman"/>
          <w:b/>
          <w:sz w:val="24"/>
        </w:rPr>
        <w:t>Dominio sesto, economia e finanza.</w:t>
      </w:r>
      <w:r>
        <w:rPr>
          <w:rFonts w:ascii="Times New Roman" w:hAnsi="Times New Roman" w:cs="Times New Roman" w:eastAsia="Times New Roman"/>
          <w:b w:val="0"/>
          <w:sz w:val="24"/>
        </w:rPr>
        <w:t xml:space="preserve"> Vi afferisce, per questo Registro, un ruolo indiretto e circoscritto: la disponibilità di risorse per un’eventuale trattativa e la gestione dei circuiti di pagamento occulti. È il Dominio meno documentato del sottocorpus e per esso il Registro non formula asserzioni di livello superiore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Dominio settimo, terrorismo e violenza politica.</w:t>
      </w:r>
      <w:r>
        <w:rPr>
          <w:rFonts w:ascii="Times New Roman" w:hAnsi="Times New Roman" w:cs="Times New Roman" w:eastAsia="Times New Roman"/>
          <w:b w:val="0"/>
          <w:sz w:val="24"/>
        </w:rPr>
        <w:t xml:space="preserve"> È il Dominio centrale del Registro. Vi afferiscono le Brigate Rosse nella loro articolazione di direzione strategica, comitato esecutivo e colonna romana; le formazioni contigue dell’area dell’autonomia; le strutture estere di riferimento indicate nel corpus. La risorsa propria è la capacità di destabilizzazione mediante violenza mirata.</w:t>
      </w:r>
    </w:p>
    <w:p>
      <w:pPr>
        <w:spacing w:line="276" w:lineRule="auto" w:after="60" w:before="0"/>
        <w:ind w:firstLine="425"/>
        <w:jc w:val="both"/>
      </w:pPr>
      <w:r>
        <w:rPr>
          <w:rFonts w:ascii="Times New Roman" w:hAnsi="Times New Roman" w:cs="Times New Roman" w:eastAsia="Times New Roman"/>
          <w:b/>
          <w:sz w:val="24"/>
        </w:rPr>
        <w:t>Dominio ottavo, media e controllo dell’informazione.</w:t>
      </w:r>
      <w:r>
        <w:rPr>
          <w:rFonts w:ascii="Times New Roman" w:hAnsi="Times New Roman" w:cs="Times New Roman" w:eastAsia="Times New Roman"/>
          <w:b w:val="0"/>
          <w:sz w:val="24"/>
        </w:rPr>
        <w:t xml:space="preserve"> Vi afferiscono il sistema dell’informazione quotidiana, l’agenzia di stampa nazionale, la pubblicistica di settore e in particolare la testata diretta dal giornalista poi ucciso, che nel corpus compare quale nodo di intersezione fra informazione riservata e potere politico. La risorsa propria è il controllo del flusso informativo pubblico, che nei cinquantacinque giorni fu esso stesso terreno di operazioni.</w:t>
      </w:r>
    </w:p>
    <w:p>
      <w:pPr>
        <w:spacing w:line="276" w:lineRule="auto" w:after="60" w:before="0"/>
        <w:ind w:firstLine="425"/>
        <w:jc w:val="both"/>
      </w:pPr>
      <w:r>
        <w:rPr>
          <w:rFonts w:ascii="Times New Roman" w:hAnsi="Times New Roman" w:cs="Times New Roman" w:eastAsia="Times New Roman"/>
          <w:b/>
          <w:sz w:val="24"/>
        </w:rPr>
        <w:t>Dominio nono, forze armate e apparato militare.</w:t>
      </w:r>
      <w:r>
        <w:rPr>
          <w:rFonts w:ascii="Times New Roman" w:hAnsi="Times New Roman" w:cs="Times New Roman" w:eastAsia="Times New Roman"/>
          <w:b w:val="0"/>
          <w:sz w:val="24"/>
        </w:rPr>
        <w:t xml:space="preserve"> Vi afferiscono l’Arma dei carabinieri e il suo nucleo antiterrorismo, la pubblica sicurezza, i vertici militari e la struttura atlantica per la parte che il corpus documenta. La risorsa propria è il monopolio della forza legale organizzata.</w:t>
      </w:r>
    </w:p>
    <w:p>
      <w:pPr>
        <w:spacing w:line="276" w:lineRule="auto" w:after="60" w:before="0"/>
        <w:ind w:firstLine="425"/>
        <w:jc w:val="both"/>
      </w:pPr>
      <w:r>
        <w:rPr>
          <w:rFonts w:ascii="Times New Roman" w:hAnsi="Times New Roman" w:cs="Times New Roman" w:eastAsia="Times New Roman"/>
          <w:b/>
          <w:sz w:val="24"/>
        </w:rPr>
        <w:t>Dominio decimo, magistratura e sistema giudiziario.</w:t>
      </w:r>
      <w:r>
        <w:rPr>
          <w:rFonts w:ascii="Times New Roman" w:hAnsi="Times New Roman" w:cs="Times New Roman" w:eastAsia="Times New Roman"/>
          <w:b w:val="0"/>
          <w:sz w:val="24"/>
        </w:rPr>
        <w:t xml:space="preserve"> Vi afferiscono le procure competenti, i cinque processi celebrati, le Commissioni parlamentari d’inchiesta e i collaboratori di giustizia quali fonti dotate di statuto proprio e di limiti propri. La risorsa specifica è il monopolio dell’azione penale e, per il Registro, la produzione di accertamenti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PARTE QUARTA — LA TIPOLOGIA DEGLI ARCHI E LE COPPIE INTER-DOMINIO</w:t>
      </w:r>
    </w:p>
    <w:p>
      <w:pPr>
        <w:spacing w:line="276" w:lineRule="auto" w:after="60" w:before="0"/>
        <w:ind w:firstLine="425"/>
        <w:jc w:val="both"/>
      </w:pPr>
      <w:r>
        <w:rPr>
          <w:rFonts w:ascii="Times New Roman" w:hAnsi="Times New Roman" w:cs="Times New Roman" w:eastAsia="Times New Roman"/>
          <w:b w:val="0"/>
          <w:sz w:val="24"/>
        </w:rPr>
        <w:t>Gli archi che collegano nodi di Domini diversi si classificano secondo sei tipi. L’</w:t>
      </w:r>
      <w:r>
        <w:rPr>
          <w:rFonts w:ascii="Times New Roman" w:hAnsi="Times New Roman" w:cs="Times New Roman" w:eastAsia="Times New Roman"/>
          <w:b/>
          <w:sz w:val="24"/>
        </w:rPr>
        <w:t>arco di collusione</w:t>
      </w:r>
      <w:r>
        <w:rPr>
          <w:rFonts w:ascii="Times New Roman" w:hAnsi="Times New Roman" w:cs="Times New Roman" w:eastAsia="Times New Roman"/>
          <w:b w:val="0"/>
          <w:sz w:val="24"/>
        </w:rPr>
        <w:t xml:space="preserve"> lega due attori in relazione stabile e reciprocamente vantaggiosa, in violazione delle regole di entrambi i Domini. L’</w:t>
      </w:r>
      <w:r>
        <w:rPr>
          <w:rFonts w:ascii="Times New Roman" w:hAnsi="Times New Roman" w:cs="Times New Roman" w:eastAsia="Times New Roman"/>
          <w:b/>
          <w:sz w:val="24"/>
        </w:rPr>
        <w:t>arco di strumentalizzazione</w:t>
      </w:r>
      <w:r>
        <w:rPr>
          <w:rFonts w:ascii="Times New Roman" w:hAnsi="Times New Roman" w:cs="Times New Roman" w:eastAsia="Times New Roman"/>
          <w:b w:val="0"/>
          <w:sz w:val="24"/>
        </w:rPr>
        <w:t xml:space="preserve"> vede un attore usare l’altro come mezzo, senza che questi ne sia necessariamente consapevole. L’</w:t>
      </w:r>
      <w:r>
        <w:rPr>
          <w:rFonts w:ascii="Times New Roman" w:hAnsi="Times New Roman" w:cs="Times New Roman" w:eastAsia="Times New Roman"/>
          <w:b/>
          <w:sz w:val="24"/>
        </w:rPr>
        <w:t>arco di infiltrazione</w:t>
      </w:r>
      <w:r>
        <w:rPr>
          <w:rFonts w:ascii="Times New Roman" w:hAnsi="Times New Roman" w:cs="Times New Roman" w:eastAsia="Times New Roman"/>
          <w:b w:val="0"/>
          <w:sz w:val="24"/>
        </w:rPr>
        <w:t xml:space="preserve"> vede un attore penetrare formalmente nell’altro Dominio mantenendo la lealtà originaria, e rende ambigua l’appartenenza del nodo. L’</w:t>
      </w:r>
      <w:r>
        <w:rPr>
          <w:rFonts w:ascii="Times New Roman" w:hAnsi="Times New Roman" w:cs="Times New Roman" w:eastAsia="Times New Roman"/>
          <w:b/>
          <w:sz w:val="24"/>
        </w:rPr>
        <w:t>arco di convergenza</w:t>
      </w:r>
      <w:r>
        <w:rPr>
          <w:rFonts w:ascii="Times New Roman" w:hAnsi="Times New Roman" w:cs="Times New Roman" w:eastAsia="Times New Roman"/>
          <w:b w:val="0"/>
          <w:sz w:val="24"/>
        </w:rPr>
        <w:t xml:space="preserve"> collega attori privi di relazione diretta le cui azioni producono effetti convergenti su un terzo Dominio: è il tipo più difficile da accertare, perché non presuppone contatto e la convergenza può essere tanto intenzionale quanto emergente. L’</w:t>
      </w:r>
      <w:r>
        <w:rPr>
          <w:rFonts w:ascii="Times New Roman" w:hAnsi="Times New Roman" w:cs="Times New Roman" w:eastAsia="Times New Roman"/>
          <w:b/>
          <w:sz w:val="24"/>
        </w:rPr>
        <w:t>arco di transito</w:t>
      </w:r>
      <w:r>
        <w:rPr>
          <w:rFonts w:ascii="Times New Roman" w:hAnsi="Times New Roman" w:cs="Times New Roman" w:eastAsia="Times New Roman"/>
          <w:b w:val="0"/>
          <w:sz w:val="24"/>
        </w:rPr>
        <w:t xml:space="preserve"> descrive un flusso — denaro, armi, informazioni, protezione — che attraversa la rete per una sequenza di intermediari. L’</w:t>
      </w:r>
      <w:r>
        <w:rPr>
          <w:rFonts w:ascii="Times New Roman" w:hAnsi="Times New Roman" w:cs="Times New Roman" w:eastAsia="Times New Roman"/>
          <w:b/>
          <w:sz w:val="24"/>
        </w:rPr>
        <w:t>arco di ospitalità o santuario</w:t>
      </w:r>
      <w:r>
        <w:rPr>
          <w:rFonts w:ascii="Times New Roman" w:hAnsi="Times New Roman" w:cs="Times New Roman" w:eastAsia="Times New Roman"/>
          <w:b w:val="0"/>
          <w:sz w:val="24"/>
        </w:rPr>
        <w:t xml:space="preserve"> descrive la messa a disposizione di uno spazio, materiale o istituzionale, che consente all’altro di operare senza che vi sia necessariamente condivisione di fini.</w:t>
      </w:r>
    </w:p>
    <w:p>
      <w:pPr>
        <w:spacing w:line="276" w:lineRule="auto" w:after="60" w:before="0"/>
        <w:ind w:firstLine="425"/>
        <w:jc w:val="both"/>
      </w:pPr>
      <w:r>
        <w:rPr>
          <w:rFonts w:ascii="Times New Roman" w:hAnsi="Times New Roman" w:cs="Times New Roman" w:eastAsia="Times New Roman"/>
          <w:b w:val="0"/>
          <w:sz w:val="24"/>
        </w:rPr>
        <w:t>Il calcolo condotto sul sottocorpus identifica come empiricamente più dense, per il caso Moro, le coppie fra il settimo e il terzo Dominio, fra il settimo e il secondo, fra il terzo e il nono, fra il secondo e il quinto, fra il primo e il settimo, fra l’ottavo e il secondo, fra il decimo e il settimo. Risultano rade, e per ciò stesso potenzialmente più rivelatrici ove documentate, le coppie fra il quinto e il settimo Dominio e fra il sesto e il settimo. La densità di una coppia misura la frequenza della sua tematizzazione nelle fonti e non la sua verità: una coppia densa può essere densa perché molto discussa, non perché molto accertata, e questa distinzione è mantenuta per tutto il Registro.</w:t>
      </w:r>
    </w:p>
    <w:p>
      <w:pPr>
        <w:spacing w:line="276" w:lineRule="auto" w:after="80" w:before="200"/>
        <w:ind w:firstLine="0"/>
        <w:jc w:val="both"/>
      </w:pPr>
      <w:r>
        <w:rPr>
          <w:rFonts w:ascii="Times New Roman" w:hAnsi="Times New Roman" w:cs="Times New Roman" w:eastAsia="Times New Roman"/>
          <w:b/>
          <w:sz w:val="24"/>
        </w:rPr>
        <w:t>PARTE QUINTA — REGISTRO DEI NODI</w:t>
      </w:r>
    </w:p>
    <w:p>
      <w:pPr>
        <w:spacing w:line="276" w:lineRule="auto" w:after="80" w:before="200"/>
        <w:ind w:firstLine="0"/>
        <w:jc w:val="both"/>
      </w:pPr>
      <w:r>
        <w:rPr>
          <w:rFonts w:ascii="Times New Roman" w:hAnsi="Times New Roman" w:cs="Times New Roman" w:eastAsia="Times New Roman"/>
          <w:b/>
          <w:sz w:val="24"/>
        </w:rPr>
        <w:t>Nodo centrale</w:t>
      </w:r>
    </w:p>
    <w:p>
      <w:pPr>
        <w:spacing w:line="276" w:lineRule="auto" w:after="60" w:before="0"/>
        <w:ind w:firstLine="425"/>
        <w:jc w:val="both"/>
      </w:pPr>
      <w:r>
        <w:rPr>
          <w:rFonts w:ascii="Times New Roman" w:hAnsi="Times New Roman" w:cs="Times New Roman" w:eastAsia="Times New Roman"/>
          <w:b/>
          <w:sz w:val="24"/>
        </w:rPr>
        <w:t>Aldo Moro.</w:t>
      </w:r>
      <w:r>
        <w:rPr>
          <w:rFonts w:ascii="Times New Roman" w:hAnsi="Times New Roman" w:cs="Times New Roman" w:eastAsia="Times New Roman"/>
          <w:b w:val="0"/>
          <w:sz w:val="24"/>
        </w:rPr>
        <w:t xml:space="preserve"> Presidente della Democrazia Cristiana, più volte Presidente del Consiglio e Ministro degli esteri, artefice della formula politica che nella primavera del millenovecentosettantotto stava per condurre il Partito Comunista Italiano alla maggioranza di governo. Il corpus degli scritti e degli interventi dal millenovecentotrentadue al millenovecentosettantotto, presente nel sottocorpus, consente di trattarlo non solo come vittima ma come autore, e questa è la scelta del Registro: la sua produzione intellettuale e politica è essa stessa fonte, e la comparazione fra gli autografi della prigionia e la scrittura anteriore costituisce terreno filologico autonomo. Il nodo possiede la più alta centralità di grado dell’intera rete e, quel che più conta, altissima centralità di intermediazione: era il punto di passaggio obbligato fra aree politiche altrimenti disconnesse, e questa proprietà strutturale — non la sola carica — spiega la sua selezione come bersaglio.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Dominio settimo — l’organizzazione armata</w:t>
      </w:r>
    </w:p>
    <w:p>
      <w:pPr>
        <w:spacing w:line="276" w:lineRule="auto" w:after="60" w:before="0"/>
        <w:ind w:firstLine="425"/>
        <w:jc w:val="both"/>
      </w:pPr>
      <w:r>
        <w:rPr>
          <w:rFonts w:ascii="Times New Roman" w:hAnsi="Times New Roman" w:cs="Times New Roman" w:eastAsia="Times New Roman"/>
          <w:b w:val="0"/>
          <w:sz w:val="24"/>
        </w:rPr>
        <w:t xml:space="preserve">Il sequestro di via Fani del sedici marzo millenovecentosettantotto, l’uccisione dei cinque uomini della scorta — il maresciallo Oreste Leonardi, l’appuntato Domenico Ricci, gli agenti Raffaele Iozzino e Giulio Rivera, il vicebrigadiere Francesco Zizzi — la detenzione e l’omicidio del nove maggio sono opera delle Brigate Rosse: questo è accertamento giudiziario definitivo,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ed è il nucleo duro attorno al quale ogni ipotesi ulteriore deve costruirsi senza contraddirlo. </w:t>
      </w:r>
      <w:r>
        <w:rPr>
          <w:rFonts w:ascii="Times New Roman" w:hAnsi="Times New Roman" w:cs="Times New Roman" w:eastAsia="Times New Roman"/>
          <w:b/>
          <w:sz w:val="24"/>
        </w:rPr>
        <w:t>Mario Moretti</w:t>
      </w:r>
      <w:r>
        <w:rPr>
          <w:rFonts w:ascii="Times New Roman" w:hAnsi="Times New Roman" w:cs="Times New Roman" w:eastAsia="Times New Roman"/>
          <w:b w:val="0"/>
          <w:sz w:val="24"/>
        </w:rPr>
        <w:t xml:space="preserve">, capo della colonna romana e membro del comitato esecutivo, ha ammesso di essere l’esecutore materiale dell’omicidio: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Valerio Morucci</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Adriana Faranda</w:t>
      </w:r>
      <w:r>
        <w:rPr>
          <w:rFonts w:ascii="Times New Roman" w:hAnsi="Times New Roman" w:cs="Times New Roman" w:eastAsia="Times New Roman"/>
          <w:b w:val="0"/>
          <w:sz w:val="24"/>
        </w:rPr>
        <w:t xml:space="preserve">, appartenenti alla colonna romana, sono autori del memoriale che per decenni ha costituito la ricostruzione di riferimento del sequestro: la loro partecipazione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mentre la completezza e la veridicità integrale della loro ricostruzione è oggetto di contestazione esplicita negli atti della seconda Commissione, che la dichiara infondata quanto al teorema che ne è stato tratto — asserzione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proveniente da relazione parlamentare circostanziata.</w:t>
      </w:r>
    </w:p>
    <w:p>
      <w:pPr>
        <w:spacing w:line="276" w:lineRule="auto" w:after="60" w:before="0"/>
        <w:ind w:firstLine="425"/>
        <w:jc w:val="both"/>
      </w:pPr>
      <w:r>
        <w:rPr>
          <w:rFonts w:ascii="Times New Roman" w:hAnsi="Times New Roman" w:cs="Times New Roman" w:eastAsia="Times New Roman"/>
          <w:b/>
          <w:sz w:val="24"/>
        </w:rPr>
        <w:t>Prospero Gallinari</w:t>
      </w:r>
      <w:r>
        <w:rPr>
          <w:rFonts w:ascii="Times New Roman" w:hAnsi="Times New Roman" w:cs="Times New Roman" w:eastAsia="Times New Roman"/>
          <w:b w:val="0"/>
          <w:sz w:val="24"/>
        </w:rPr>
        <w:t xml:space="preserve">, ferito e arrestato nel settembre millenovecentosettantanove, e </w:t>
      </w:r>
      <w:r>
        <w:rPr>
          <w:rFonts w:ascii="Times New Roman" w:hAnsi="Times New Roman" w:cs="Times New Roman" w:eastAsia="Times New Roman"/>
          <w:b/>
          <w:sz w:val="24"/>
        </w:rPr>
        <w:t>Anna Laura Braghetti</w:t>
      </w:r>
      <w:r>
        <w:rPr>
          <w:rFonts w:ascii="Times New Roman" w:hAnsi="Times New Roman" w:cs="Times New Roman" w:eastAsia="Times New Roman"/>
          <w:b w:val="0"/>
          <w:sz w:val="24"/>
        </w:rPr>
        <w:t xml:space="preserve">, arrestata nel maggio millenovecentottanta, sono nodi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alla seconda era intestato l’appartamento di via Camillo Montalcini, sede della prigione. </w:t>
      </w:r>
      <w:r>
        <w:rPr>
          <w:rFonts w:ascii="Times New Roman" w:hAnsi="Times New Roman" w:cs="Times New Roman" w:eastAsia="Times New Roman"/>
          <w:b/>
          <w:sz w:val="24"/>
        </w:rPr>
        <w:t>Barbara Balzerani</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Corrado Alunni</w:t>
      </w:r>
      <w:r>
        <w:rPr>
          <w:rFonts w:ascii="Times New Roman" w:hAnsi="Times New Roman" w:cs="Times New Roman" w:eastAsia="Times New Roman"/>
          <w:b w:val="0"/>
          <w:sz w:val="24"/>
        </w:rPr>
        <w:t xml:space="preserve">, </w:t>
      </w:r>
      <w:r>
        <w:rPr>
          <w:rFonts w:ascii="Times New Roman" w:hAnsi="Times New Roman" w:cs="Times New Roman" w:eastAsia="Times New Roman"/>
          <w:b/>
          <w:sz w:val="24"/>
        </w:rPr>
        <w:t>Renato Curcio</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Alberto Franceschini</w:t>
      </w:r>
      <w:r>
        <w:rPr>
          <w:rFonts w:ascii="Times New Roman" w:hAnsi="Times New Roman" w:cs="Times New Roman" w:eastAsia="Times New Roman"/>
          <w:b w:val="0"/>
          <w:sz w:val="24"/>
        </w:rPr>
        <w:t xml:space="preserve"> compaiono nel corpus con posizioni e livelli differenziati, i primi due quali militanti operativi nel periodo, gli ultimi due quali fondatori già detenuti al momento dei fatti e successivamente fonti dichiarative il cui statuto va valutato caso per caso — il corpus registra esplicitamente la circostanza che uno di essi abbia fatto della dissociazione e dell’insinuazione contro l’organizzazione una linea costante, avvertenza che il Registro recepisce come cautela sulla fonte e non come giudizio sulla persona.</w:t>
      </w:r>
    </w:p>
    <w:p>
      <w:pPr>
        <w:spacing w:line="276" w:lineRule="auto" w:after="80" w:before="200"/>
        <w:ind w:firstLine="0"/>
        <w:jc w:val="both"/>
      </w:pPr>
      <w:r>
        <w:rPr>
          <w:rFonts w:ascii="Times New Roman" w:hAnsi="Times New Roman" w:cs="Times New Roman" w:eastAsia="Times New Roman"/>
          <w:b/>
          <w:sz w:val="24"/>
        </w:rPr>
        <w:t>Dominio terzo — apparati informativi e comitati</w:t>
      </w:r>
    </w:p>
    <w:p>
      <w:pPr>
        <w:spacing w:line="276" w:lineRule="auto" w:after="60" w:before="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comitato di crisi</w:t>
      </w:r>
      <w:r>
        <w:rPr>
          <w:rFonts w:ascii="Times New Roman" w:hAnsi="Times New Roman" w:cs="Times New Roman" w:eastAsia="Times New Roman"/>
          <w:b w:val="0"/>
          <w:sz w:val="24"/>
        </w:rPr>
        <w:t xml:space="preserve"> costituito presso il Ministero dell’interno è nodo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sua esistenza, composizione e funzionamento. </w:t>
      </w:r>
      <w:r>
        <w:rPr>
          <w:rFonts w:ascii="Times New Roman" w:hAnsi="Times New Roman" w:cs="Times New Roman" w:eastAsia="Times New Roman"/>
          <w:b/>
          <w:sz w:val="24"/>
        </w:rPr>
        <w:t>Steve Pieczenik</w:t>
      </w:r>
      <w:r>
        <w:rPr>
          <w:rFonts w:ascii="Times New Roman" w:hAnsi="Times New Roman" w:cs="Times New Roman" w:eastAsia="Times New Roman"/>
          <w:b w:val="0"/>
          <w:sz w:val="24"/>
        </w:rPr>
        <w:t xml:space="preserve">, consulente statunitense presente a Roma in quei giorni con funzioni di consulenza sulla gestione della crisi, è nodo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sua presenza e al suo ruolo consultivo, documentati; le sue dichiarazioni successive, nelle quali afferma di avere messo in moto una manipolazione strategica che condusse alla morte di Moro al fine di stabilizzare la situazione italiana, sono </w:t>
      </w:r>
      <w:r>
        <w:rPr>
          <w:rFonts w:ascii="Times New Roman" w:hAnsi="Times New Roman" w:cs="Times New Roman" w:eastAsia="Times New Roman"/>
          <w:b/>
          <w:sz w:val="24"/>
        </w:rPr>
        <w:t>autodichiarazioni rese a distanza di decenni</w:t>
      </w:r>
      <w:r>
        <w:rPr>
          <w:rFonts w:ascii="Times New Roman" w:hAnsi="Times New Roman" w:cs="Times New Roman" w:eastAsia="Times New Roman"/>
          <w:b w:val="0"/>
          <w:sz w:val="24"/>
        </w:rPr>
        <w:t xml:space="preserve"> e restano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esse costituiscono segnalazione investigativa di primo rilievo e non accertamento, poiché una dichiarazione autoaccusatoria non riscontrata non è più affidabile di una dichiarazione eteroaccusatoria non riscontrata, e la sua spettacolarità ne accresce la diffusione senza accrescerne il valore probatorio. Che cosa la eleverebbe: un riscontro documentale coevo, negli archivi statunitensi o italiani, di direttive corrispondenti a quanto dichiarato.</w:t>
      </w:r>
    </w:p>
    <w:p>
      <w:pPr>
        <w:spacing w:line="276" w:lineRule="auto" w:after="60" w:before="0"/>
        <w:ind w:firstLine="425"/>
        <w:jc w:val="both"/>
      </w:pPr>
      <w:r>
        <w:rPr>
          <w:rFonts w:ascii="Times New Roman" w:hAnsi="Times New Roman" w:cs="Times New Roman" w:eastAsia="Times New Roman"/>
          <w:b w:val="0"/>
          <w:sz w:val="24"/>
        </w:rPr>
        <w:t xml:space="preserve">La circostanza che documenti di un servizio informativo straniero attestino, secondo quanto riferito da magistrati che ne ebbero visione all’estero, una conoscenza anticipata dell’intenzione di rapire Moro comunicata ai corrispondenti italiani, e che di tale documento non vi sia traccia negli archivi nazionali, è asserzione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allo stato del corpus: essa poggia sul racconto della visione e non sul documento. Che cosa la eleverebbe: l’acquisizione del documento o del riscontro archivistico della comunicazione. La sua rilevanza è tale da giustificare l’apertura di una specifica linea di ricerca, che il Registro dichiara aperta.</w:t>
      </w:r>
    </w:p>
    <w:p>
      <w:pPr>
        <w:spacing w:line="276" w:lineRule="auto" w:after="80" w:before="200"/>
        <w:ind w:firstLine="0"/>
        <w:jc w:val="both"/>
      </w:pPr>
      <w:r>
        <w:rPr>
          <w:rFonts w:ascii="Times New Roman" w:hAnsi="Times New Roman" w:cs="Times New Roman" w:eastAsia="Times New Roman"/>
          <w:b/>
          <w:sz w:val="24"/>
        </w:rPr>
        <w:t>Dominio quinto — la mediazione religiosa</w:t>
      </w:r>
    </w:p>
    <w:p>
      <w:pPr>
        <w:spacing w:line="276" w:lineRule="auto" w:after="60" w:before="0"/>
        <w:ind w:firstLine="425"/>
        <w:jc w:val="both"/>
      </w:pPr>
      <w:r>
        <w:rPr>
          <w:rFonts w:ascii="Times New Roman" w:hAnsi="Times New Roman" w:cs="Times New Roman" w:eastAsia="Times New Roman"/>
          <w:b w:val="0"/>
          <w:sz w:val="24"/>
        </w:rPr>
        <w:t xml:space="preserve">L’iniziativa personale del Pontefice in favore di una soluzione che salvasse la vita del prigioniero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L’esistenza di un canale di ritorno ecclesiastico attraverso il quale corrispondenza o messaggi transitarono è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sostenuta da dichiarazioni convergenti di familiari e da acquisizioni della seconda Commissione; l’identificazione nominativa del sacerdote che lo avrebbe costituito è riferita nel corpus da dichiarazione di un congiunto della vittima e resta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all’indicazione,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all’estensione e ai contenuti del canale. La presenza di un cappellano con funzioni di raccordo verso ambienti carcerari e la sua relazione con altri interlocutori sono nel corpus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Dominio primo — criminalità organizzata</w:t>
      </w:r>
    </w:p>
    <w:p>
      <w:pPr>
        <w:spacing w:line="276" w:lineRule="auto" w:after="60" w:before="0"/>
        <w:ind w:firstLine="425"/>
        <w:jc w:val="both"/>
      </w:pPr>
      <w:r>
        <w:rPr>
          <w:rFonts w:ascii="Times New Roman" w:hAnsi="Times New Roman" w:cs="Times New Roman" w:eastAsia="Times New Roman"/>
          <w:b w:val="0"/>
          <w:sz w:val="24"/>
        </w:rPr>
        <w:t xml:space="preserve">Il </w:t>
      </w:r>
      <w:r>
        <w:rPr>
          <w:rFonts w:ascii="Times New Roman" w:hAnsi="Times New Roman" w:cs="Times New Roman" w:eastAsia="Times New Roman"/>
          <w:b/>
          <w:sz w:val="24"/>
        </w:rPr>
        <w:t>falso comunicato numero sette</w:t>
      </w:r>
      <w:r>
        <w:rPr>
          <w:rFonts w:ascii="Times New Roman" w:hAnsi="Times New Roman" w:cs="Times New Roman" w:eastAsia="Times New Roman"/>
          <w:b w:val="0"/>
          <w:sz w:val="24"/>
        </w:rPr>
        <w:t xml:space="preserve"> del diciotto aprile millenovecentosettantotto, che annunciava l’uccisione del prigioniero e la sepoltura nel lago della Duchessa, è attribuito a un falsario contiguo alla banda della Magliana: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circostanza che uomini della banda abbiano condotto ricerche sul luogo di detenzione su richiesta veicolata da ambienti della camorra, e che una fonte interna abbia indicato la zona e persino la via poi rivelatasi sede di un covo, è riferita da dichiarazioni di collaboratori e resta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essa è priva, allo stato del corpus, di riscontro documentale coevo, e la sua struttura narrativa — l’informazione giusta ignorata — è precisamente quella che il paradigma indiziario impone di trattare con la massima diffidenza, poiché è la forma che la memoria retrospettiva assume più spontaneamente. Che cosa la eleverebbe: un atto coevo che documenti la trasmissione dell’informazione.</w:t>
      </w:r>
    </w:p>
    <w:p>
      <w:pPr>
        <w:spacing w:line="276" w:lineRule="auto" w:after="60" w:before="0"/>
        <w:ind w:firstLine="425"/>
        <w:jc w:val="both"/>
      </w:pPr>
      <w:r>
        <w:rPr>
          <w:rFonts w:ascii="Times New Roman" w:hAnsi="Times New Roman" w:cs="Times New Roman" w:eastAsia="Times New Roman"/>
          <w:b w:val="0"/>
          <w:sz w:val="24"/>
        </w:rPr>
        <w:t xml:space="preserve">L’accusa mossa da un collaboratore calabrese a un esponente di rilievo della criminalità organizzata calabrese di essere stato presente in via Fani è </w:t>
      </w:r>
      <w:r>
        <w:rPr>
          <w:rFonts w:ascii="Times New Roman" w:hAnsi="Times New Roman" w:cs="Times New Roman" w:eastAsia="Times New Roman"/>
          <w:b/>
          <w:sz w:val="24"/>
        </w:rPr>
        <w:t>dichiarazione singola non riscontrata</w:t>
      </w:r>
      <w:r>
        <w:rPr>
          <w:rFonts w:ascii="Times New Roman" w:hAnsi="Times New Roman" w:cs="Times New Roman" w:eastAsia="Times New Roman"/>
          <w:b w:val="0"/>
          <w:sz w:val="24"/>
        </w:rPr>
        <w:t xml:space="preserve"> e resta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Registro la registra perché registrata negli atti, e la mantiene al livello che le compete; osserva inoltre che l’asserzione più generale della presenza in via Fani di soggetti estranei all’organizzazione armata è affermazione ricorrente nel corpus, sostenuta in sede parlamentare e contestata in sede giudiziaria, e che il suo statuto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all’identificazione di chiunque,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sussistenza di elementi che hanno indotto una Commissione parlamentare a ritenerla non esclusa.</w:t>
      </w:r>
    </w:p>
    <w:p>
      <w:pPr>
        <w:spacing w:line="276" w:lineRule="auto" w:after="80" w:before="200"/>
        <w:ind w:firstLine="0"/>
        <w:jc w:val="both"/>
      </w:pPr>
      <w:r>
        <w:rPr>
          <w:rFonts w:ascii="Times New Roman" w:hAnsi="Times New Roman" w:cs="Times New Roman" w:eastAsia="Times New Roman"/>
          <w:b/>
          <w:sz w:val="24"/>
        </w:rPr>
        <w:t>Dominio ottavo e Dominio quarto</w:t>
      </w:r>
    </w:p>
    <w:p>
      <w:pPr>
        <w:spacing w:line="276" w:lineRule="auto" w:after="60" w:before="0"/>
        <w:ind w:firstLine="425"/>
        <w:jc w:val="both"/>
      </w:pPr>
      <w:r>
        <w:rPr>
          <w:rFonts w:ascii="Times New Roman" w:hAnsi="Times New Roman" w:cs="Times New Roman" w:eastAsia="Times New Roman"/>
          <w:b w:val="0"/>
          <w:sz w:val="24"/>
        </w:rPr>
        <w:t xml:space="preserve">Il giornalista direttore della testata di informazione riservata, ucciso nel marzo millenovecentosettantanove, è nodo di intersezione fra informazione, apparati e politica: la sua uccisione e i suoi rapporti sono oggetto dei due procedimenti presenti nel corpus, e il suo interesse per la vicenda Moro vi è documentato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relazione parlamentare sulla loggia dedica all’affare Moro una propria sezione: l’esistenza di attività informative sulla vicenda condotte nell’ambito documentato dalla relazione, e la trasmissione di valutazioni riferibili al capo della loggia a un appartenente al servizio, sono asserzioni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fondate su testimonianza resa a magistrato e riportata in relazione parlamentare.</w:t>
      </w:r>
    </w:p>
    <w:p>
      <w:pPr>
        <w:spacing w:line="276" w:lineRule="auto" w:after="80" w:before="200"/>
        <w:ind w:firstLine="0"/>
        <w:jc w:val="both"/>
      </w:pPr>
      <w:r>
        <w:rPr>
          <w:rFonts w:ascii="Times New Roman" w:hAnsi="Times New Roman" w:cs="Times New Roman" w:eastAsia="Times New Roman"/>
          <w:b/>
          <w:sz w:val="24"/>
        </w:rPr>
        <w:t>PARTE SESTA — I CINQUANTACINQUE GIORNI: CRONOLOGIA STRUTTURALE</w:t>
      </w:r>
    </w:p>
    <w:p>
      <w:pPr>
        <w:spacing w:line="276" w:lineRule="auto" w:after="60" w:before="0"/>
        <w:ind w:firstLine="425"/>
        <w:jc w:val="both"/>
      </w:pPr>
      <w:r>
        <w:rPr>
          <w:rFonts w:ascii="Times New Roman" w:hAnsi="Times New Roman" w:cs="Times New Roman" w:eastAsia="Times New Roman"/>
          <w:b w:val="0"/>
          <w:sz w:val="24"/>
        </w:rPr>
        <w:t xml:space="preserve">La cronologia che segue non è un racconto ma una griglia di ancoraggio: essa serve a fissare le date rispetto alle quali si misurano le coincidenze temporali del settimo Pattern, e riporta soltanto ciò che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rinviando alle sezioni precedenti per le asserzioni di livello inferiore.</w:t>
      </w:r>
    </w:p>
    <w:p>
      <w:pPr>
        <w:spacing w:line="276" w:lineRule="auto" w:after="60" w:before="0"/>
        <w:ind w:firstLine="425"/>
        <w:jc w:val="both"/>
      </w:pPr>
      <w:r>
        <w:rPr>
          <w:rFonts w:ascii="Times New Roman" w:hAnsi="Times New Roman" w:cs="Times New Roman" w:eastAsia="Times New Roman"/>
          <w:b w:val="0"/>
          <w:sz w:val="24"/>
        </w:rPr>
        <w:t xml:space="preserve">Il sedici marzo millenovecentosettantotto, in via Mario Fani a Roma, un commando delle Brigate Rosse rapisce Aldo Moro e uccide i cinque uomini della scorta. La data non è casuale rispetto al calendario politico: quel giorno la Camera è convocata per la fiducia al governo che per la prima volta nella storia repubblicana si regge sull’astensione concordata del Partito Comunista Italiano, esito del disegno politico del quale il sequestrato era l’artefice. La coincidenza è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fatto e costituisce, per la sua precisione, un elemento diagnostico che qualunque ipotesi deve saper spiegare.</w:t>
      </w:r>
    </w:p>
    <w:p>
      <w:pPr>
        <w:spacing w:line="276" w:lineRule="auto" w:after="60" w:before="0"/>
        <w:ind w:firstLine="425"/>
        <w:jc w:val="both"/>
      </w:pPr>
      <w:r>
        <w:rPr>
          <w:rFonts w:ascii="Times New Roman" w:hAnsi="Times New Roman" w:cs="Times New Roman" w:eastAsia="Times New Roman"/>
          <w:b w:val="0"/>
          <w:sz w:val="24"/>
        </w:rPr>
        <w:t xml:space="preserve">Nei giorni successivi si costituisce presso il Ministero dell’interno la struttura di gestione della crisi; il sistema politico si divide fra la linea della fermezza, che esclude ogni trattativa con l’organizzazione, e la linea che ammette forme di contatto. Il prigioniero scrive: le lettere indirizzate a esponenti politici, a familiari, alle autorità ecclesiastiche costituiscono corpus autografo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all’autenticità materiale, e sono oggetto di analisi filologica autonoma quanto all’interpretazione, poiché la questione se e in quale misura esse esprimano la volontà libera dello scrivente è stata posta fin dai giorni stessi ed è tuttora discussa.</w:t>
      </w:r>
    </w:p>
    <w:p>
      <w:pPr>
        <w:spacing w:line="276" w:lineRule="auto" w:after="60" w:before="0"/>
        <w:ind w:firstLine="425"/>
        <w:jc w:val="both"/>
      </w:pPr>
      <w:r>
        <w:rPr>
          <w:rFonts w:ascii="Times New Roman" w:hAnsi="Times New Roman" w:cs="Times New Roman" w:eastAsia="Times New Roman"/>
          <w:b w:val="0"/>
          <w:sz w:val="24"/>
        </w:rPr>
        <w:t xml:space="preserve">Il diciotto aprile viene diffuso un comunicato apocrifo che annuncia la morte del prigioniero indicandone la sepoltura in un lago dell’Appennino; nello stesso giorno è scoperto in via Gradoli un appartamento utilizzato dall’organizzazione. La contiguità delle due circostanze nella medesima giornata è dato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ed è una delle anomalie temporali più forti dell’intera vicenda, nel senso preciso del paradigma indiziario: essa non prova nulla da sola e nessuna spiegazione può essere data per acquisita, ma è esattamente il tipo di dettaglio marginale che il metodo impone di non archiviare. Il Registro la iscrive fra le questioni aperte con la nota che la spiegazione della coincidenza è, allo stato, indeterminata fra almeno tre letture concorrenti — casualità, effetto di una medesima fonte informativa che agisce su due piani, operazione deliberata di depistaggio sincronizzata con un’azione di polizia — nessuna delle quali il corpus consente di privilegiare oltre il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val="0"/>
          <w:sz w:val="24"/>
        </w:rPr>
        <w:t xml:space="preserve">Il nove maggio il corpo di Aldo Moro è rinvenuto in via Michelangelo Caetani, nel bagagliaio di un’autovettura, in posizione equidistante fra le sedi dei due maggiori partiti. La scelta del luogo è, in sé, atto comunicativo: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 fatto, oggetto di interpretazione quanto al significato.</w:t>
      </w:r>
    </w:p>
    <w:p>
      <w:pPr>
        <w:spacing w:line="276" w:lineRule="auto" w:after="60" w:before="0"/>
        <w:ind w:firstLine="425"/>
        <w:jc w:val="both"/>
      </w:pPr>
      <w:r>
        <w:rPr>
          <w:rFonts w:ascii="Times New Roman" w:hAnsi="Times New Roman" w:cs="Times New Roman" w:eastAsia="Times New Roman"/>
          <w:b w:val="0"/>
          <w:sz w:val="24"/>
        </w:rPr>
        <w:t xml:space="preserve">Due date successive appartengono alla cronologia strutturale del caso perché ne mutano il quadro documentale. Il primo ottobre millenovecentosettantotto, in un appartamento milanese di via Monte Nevoso, viene rinvenuta una prima parte degli scritti della prigionia; nell’ottobre millenovecentonovanta, nel medesimo immobile, ne viene rinvenuta una seconda e più ampia parte. La duplicazione del ritrovamento a dodici anni di distanza, nello stesso luogo, è dato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e costituisce il maggiore problema documentale del caso, poiché ogni ricostruzione fondata sulla prima tranche è stata elaborata nell’ignoranza della seconda.</w:t>
      </w:r>
    </w:p>
    <w:p>
      <w:pPr>
        <w:spacing w:line="276" w:lineRule="auto" w:after="80" w:before="200"/>
        <w:ind w:firstLine="0"/>
        <w:jc w:val="both"/>
      </w:pPr>
      <w:r>
        <w:rPr>
          <w:rFonts w:ascii="Times New Roman" w:hAnsi="Times New Roman" w:cs="Times New Roman" w:eastAsia="Times New Roman"/>
          <w:b/>
          <w:sz w:val="24"/>
        </w:rPr>
        <w:t>PARTE SETTIMA — I PATTERN ANALITICI APPLICATI</w:t>
      </w:r>
    </w:p>
    <w:p>
      <w:pPr>
        <w:spacing w:line="276" w:lineRule="auto" w:after="60" w:before="0"/>
        <w:ind w:firstLine="425"/>
        <w:jc w:val="both"/>
      </w:pPr>
      <w:r>
        <w:rPr>
          <w:rFonts w:ascii="Times New Roman" w:hAnsi="Times New Roman" w:cs="Times New Roman" w:eastAsia="Times New Roman"/>
          <w:b w:val="0"/>
          <w:sz w:val="24"/>
        </w:rPr>
        <w:t>I Pattern non sono ipotesi preconcette ma regolarità emergenti dalla rete, identificate dopo la sua costruzione secondo il principio della costruzione dal basso di Glaser e Strauss. Se ne applicano al caso Moro i seguenti.</w:t>
      </w:r>
    </w:p>
    <w:p>
      <w:pPr>
        <w:spacing w:line="276" w:lineRule="auto" w:after="60" w:before="0"/>
        <w:ind w:firstLine="425"/>
        <w:jc w:val="both"/>
      </w:pPr>
      <w:r>
        <w:rPr>
          <w:rFonts w:ascii="Times New Roman" w:hAnsi="Times New Roman" w:cs="Times New Roman" w:eastAsia="Times New Roman"/>
          <w:b/>
          <w:sz w:val="24"/>
        </w:rPr>
        <w:t>Primo Pattern, analisi dei nodi centrali.</w:t>
      </w:r>
      <w:r>
        <w:rPr>
          <w:rFonts w:ascii="Times New Roman" w:hAnsi="Times New Roman" w:cs="Times New Roman" w:eastAsia="Times New Roman"/>
          <w:b w:val="0"/>
          <w:sz w:val="24"/>
        </w:rPr>
        <w:t xml:space="preserve"> Calcolate le quattro misure di centralità, il nodo della vittima domina per grado e per intermediazione; ma la misura diagnosticamente più interessante è la centralità di prossimità applicata ai nodi degli apparati, poiché essa misura la capacità di mobilitare risorse eterogenee in tempi brevi, e nei cinquantacinque giorni tale capacità fu esercitata in misura assai inferiore a quella teoricamente disponibile. Questo scarto — fra la capacità strutturale della rete istituzionale e la sua prestazione effettiva — è un dato oggettivo che chiede spiegazione e che le ipotesi concorrenti spiegano in modi opposti.</w:t>
      </w:r>
    </w:p>
    <w:p>
      <w:pPr>
        <w:spacing w:line="276" w:lineRule="auto" w:after="60" w:before="0"/>
        <w:ind w:firstLine="425"/>
        <w:jc w:val="both"/>
      </w:pPr>
      <w:r>
        <w:rPr>
          <w:rFonts w:ascii="Times New Roman" w:hAnsi="Times New Roman" w:cs="Times New Roman" w:eastAsia="Times New Roman"/>
          <w:b/>
          <w:sz w:val="24"/>
        </w:rPr>
        <w:t>Secondo Pattern, identificazione dei cluster.</w:t>
      </w:r>
      <w:r>
        <w:rPr>
          <w:rFonts w:ascii="Times New Roman" w:hAnsi="Times New Roman" w:cs="Times New Roman" w:eastAsia="Times New Roman"/>
          <w:b w:val="0"/>
          <w:sz w:val="24"/>
        </w:rPr>
        <w:t xml:space="preserve"> L’applicazione di algoritmi di rilevazione delle comunità alla rete del caso individua un aggregato che riunisce nodi dell’ottavo, del quarto e del terzo Dominio attorno alla circolazione di informazione riservata sulla vicenda. Il criterio di validazione richiede che almeno un evento storico documentato confermi l’azione coordinata dei membri: allo stato, il criterio non è soddisfatto e l’aggregato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ossia comunità statistica e non struttura operativa accertata.</w:t>
      </w:r>
    </w:p>
    <w:p>
      <w:pPr>
        <w:spacing w:line="276" w:lineRule="auto" w:after="60" w:before="0"/>
        <w:ind w:firstLine="425"/>
        <w:jc w:val="both"/>
      </w:pPr>
      <w:r>
        <w:rPr>
          <w:rFonts w:ascii="Times New Roman" w:hAnsi="Times New Roman" w:cs="Times New Roman" w:eastAsia="Times New Roman"/>
          <w:b/>
          <w:sz w:val="24"/>
        </w:rPr>
        <w:t>Terzo Pattern, analisi delle coincidenze temporali.</w:t>
      </w:r>
      <w:r>
        <w:rPr>
          <w:rFonts w:ascii="Times New Roman" w:hAnsi="Times New Roman" w:cs="Times New Roman" w:eastAsia="Times New Roman"/>
          <w:b w:val="0"/>
          <w:sz w:val="24"/>
        </w:rPr>
        <w:t xml:space="preserve"> La finestra del diciotto aprile, con la contestualità fra comunicato apocrifo e scoperta del covo, è la coincidenza a più alta significatività dell’intera serie. Il criterio di validazione è statistico e richiede che la probabilità del caso sia inferiore alla soglia convenzionale; la valutazione formale richiede la conversione della lacuna stenografica, poiché la datazione fine di numerosi eventi collaterali è contenuta in quel materiale.</w:t>
      </w:r>
    </w:p>
    <w:p>
      <w:pPr>
        <w:spacing w:line="276" w:lineRule="auto" w:after="60" w:before="0"/>
        <w:ind w:firstLine="425"/>
        <w:jc w:val="both"/>
      </w:pPr>
      <w:r>
        <w:rPr>
          <w:rFonts w:ascii="Times New Roman" w:hAnsi="Times New Roman" w:cs="Times New Roman" w:eastAsia="Times New Roman"/>
          <w:b/>
          <w:sz w:val="24"/>
        </w:rPr>
        <w:t>Quinto Pattern, analisi dei buchi strutturali.</w:t>
      </w:r>
      <w:r>
        <w:rPr>
          <w:rFonts w:ascii="Times New Roman" w:hAnsi="Times New Roman" w:cs="Times New Roman" w:eastAsia="Times New Roman"/>
          <w:b w:val="0"/>
          <w:sz w:val="24"/>
        </w:rPr>
        <w:t xml:space="preserve"> Il Registro segnala come buco strutturale significativo l’assenza, nel corpus, di documentazione coeva relativa alla circolazione interna dell’informazione fra la struttura di crisi e i reparti operativi. L’assenza di una connessione attesa è dato altrettanto significativo di una connessione presente e può indicare compartimentazione intenzionale, conflitto, oppure lacuna documentale: le tre letture sono equiprobabili allo stato e nessuna è affermata.</w:t>
      </w:r>
    </w:p>
    <w:p>
      <w:pPr>
        <w:spacing w:line="276" w:lineRule="auto" w:after="60" w:before="0"/>
        <w:ind w:firstLine="425"/>
        <w:jc w:val="both"/>
      </w:pPr>
      <w:r>
        <w:rPr>
          <w:rFonts w:ascii="Times New Roman" w:hAnsi="Times New Roman" w:cs="Times New Roman" w:eastAsia="Times New Roman"/>
          <w:b/>
          <w:sz w:val="24"/>
        </w:rPr>
        <w:t>Sesto Pattern, analisi delle ipotesi concorrenti.</w:t>
      </w:r>
      <w:r>
        <w:rPr>
          <w:rFonts w:ascii="Times New Roman" w:hAnsi="Times New Roman" w:cs="Times New Roman" w:eastAsia="Times New Roman"/>
          <w:b w:val="0"/>
          <w:sz w:val="24"/>
        </w:rPr>
        <w:t xml:space="preserve"> È il Pattern che governa la Parte ottava e che nel caso Moro assume rilievo dirimente.</w:t>
      </w:r>
    </w:p>
    <w:p>
      <w:pPr>
        <w:spacing w:line="276" w:lineRule="auto" w:after="60" w:before="0"/>
        <w:ind w:firstLine="425"/>
        <w:jc w:val="both"/>
      </w:pPr>
      <w:r>
        <w:rPr>
          <w:rFonts w:ascii="Times New Roman" w:hAnsi="Times New Roman" w:cs="Times New Roman" w:eastAsia="Times New Roman"/>
          <w:b/>
          <w:sz w:val="24"/>
        </w:rPr>
        <w:t>Ottavo Pattern, analisi dello sfruttamento delle crisi.</w:t>
      </w:r>
      <w:r>
        <w:rPr>
          <w:rFonts w:ascii="Times New Roman" w:hAnsi="Times New Roman" w:cs="Times New Roman" w:eastAsia="Times New Roman"/>
          <w:b w:val="0"/>
          <w:sz w:val="24"/>
        </w:rPr>
        <w:t xml:space="preserve"> Il sequestro costituisce evento perturbativo che rende temporaneamente porosi i confini fra i Domini, sospende regole e moltiplica le opportunità. La misurazione della variazione di densità inter-dominio prima, durante e dopo i cinquantacinque giorni mostra un incremento marcato nel periodo, con assestamento successivo su un livello superiore a quello iniziale: dato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che è compatibile con ipotesi diverse e non ne privilegia alcuna.</w:t>
      </w:r>
    </w:p>
    <w:p>
      <w:pPr>
        <w:spacing w:line="276" w:lineRule="auto" w:after="60" w:before="0"/>
        <w:ind w:firstLine="425"/>
        <w:jc w:val="both"/>
      </w:pPr>
      <w:r>
        <w:rPr>
          <w:rFonts w:ascii="Times New Roman" w:hAnsi="Times New Roman" w:cs="Times New Roman" w:eastAsia="Times New Roman"/>
          <w:b/>
          <w:sz w:val="24"/>
        </w:rPr>
        <w:t>Undicesimo Pattern, isomorfismo strutturale.</w:t>
      </w:r>
      <w:r>
        <w:rPr>
          <w:rFonts w:ascii="Times New Roman" w:hAnsi="Times New Roman" w:cs="Times New Roman" w:eastAsia="Times New Roman"/>
          <w:b w:val="0"/>
          <w:sz w:val="24"/>
        </w:rPr>
        <w:t xml:space="preserve"> La struttura della gestione della crisi — un nucleo ristretto che irradia verso i vertici di più Domini — presenta somiglianza topologica con altre strutture presenti nel corpus generale della materia. La somiglianza può indicare origine comune, necessità funzionale o convergenza indipendente, e la sola somiglianza non discrimina fra le tre: nel caso Moro il Registro propende per la necessità funzionale, poiché ogni gestione di crisi produce quella topologia, e classifica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lettura che ne inferisca origine comune.</w:t>
      </w:r>
    </w:p>
    <w:p>
      <w:pPr>
        <w:spacing w:line="276" w:lineRule="auto" w:after="60" w:before="0"/>
        <w:ind w:firstLine="425"/>
        <w:jc w:val="both"/>
      </w:pPr>
      <w:r>
        <w:rPr>
          <w:rFonts w:ascii="Times New Roman" w:hAnsi="Times New Roman" w:cs="Times New Roman" w:eastAsia="Times New Roman"/>
          <w:b/>
          <w:sz w:val="24"/>
        </w:rPr>
        <w:t>Quindicesimo Pattern, parole sentinella.</w:t>
      </w:r>
      <w:r>
        <w:rPr>
          <w:rFonts w:ascii="Times New Roman" w:hAnsi="Times New Roman" w:cs="Times New Roman" w:eastAsia="Times New Roman"/>
          <w:b w:val="0"/>
          <w:sz w:val="24"/>
        </w:rPr>
        <w:t xml:space="preserve"> Applicato al corpus autografo della prigionia, il Pattern confronta gli usi lessicali e le forme abbreviative dello scrivente con quelli attestati nella produzione anteriore, per rilevare discontinuità che possano indicare condizionamento, dettatura o interpolazione. Il corpus degli scritti dal millenovecentotrentadue al millenovecentosettantotto, presente nel sottocorpus, rende l’operazione possibile su base statistica. Il Pattern è dichiarato </w:t>
      </w:r>
      <w:r>
        <w:rPr>
          <w:rFonts w:ascii="Times New Roman" w:hAnsi="Times New Roman" w:cs="Times New Roman" w:eastAsia="Times New Roman"/>
          <w:b/>
          <w:sz w:val="24"/>
        </w:rPr>
        <w:t>operativo e aperto</w:t>
      </w:r>
      <w:r>
        <w:rPr>
          <w:rFonts w:ascii="Times New Roman" w:hAnsi="Times New Roman" w:cs="Times New Roman" w:eastAsia="Times New Roman"/>
          <w:b w:val="0"/>
          <w:sz w:val="24"/>
        </w:rPr>
        <w:t>: costituisce la linea di ricerca filologica propria di questo Registro.</w:t>
      </w:r>
    </w:p>
    <w:p>
      <w:pPr>
        <w:spacing w:line="276" w:lineRule="auto" w:after="80" w:before="200"/>
        <w:ind w:firstLine="0"/>
        <w:jc w:val="both"/>
      </w:pPr>
      <w:r>
        <w:rPr>
          <w:rFonts w:ascii="Times New Roman" w:hAnsi="Times New Roman" w:cs="Times New Roman" w:eastAsia="Times New Roman"/>
          <w:b/>
          <w:sz w:val="24"/>
        </w:rPr>
        <w:t>PARTE OTTAVA — LE IPOTESI CONCORRENTI E I TEST DI FALSIFICAZIONE</w:t>
      </w:r>
    </w:p>
    <w:p>
      <w:pPr>
        <w:spacing w:line="276" w:lineRule="auto" w:after="60" w:before="0"/>
        <w:ind w:firstLine="425"/>
        <w:jc w:val="both"/>
      </w:pPr>
      <w:r>
        <w:rPr>
          <w:rFonts w:ascii="Times New Roman" w:hAnsi="Times New Roman" w:cs="Times New Roman" w:eastAsia="Times New Roman"/>
          <w:b w:val="0"/>
          <w:sz w:val="24"/>
        </w:rPr>
        <w:t>Il Registro formula cinque ipotesi concorrenti sulla natura del sequestro e della sua gestione, e le tratta come in competizione secondo la metodologia dell’analisi delle ipotesi concorrenti di Richards Heuer: l’ipotesi che prevale non è quella con più evidenze a favore — poiché tutte, in questa materia, ne accumulano — ma quella meno contraddetta dalle evidenze disponibili.</w:t>
      </w:r>
    </w:p>
    <w:p>
      <w:pPr>
        <w:spacing w:line="276" w:lineRule="auto" w:after="60" w:before="0"/>
        <w:ind w:firstLine="425"/>
        <w:jc w:val="both"/>
      </w:pPr>
      <w:r>
        <w:rPr>
          <w:rFonts w:ascii="Times New Roman" w:hAnsi="Times New Roman" w:cs="Times New Roman" w:eastAsia="Times New Roman"/>
          <w:b/>
          <w:sz w:val="24"/>
        </w:rPr>
        <w:t>Ipotesi prima, dell’autosufficienza.</w:t>
      </w:r>
      <w:r>
        <w:rPr>
          <w:rFonts w:ascii="Times New Roman" w:hAnsi="Times New Roman" w:cs="Times New Roman" w:eastAsia="Times New Roman"/>
          <w:b w:val="0"/>
          <w:sz w:val="24"/>
        </w:rPr>
        <w:t xml:space="preserve"> Le Brigate Rosse concepirono, eseguirono e conclusero il sequestro autonomamente, con risorse proprie; la loro efficacia si spiega con la preparazione, con la debolezza degli apparati di prevenzione e con la sottovalutazione del fenomeno; le anomalie della vicenda si spiegano con l’inefficienza, non con il disegno. Questa ipotesi coincide sostanzialmente con l’accertamento giudiziario definitivo ed è </w:t>
      </w:r>
      <w:r>
        <w:rPr>
          <w:rFonts w:ascii="Times New Roman" w:hAnsi="Times New Roman" w:cs="Times New Roman" w:eastAsia="Times New Roman"/>
          <w:b/>
          <w:sz w:val="24"/>
        </w:rPr>
        <w:t>l’ipotesi più economica e meglio sostenuta</w:t>
      </w:r>
      <w:r>
        <w:rPr>
          <w:rFonts w:ascii="Times New Roman" w:hAnsi="Times New Roman" w:cs="Times New Roman" w:eastAsia="Times New Roman"/>
          <w:b w:val="0"/>
          <w:sz w:val="24"/>
        </w:rPr>
        <w:t xml:space="preserve">. Il Registro la mantiene permanentemente attiva come </w:t>
      </w:r>
      <w:r>
        <w:rPr>
          <w:rFonts w:ascii="Times New Roman" w:hAnsi="Times New Roman" w:cs="Times New Roman" w:eastAsia="Times New Roman"/>
          <w:b/>
          <w:sz w:val="24"/>
        </w:rPr>
        <w:t>falsificatore più forte</w:t>
      </w:r>
      <w:r>
        <w:rPr>
          <w:rFonts w:ascii="Times New Roman" w:hAnsi="Times New Roman" w:cs="Times New Roman" w:eastAsia="Times New Roman"/>
          <w:b w:val="0"/>
          <w:sz w:val="24"/>
        </w:rPr>
        <w:t xml:space="preserve"> di ogni ipotesi alternativa, con la funzione che nel Registro generale dell’opera è assegnata alla tesi di Alan Milward: nessuna ipotesi ulteriore può essere accolta se non spiega ciò che questa già spiega, e meglio.</w:t>
      </w:r>
    </w:p>
    <w:p>
      <w:pPr>
        <w:spacing w:line="276" w:lineRule="auto" w:after="60" w:before="0"/>
        <w:ind w:firstLine="425"/>
        <w:jc w:val="both"/>
      </w:pPr>
      <w:r>
        <w:rPr>
          <w:rFonts w:ascii="Times New Roman" w:hAnsi="Times New Roman" w:cs="Times New Roman" w:eastAsia="Times New Roman"/>
          <w:b/>
          <w:sz w:val="24"/>
        </w:rPr>
        <w:t>Ipotesi seconda, dell’eterodirezione.</w:t>
      </w:r>
      <w:r>
        <w:rPr>
          <w:rFonts w:ascii="Times New Roman" w:hAnsi="Times New Roman" w:cs="Times New Roman" w:eastAsia="Times New Roman"/>
          <w:b w:val="0"/>
          <w:sz w:val="24"/>
        </w:rPr>
        <w:t xml:space="preserve"> L’organizzazione fu, in tutto o in parte, orientata dall’esterno, e attori estranei ebbero parte nella decisione, nell’esecuzione o nella conduzione. Condizioni di falsificazione: l’assenza, negli archivi accessibili, di qualunque atto direttivo o di raccordo; l’assenza di anomalie operative non spiegabili con le risorse proprie dell’organizzazione. Stato attuale: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Nessun elemento del corpus la eleva, e diversi elementi la contraddicono — segnatamente la coerenza interna della catena decisionale ricostruita in sede giudiziaria.</w:t>
      </w:r>
    </w:p>
    <w:p>
      <w:pPr>
        <w:spacing w:line="276" w:lineRule="auto" w:after="60" w:before="0"/>
        <w:ind w:firstLine="425"/>
        <w:jc w:val="both"/>
      </w:pPr>
      <w:r>
        <w:rPr>
          <w:rFonts w:ascii="Times New Roman" w:hAnsi="Times New Roman" w:cs="Times New Roman" w:eastAsia="Times New Roman"/>
          <w:b/>
          <w:sz w:val="24"/>
        </w:rPr>
        <w:t>Ipotesi terza, del non impedimento.</w:t>
      </w:r>
      <w:r>
        <w:rPr>
          <w:rFonts w:ascii="Times New Roman" w:hAnsi="Times New Roman" w:cs="Times New Roman" w:eastAsia="Times New Roman"/>
          <w:b w:val="0"/>
          <w:sz w:val="24"/>
        </w:rPr>
        <w:t xml:space="preserve"> L’organizzazione agì autonomamente, ma soggetti collocati in apparati ebbero conoscenze utili e non le impiegarono, per inerzia, per calcolo o per conflitto interno; l’effetto pratico fu di agevolare l’esito senza che vi fosse concorso. Condizioni di falsificazione: la dimostrazione che le informazioni ritenute disponibili non lo erano, o che furono trasmesse e utilizzate. Stato attuale: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con singoli segmenti che raggiungono il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ove documentati da acquisizioni parlamentari. È l’ipotesi più difficile da falsificare, e questa sua proprietà è essa stessa un problema metodologico, poiché un’ipotesi difficilmente falsificabile è per ciò stesso epistemologicamente debole, non forte.</w:t>
      </w:r>
    </w:p>
    <w:p>
      <w:pPr>
        <w:spacing w:line="276" w:lineRule="auto" w:after="60" w:before="0"/>
        <w:ind w:firstLine="425"/>
        <w:jc w:val="both"/>
      </w:pPr>
      <w:r>
        <w:rPr>
          <w:rFonts w:ascii="Times New Roman" w:hAnsi="Times New Roman" w:cs="Times New Roman" w:eastAsia="Times New Roman"/>
          <w:b/>
          <w:sz w:val="24"/>
        </w:rPr>
        <w:t>Ipotesi quarta, della convergenza non coordinata.</w:t>
      </w:r>
      <w:r>
        <w:rPr>
          <w:rFonts w:ascii="Times New Roman" w:hAnsi="Times New Roman" w:cs="Times New Roman" w:eastAsia="Times New Roman"/>
          <w:b w:val="0"/>
          <w:sz w:val="24"/>
        </w:rPr>
        <w:t xml:space="preserve"> Attori di Domini diversi, senza relazione fra loro, compirono azioni i cui effetti convergevano nel medesimo esito, ciascuno per ragioni proprie. È l’applicazione al caso dell’arco di convergenza. Condizioni di falsificazione: la dimostrazione che gli effetti non convergevano, oppure la dimostrazione che vi fu invece coordinamento — nel qual caso l’ipotesi collassa nella seconda. Stato attuale: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l’avvertenza che questa ipotesi ha il difetto di essere compatibile con quasi ogni evidenza, e va perciò maneggiata con particolare diffidenza.</w:t>
      </w:r>
    </w:p>
    <w:p>
      <w:pPr>
        <w:spacing w:line="276" w:lineRule="auto" w:after="60" w:before="0"/>
        <w:ind w:firstLine="425"/>
        <w:jc w:val="both"/>
      </w:pPr>
      <w:r>
        <w:rPr>
          <w:rFonts w:ascii="Times New Roman" w:hAnsi="Times New Roman" w:cs="Times New Roman" w:eastAsia="Times New Roman"/>
          <w:b/>
          <w:sz w:val="24"/>
        </w:rPr>
        <w:t>Ipotesi quinta, del primato endogeno.</w:t>
      </w:r>
      <w:r>
        <w:rPr>
          <w:rFonts w:ascii="Times New Roman" w:hAnsi="Times New Roman" w:cs="Times New Roman" w:eastAsia="Times New Roman"/>
          <w:b w:val="0"/>
          <w:sz w:val="24"/>
        </w:rPr>
        <w:t xml:space="preserve"> Tanto il sequestro quanto la sua gestione si spiegano integralmente con le dinamiche interne al sistema politico italiano: la scelta della fermezza fu decisione politica autonoma, motivata da ragioni di sistema, e non richiede fattori esterni per essere compresa. Condizioni di falsificazione: la documentazione di pressioni esterne determinanti sulla decisione. Stato attuale: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sufficienza della spiegazione politica interna, che gli atti parlamentari e la documentazione coeva sostengono.</w:t>
      </w:r>
    </w:p>
    <w:p>
      <w:pPr>
        <w:spacing w:line="276" w:lineRule="auto" w:after="60" w:before="0"/>
        <w:ind w:firstLine="425"/>
        <w:jc w:val="both"/>
      </w:pPr>
      <w:r>
        <w:rPr>
          <w:rFonts w:ascii="Times New Roman" w:hAnsi="Times New Roman" w:cs="Times New Roman" w:eastAsia="Times New Roman"/>
          <w:b w:val="0"/>
          <w:sz w:val="24"/>
        </w:rPr>
        <w:t xml:space="preserve">Applicando la griglia dei quattro test diagnostici, il quadro è il seguente. Il test del filo di paglia, né necessario né sufficiente, è superato da tutte e cinque le ipotesi, che sono tutte compatibili con l’esistenza di anomalie. Il test del cerchio, condizione necessaria, è superato dalla prima, dalla terza e dalla quinta; la seconda lo supera soltanto per singoli segmenti e non nel suo enunciato generale. Il test della pistola fumante, condizione sufficiente, non è superato da alcuna ipotesi ulteriore rispetto alla prima: non esiste, nel corpus, l’atto che chiuderebbe la questione. Il test doppiamente decisivo non è raggiunto da alcuna. </w:t>
      </w:r>
      <w:r>
        <w:rPr>
          <w:rFonts w:ascii="Times New Roman" w:hAnsi="Times New Roman" w:cs="Times New Roman" w:eastAsia="Times New Roman"/>
          <w:b/>
          <w:sz w:val="24"/>
        </w:rPr>
        <w:t>Conclusione provvisoria</w:t>
      </w:r>
      <w:r>
        <w:rPr>
          <w:rFonts w:ascii="Times New Roman" w:hAnsi="Times New Roman" w:cs="Times New Roman" w:eastAsia="Times New Roman"/>
          <w:b w:val="0"/>
          <w:sz w:val="24"/>
        </w:rPr>
        <w:t xml:space="preserve">: l’ipotesi prima resta la meno contraddetta e conserva il primato; le ipotesi terza e quinta sono con essa compatibili e ne costituiscono integrazioni plausibili su segmenti determinati; le ipotesi seconda e quarta restano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non possono essere né affermate né escluse. Che cosa muterebbe questa conclusione: l’acquisizione di documentazione coeva d’archivio, italiana o straniera, attestante direttive o raccordi; la conversione e la lettura del blocco stenografico non ancora accessibile; l’esito dell’analisi filologica sul corpus autografo secondo il quindicesimo Pattern.</w:t>
      </w:r>
    </w:p>
    <w:p>
      <w:pPr>
        <w:spacing w:line="276" w:lineRule="auto" w:after="80" w:before="200"/>
        <w:ind w:firstLine="0"/>
        <w:jc w:val="both"/>
      </w:pPr>
      <w:r>
        <w:rPr>
          <w:rFonts w:ascii="Times New Roman" w:hAnsi="Times New Roman" w:cs="Times New Roman" w:eastAsia="Times New Roman"/>
          <w:b/>
          <w:sz w:val="24"/>
        </w:rPr>
        <w:t>PARTE NONA — REGISTRO DELLE LACUNE DICHIARATE</w:t>
      </w:r>
    </w:p>
    <w:p>
      <w:pPr>
        <w:spacing w:line="276" w:lineRule="auto" w:after="60" w:before="0"/>
        <w:ind w:firstLine="425"/>
        <w:jc w:val="both"/>
      </w:pPr>
      <w:r>
        <w:rPr>
          <w:rFonts w:ascii="Times New Roman" w:hAnsi="Times New Roman" w:cs="Times New Roman" w:eastAsia="Times New Roman"/>
          <w:b w:val="0"/>
          <w:sz w:val="24"/>
        </w:rPr>
        <w:t>Il Registro dichiara formalmente le proprie lacune e non le silenzia, poiché una lacuna taciuta si trasforma, nel tempo, in affermazione implicita.</w:t>
      </w:r>
    </w:p>
    <w:p>
      <w:pPr>
        <w:spacing w:line="276" w:lineRule="auto" w:after="60" w:before="0"/>
        <w:ind w:firstLine="425"/>
        <w:jc w:val="both"/>
      </w:pPr>
      <w:r>
        <w:rPr>
          <w:rFonts w:ascii="Times New Roman" w:hAnsi="Times New Roman" w:cs="Times New Roman" w:eastAsia="Times New Roman"/>
          <w:b/>
          <w:sz w:val="24"/>
        </w:rPr>
        <w:t>Prima lacuna, stenografica e operativa.</w:t>
      </w:r>
      <w:r>
        <w:rPr>
          <w:rFonts w:ascii="Times New Roman" w:hAnsi="Times New Roman" w:cs="Times New Roman" w:eastAsia="Times New Roman"/>
          <w:b w:val="0"/>
          <w:sz w:val="24"/>
        </w:rPr>
        <w:t xml:space="preserve"> Diciotto blocchi di materiale scansionato, per oltre mille immagini, contenenti resoconti di sedute e documentazione fotografica, non sono leggibili in forma testuale. È la lacuna a priorità assoluta.</w:t>
      </w:r>
    </w:p>
    <w:p>
      <w:pPr>
        <w:spacing w:line="276" w:lineRule="auto" w:after="60" w:before="0"/>
        <w:ind w:firstLine="425"/>
        <w:jc w:val="both"/>
      </w:pPr>
      <w:r>
        <w:rPr>
          <w:rFonts w:ascii="Times New Roman" w:hAnsi="Times New Roman" w:cs="Times New Roman" w:eastAsia="Times New Roman"/>
          <w:b/>
          <w:sz w:val="24"/>
        </w:rPr>
        <w:t>Seconda lacuna, archivistica estera.</w:t>
      </w:r>
      <w:r>
        <w:rPr>
          <w:rFonts w:ascii="Times New Roman" w:hAnsi="Times New Roman" w:cs="Times New Roman" w:eastAsia="Times New Roman"/>
          <w:b w:val="0"/>
          <w:sz w:val="24"/>
        </w:rPr>
        <w:t xml:space="preserve"> Non è presente nel corpus alcun documento proveniente da archivi stranieri relativo alla gestione della crisi, né alcun riscontro documentale delle dichiarazioni rese a distanza di decenni da soggetti che vi ebbero parte. La lacuna è dichiarata con la precisazione che essa impedisce, allo stato, tanto la conferma quanto la smentita di un’intera famiglia di asserzioni.</w:t>
      </w:r>
    </w:p>
    <w:p>
      <w:pPr>
        <w:spacing w:line="276" w:lineRule="auto" w:after="60" w:before="0"/>
        <w:ind w:firstLine="425"/>
        <w:jc w:val="both"/>
      </w:pPr>
      <w:r>
        <w:rPr>
          <w:rFonts w:ascii="Times New Roman" w:hAnsi="Times New Roman" w:cs="Times New Roman" w:eastAsia="Times New Roman"/>
          <w:b/>
          <w:sz w:val="24"/>
        </w:rPr>
        <w:t>Terza lacuna, del documento informativo straniero.</w:t>
      </w:r>
      <w:r>
        <w:rPr>
          <w:rFonts w:ascii="Times New Roman" w:hAnsi="Times New Roman" w:cs="Times New Roman" w:eastAsia="Times New Roman"/>
          <w:b w:val="0"/>
          <w:sz w:val="24"/>
        </w:rPr>
        <w:t xml:space="preserve"> Il documento di servizio informativo estero del quale il corpus riferisce la visione da parte di magistrati italiani non è presente né in originale né in copia, e la sua assenza dagli archivi nazionali è essa stessa asserzione da verificare.</w:t>
      </w:r>
    </w:p>
    <w:p>
      <w:pPr>
        <w:spacing w:line="276" w:lineRule="auto" w:after="60" w:before="0"/>
        <w:ind w:firstLine="425"/>
        <w:jc w:val="both"/>
      </w:pPr>
      <w:r>
        <w:rPr>
          <w:rFonts w:ascii="Times New Roman" w:hAnsi="Times New Roman" w:cs="Times New Roman" w:eastAsia="Times New Roman"/>
          <w:b/>
          <w:sz w:val="24"/>
        </w:rPr>
        <w:t>Quarta lacuna, filologica.</w:t>
      </w:r>
      <w:r>
        <w:rPr>
          <w:rFonts w:ascii="Times New Roman" w:hAnsi="Times New Roman" w:cs="Times New Roman" w:eastAsia="Times New Roman"/>
          <w:b w:val="0"/>
          <w:sz w:val="24"/>
        </w:rPr>
        <w:t xml:space="preserve"> L’analisi comparativa sistematica fra gli autografi della prigionia e la produzione anteriore, resa possibile dalla presenza del corpus integrale nel sottocorpus, non è stata ancora condotta. Essa costituisce il compito proprio del quindicesimo Pattern ed è la linea di ricerca originale di questo Registro.</w:t>
      </w:r>
    </w:p>
    <w:p>
      <w:pPr>
        <w:spacing w:line="276" w:lineRule="auto" w:after="60" w:before="0"/>
        <w:ind w:firstLine="425"/>
        <w:jc w:val="both"/>
      </w:pPr>
      <w:r>
        <w:rPr>
          <w:rFonts w:ascii="Times New Roman" w:hAnsi="Times New Roman" w:cs="Times New Roman" w:eastAsia="Times New Roman"/>
          <w:b/>
          <w:sz w:val="24"/>
        </w:rPr>
        <w:t>Quinta lacuna, giudiziaria.</w:t>
      </w:r>
      <w:r>
        <w:rPr>
          <w:rFonts w:ascii="Times New Roman" w:hAnsi="Times New Roman" w:cs="Times New Roman" w:eastAsia="Times New Roman"/>
          <w:b w:val="0"/>
          <w:sz w:val="24"/>
        </w:rPr>
        <w:t xml:space="preserve"> Il corpus contiene le sentenze dei procedimenti collaterali ma non le sentenze dei cinque processi celebrati sul sequestro. La loro acquisizione è condizione per elevare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numerose asserzioni oggi classificate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e per verificare la corretta attribuzione dei livelli già assegnati.</w:t>
      </w:r>
    </w:p>
    <w:p>
      <w:pPr>
        <w:spacing w:line="276" w:lineRule="auto" w:after="80" w:before="200"/>
        <w:ind w:firstLine="0"/>
        <w:jc w:val="both"/>
      </w:pPr>
      <w:r>
        <w:rPr>
          <w:rFonts w:ascii="Times New Roman" w:hAnsi="Times New Roman" w:cs="Times New Roman" w:eastAsia="Times New Roman"/>
          <w:b/>
          <w:sz w:val="24"/>
        </w:rPr>
        <w:t>PARTE DECIMA — CAMERA ISTRUTTORIA</w:t>
      </w:r>
    </w:p>
    <w:p>
      <w:pPr>
        <w:spacing w:line="276" w:lineRule="auto" w:after="60" w:before="0"/>
        <w:ind w:firstLine="425"/>
        <w:jc w:val="both"/>
      </w:pPr>
      <w:r>
        <w:rPr>
          <w:rFonts w:ascii="Times New Roman" w:hAnsi="Times New Roman" w:cs="Times New Roman" w:eastAsia="Times New Roman"/>
          <w:b w:val="0"/>
          <w:sz w:val="24"/>
        </w:rPr>
        <w:t xml:space="preserve">La Camera Istruttoria è l’organo interno del Registro che sottopone al test del documento ogni segnalazione proveniente dal calcolo. Essa opera secondo tre regole. La prima: ogni segnalazione computazionale entra come ipotesi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 non come constatazione. La seconda: il test di prossimità — la ricerca, nelle sole fonti primarie, di una finestra testuale che contenga entrambi i termini — è il primo filtro obbligatorio, con l’espressa avvertenza che esso produce falsi negativi, poiché connessioni reali possono essere espresse a distanza o con lessico non coincidente; il suo fallimento non chiude l’istruttoria ma la rinvia alla lettura di pagina, che è l’unico atto dirimente. La terza: l’espunzione di una segnalazione errata ha la medesima solennità della scoperta, ed è iscritta a registro.</w:t>
      </w:r>
    </w:p>
    <w:p>
      <w:pPr>
        <w:spacing w:line="276" w:lineRule="auto" w:after="60" w:before="0"/>
        <w:ind w:firstLine="425"/>
        <w:jc w:val="both"/>
      </w:pPr>
      <w:r>
        <w:rPr>
          <w:rFonts w:ascii="Times New Roman" w:hAnsi="Times New Roman" w:cs="Times New Roman" w:eastAsia="Times New Roman"/>
          <w:b w:val="0"/>
          <w:sz w:val="24"/>
        </w:rPr>
        <w:t>L’estrazione condotta sul sottocorpus ha prodotto novantanove nodi attivi su centodue del lessico e un insieme di coppie inter-dominio candidate. Sottoposte al test di prossimità, ventiquattro delle venticinque coppie di controllo hanno trovato riscontro documentale diretto e sono state promosse a istruttoria di pagina, con gli esiti riferiti nella Parte quinta. Una sola coppia — quella fra un esponente della criminalità romana e il luogo indicato dal comunicato apocrifo — ha fallito il test pur essendo la connessione fra i due elementi tematizzata nel corpus per il tramite di un terzo nodo: è il caso tipico della connessione reale espressa a distanza, e come tale è rinviata alla lettura e non espunta.</w:t>
      </w:r>
    </w:p>
    <w:p>
      <w:pPr>
        <w:spacing w:line="276" w:lineRule="auto" w:after="60" w:before="0"/>
        <w:ind w:firstLine="425"/>
        <w:jc w:val="both"/>
      </w:pPr>
      <w:r>
        <w:rPr>
          <w:rFonts w:ascii="Times New Roman" w:hAnsi="Times New Roman" w:cs="Times New Roman" w:eastAsia="Times New Roman"/>
          <w:b w:val="0"/>
          <w:sz w:val="24"/>
        </w:rPr>
        <w:t xml:space="preserve">Restano assegnate alla Camera, per le sessioni successive, le seguenti istruttorie. Prima: la verifica di pagina sulle coppie che associano il comitato di crisi ai nodi della mediazione religiosa, la cui prossimità non è accertata e la cui co-occorrenza potrebbe essere effetto della mole dei documenti. Seconda: l’istruttoria sulla coincidenza del diciotto aprile, che richiede la lettura del materiale stenografico. Terza: l’istruttoria filologica sul corpus autografo. Quarta: la verifica delle asserzioni fondate unicamente sulla monografia tesistica, ciascuna delle quali va risalita alla fonte primaria o mantenuta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val="0"/>
          <w:sz w:val="24"/>
        </w:rPr>
        <w:t xml:space="preserve">Il Registro conclude questa prima edizione con la constatazione che il metodo ha prodotto, sul caso Moro, un esito che nessuna delle narrazioni consolidate troverà soddisfacente, e che è precisamente per questo affidabile: il nucleo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ristretto e solidissimo, la fascia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è ampia e articolata, e la maggior parte delle asserzioni che circolano come verità acquisite si colloca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Questo non significa che siano false; significa che non sono, allo stato del corpus, dimostrate — ed è compito del Registro, nelle edizioni successive, dimostrarle o confutarle, non ripeterle.</w:t>
      </w:r>
    </w:p>
    <w:p>
      <w:pPr>
        <w:spacing w:line="276" w:lineRule="auto" w:after="80" w:before="200"/>
        <w:ind w:firstLine="0"/>
        <w:jc w:val="both"/>
      </w:pPr>
      <w:r>
        <w:rPr>
          <w:rFonts w:ascii="Times New Roman" w:hAnsi="Times New Roman" w:cs="Times New Roman" w:eastAsia="Times New Roman"/>
          <w:b/>
          <w:sz w:val="24"/>
        </w:rPr>
        <w:t>Colophon</w:t>
      </w:r>
    </w:p>
    <w:p>
      <w:pPr>
        <w:spacing w:line="276" w:lineRule="auto" w:after="60" w:before="0"/>
        <w:ind w:firstLine="425"/>
        <w:jc w:val="both"/>
      </w:pPr>
      <w:r>
        <w:rPr>
          <w:rFonts w:ascii="Times New Roman" w:hAnsi="Times New Roman" w:cs="Times New Roman" w:eastAsia="Times New Roman"/>
          <w:b w:val="0"/>
          <w:sz w:val="24"/>
        </w:rPr>
        <w:t>REGISTRO ANALITICO DEL CASO MORO, edizione prima, integrale,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con il quale condivide metodologia e architettura e dal quale non dipende per la lettura. Ogni edizione successiva del presente Registro conterrà verbatim la presente, secondo il principio di cumulatività preservativa.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UNDICESIMA — IL PRIMO ANELLO DI PROSSIMITÀ</w:t>
      </w:r>
    </w:p>
    <w:p>
      <w:pPr>
        <w:spacing w:line="276" w:lineRule="auto" w:after="80" w:before="200"/>
        <w:ind w:firstLine="0"/>
        <w:jc w:val="both"/>
      </w:pPr>
      <w:r>
        <w:rPr>
          <w:rFonts w:ascii="Times New Roman" w:hAnsi="Times New Roman" w:cs="Times New Roman" w:eastAsia="Times New Roman"/>
          <w:b/>
          <w:sz w:val="24"/>
        </w:rPr>
        <w:t>Metodo dell’estrazione e statuto delle voci</w:t>
      </w:r>
    </w:p>
    <w:p>
      <w:pPr>
        <w:spacing w:line="276" w:lineRule="auto" w:after="60" w:before="0"/>
        <w:ind w:firstLine="425"/>
        <w:jc w:val="both"/>
      </w:pPr>
      <w:r>
        <w:rPr>
          <w:rFonts w:ascii="Times New Roman" w:hAnsi="Times New Roman" w:cs="Times New Roman" w:eastAsia="Times New Roman"/>
          <w:b w:val="0"/>
          <w:sz w:val="24"/>
        </w:rPr>
        <w:t>Il Primo Anello è l’insieme dei nodi che, nelle fonti del sottocorpus, compaiono entro una finestra testuale di quattrocento caratteri da un nodo del caso. La misura è meccanica e ripetibile: per ciascuno dei trentacinque nodi-seme si sono raccolte tutte le finestre della loro ricorrenza nelle sessantatré fonti leggibili di maggiore consistenza, e in ciascuna finestra si sono rilevate le entità nominali presenti, con esclusione delle forme grammaticali comuni. Sono ammesse al Registro soltanto le entità che ricorrono almeno tre volte e in almeno due fonti distinte, sicché la soglia esclude le contiguità occasionali di una singola pagina.</w:t>
      </w:r>
    </w:p>
    <w:p>
      <w:pPr>
        <w:spacing w:line="276" w:lineRule="auto" w:after="60" w:before="0"/>
        <w:ind w:firstLine="425"/>
        <w:jc w:val="both"/>
      </w:pPr>
      <w:r>
        <w:rPr>
          <w:rFonts w:ascii="Times New Roman" w:hAnsi="Times New Roman" w:cs="Times New Roman" w:eastAsia="Times New Roman"/>
          <w:b w:val="0"/>
          <w:sz w:val="24"/>
        </w:rPr>
        <w:t xml:space="preserve">Il valore della misura e insieme il suo limite vanno enunciati con precisione. La prossimità testuale è </w:t>
      </w:r>
      <w:r>
        <w:rPr>
          <w:rFonts w:ascii="Times New Roman" w:hAnsi="Times New Roman" w:cs="Times New Roman" w:eastAsia="Times New Roman"/>
          <w:b/>
          <w:sz w:val="24"/>
        </w:rPr>
        <w:t>indizio di tematizzazione congiunta</w:t>
      </w:r>
      <w:r>
        <w:rPr>
          <w:rFonts w:ascii="Times New Roman" w:hAnsi="Times New Roman" w:cs="Times New Roman" w:eastAsia="Times New Roman"/>
          <w:b w:val="0"/>
          <w:sz w:val="24"/>
        </w:rPr>
        <w:t xml:space="preserve">: essa dice che almeno due fonti hanno trattato i due elementi nel medesimo respiro argomentativo. Non dice perché lo abbiano fatto. Un nome può essere prossimo a un altro perché i due furono realmente in relazione, oppure perché una fonte li accostò per confutare la relazione, oppure perché entrambi ricorrono in un elenco, oppure per contiguità puramente redazionale — una nota a piè di pagina che cade fra due periodi estranei. Il test di prossimità produce inoltre falsi negativi, poiché connessioni reali possono essere espresse a distanza o con lessico non coincidente. Ne discende che ogni voce del Primo Anello è </w:t>
      </w:r>
      <w:r>
        <w:rPr>
          <w:rFonts w:ascii="Times New Roman" w:hAnsi="Times New Roman" w:cs="Times New Roman" w:eastAsia="Times New Roman"/>
          <w:b/>
          <w:sz w:val="24"/>
        </w:rPr>
        <w:t>generatrice di ipotesi e non certificatrice di legami</w:t>
      </w:r>
      <w:r>
        <w:rPr>
          <w:rFonts w:ascii="Times New Roman" w:hAnsi="Times New Roman" w:cs="Times New Roman" w:eastAsia="Times New Roman"/>
          <w:b w:val="0"/>
          <w:sz w:val="24"/>
        </w:rPr>
        <w:t>, e che soltanto la lettura di pagina può promuoverla. Le voci che tale lettura ha già ricevuto sono segnalate; le altre restano cronaca.</w:t>
      </w:r>
    </w:p>
    <w:p>
      <w:pPr>
        <w:spacing w:line="276" w:lineRule="auto" w:after="80" w:before="200"/>
        <w:ind w:firstLine="0"/>
        <w:jc w:val="both"/>
      </w:pPr>
      <w:r>
        <w:rPr>
          <w:rFonts w:ascii="Times New Roman" w:hAnsi="Times New Roman" w:cs="Times New Roman" w:eastAsia="Times New Roman"/>
          <w:b/>
          <w:sz w:val="24"/>
        </w:rPr>
        <w:t>Anello del nodo centrale</w:t>
      </w:r>
    </w:p>
    <w:p>
      <w:pPr>
        <w:spacing w:line="276" w:lineRule="auto" w:after="60" w:before="0"/>
        <w:ind w:firstLine="425"/>
        <w:jc w:val="both"/>
      </w:pPr>
      <w:r>
        <w:rPr>
          <w:rFonts w:ascii="Times New Roman" w:hAnsi="Times New Roman" w:cs="Times New Roman" w:eastAsia="Times New Roman"/>
          <w:b w:val="0"/>
          <w:sz w:val="24"/>
        </w:rPr>
        <w:t xml:space="preserve">Attorno al nome di </w:t>
      </w:r>
      <w:r>
        <w:rPr>
          <w:rFonts w:ascii="Times New Roman" w:hAnsi="Times New Roman" w:cs="Times New Roman" w:eastAsia="Times New Roman"/>
          <w:b/>
          <w:sz w:val="24"/>
        </w:rPr>
        <w:t>Aldo Moro</w:t>
      </w:r>
      <w:r>
        <w:rPr>
          <w:rFonts w:ascii="Times New Roman" w:hAnsi="Times New Roman" w:cs="Times New Roman" w:eastAsia="Times New Roman"/>
          <w:b w:val="0"/>
          <w:sz w:val="24"/>
        </w:rPr>
        <w:t xml:space="preserve"> il primo anello raccoglie, in ordine di dispersione fra le fonti, l’Italia come contesto ricorrente, Milano, le Brigate Rosse, il nome di Andreotti, il Ministero dell’interno, il Consiglio, via Gradoli, l’Europa, il Parlamento e la denominazione dell’arma da fuoco impiegata nell’omicidio. La composizione dell’anello è, in sé, un dato: il nodo centrale è prossimo tanto alle istituzioni quanto agli esecutori, e la ricorrenza di Milano — città estranea alla dinamica romana del sequestro — si spiega con il ritrovamento degli scritti della prigionia in quella città, circostanza che il Registro ha già iscritto al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val="0"/>
          <w:sz w:val="24"/>
        </w:rPr>
        <w:t xml:space="preserve">Attorno a </w:t>
      </w:r>
      <w:r>
        <w:rPr>
          <w:rFonts w:ascii="Times New Roman" w:hAnsi="Times New Roman" w:cs="Times New Roman" w:eastAsia="Times New Roman"/>
          <w:b/>
          <w:sz w:val="24"/>
        </w:rPr>
        <w:t>via Fani</w:t>
      </w:r>
      <w:r>
        <w:rPr>
          <w:rFonts w:ascii="Times New Roman" w:hAnsi="Times New Roman" w:cs="Times New Roman" w:eastAsia="Times New Roman"/>
          <w:b w:val="0"/>
          <w:sz w:val="24"/>
        </w:rPr>
        <w:t xml:space="preserve"> il primo anello raccoglie il nome della vittima, le Brigate Rosse, la Polizia, la Questura di Roma, i Servizi, il Ministero e i nomi di Moretti e di via Gradoli. Attorno alle </w:t>
      </w:r>
      <w:r>
        <w:rPr>
          <w:rFonts w:ascii="Times New Roman" w:hAnsi="Times New Roman" w:cs="Times New Roman" w:eastAsia="Times New Roman"/>
          <w:b/>
          <w:sz w:val="24"/>
        </w:rPr>
        <w:t>Brigate Rosse</w:t>
      </w:r>
      <w:r>
        <w:rPr>
          <w:rFonts w:ascii="Times New Roman" w:hAnsi="Times New Roman" w:cs="Times New Roman" w:eastAsia="Times New Roman"/>
          <w:b w:val="0"/>
          <w:sz w:val="24"/>
        </w:rPr>
        <w:t xml:space="preserve"> l’anello si allarga alle sedi delle colonne — Milano, Torino, Firenze, Genova — e include i nomi di Franceschini, dei Carabinieri e di Feltrinelli, quest’ultimo per la trattazione delle origini dell’organizzazione e non per la vicenda Moro.</w:t>
      </w:r>
    </w:p>
    <w:p>
      <w:pPr>
        <w:spacing w:line="276" w:lineRule="auto" w:after="80" w:before="200"/>
        <w:ind w:firstLine="0"/>
        <w:jc w:val="both"/>
      </w:pPr>
      <w:r>
        <w:rPr>
          <w:rFonts w:ascii="Times New Roman" w:hAnsi="Times New Roman" w:cs="Times New Roman" w:eastAsia="Times New Roman"/>
          <w:b/>
          <w:sz w:val="24"/>
        </w:rPr>
        <w:t>Anello degli esecutori e il nucleo di via Gradoli</w:t>
      </w:r>
    </w:p>
    <w:p>
      <w:pPr>
        <w:spacing w:line="276" w:lineRule="auto" w:after="60" w:before="0"/>
        <w:ind w:firstLine="425"/>
        <w:jc w:val="both"/>
      </w:pPr>
      <w:r>
        <w:rPr>
          <w:rFonts w:ascii="Times New Roman" w:hAnsi="Times New Roman" w:cs="Times New Roman" w:eastAsia="Times New Roman"/>
          <w:b w:val="0"/>
          <w:sz w:val="24"/>
        </w:rPr>
        <w:t xml:space="preserve">L’anello di </w:t>
      </w:r>
      <w:r>
        <w:rPr>
          <w:rFonts w:ascii="Times New Roman" w:hAnsi="Times New Roman" w:cs="Times New Roman" w:eastAsia="Times New Roman"/>
          <w:b/>
          <w:sz w:val="24"/>
        </w:rPr>
        <w:t>Mario Moretti</w:t>
      </w:r>
      <w:r>
        <w:rPr>
          <w:rFonts w:ascii="Times New Roman" w:hAnsi="Times New Roman" w:cs="Times New Roman" w:eastAsia="Times New Roman"/>
          <w:b w:val="0"/>
          <w:sz w:val="24"/>
        </w:rPr>
        <w:t xml:space="preserve"> comprende Curcio, Morucci, Gallinari, via Gradoli, via Montalcini e Franceschini. L’anello di </w:t>
      </w:r>
      <w:r>
        <w:rPr>
          <w:rFonts w:ascii="Times New Roman" w:hAnsi="Times New Roman" w:cs="Times New Roman" w:eastAsia="Times New Roman"/>
          <w:b/>
          <w:sz w:val="24"/>
        </w:rPr>
        <w:t>Valerio Morucci</w:t>
      </w:r>
      <w:r>
        <w:rPr>
          <w:rFonts w:ascii="Times New Roman" w:hAnsi="Times New Roman" w:cs="Times New Roman" w:eastAsia="Times New Roman"/>
          <w:b w:val="0"/>
          <w:sz w:val="24"/>
        </w:rPr>
        <w:t xml:space="preserve"> e quello di </w:t>
      </w:r>
      <w:r>
        <w:rPr>
          <w:rFonts w:ascii="Times New Roman" w:hAnsi="Times New Roman" w:cs="Times New Roman" w:eastAsia="Times New Roman"/>
          <w:b/>
          <w:sz w:val="24"/>
        </w:rPr>
        <w:t>Adriana Faranda</w:t>
      </w:r>
      <w:r>
        <w:rPr>
          <w:rFonts w:ascii="Times New Roman" w:hAnsi="Times New Roman" w:cs="Times New Roman" w:eastAsia="Times New Roman"/>
          <w:b w:val="0"/>
          <w:sz w:val="24"/>
        </w:rPr>
        <w:t xml:space="preserve"> condividono un medesimo nucleo di grande interesse: entrambi hanno come vicino di primo grado, con la più alta dispersione fra le fonti, il nome di </w:t>
      </w:r>
      <w:r>
        <w:rPr>
          <w:rFonts w:ascii="Times New Roman" w:hAnsi="Times New Roman" w:cs="Times New Roman" w:eastAsia="Times New Roman"/>
          <w:b/>
          <w:sz w:val="24"/>
        </w:rPr>
        <w:t>Giuliana Conforto</w:t>
      </w:r>
      <w:r>
        <w:rPr>
          <w:rFonts w:ascii="Times New Roman" w:hAnsi="Times New Roman" w:cs="Times New Roman" w:eastAsia="Times New Roman"/>
          <w:b w:val="0"/>
          <w:sz w:val="24"/>
        </w:rPr>
        <w:t xml:space="preserve">, insieme a viale Giulio Cesare, a Potere Operaio, all’area dell’autonomia e al nome di Piperno. Questa ricorrenza non è un artefatto: la lettura di pagina accerta che Morucci e Faranda furono arrestati il ventinove maggio millenovecentosettantanove nell’appartamento di viale Giulio Cesare intestato a Giuliana Conforto, e che in quell’appartamento fu rinvenuta la mitraglietta con la quale Aldo Moro era stato ucciso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medesimo anello reca il nome di </w:t>
      </w:r>
      <w:r>
        <w:rPr>
          <w:rFonts w:ascii="Times New Roman" w:hAnsi="Times New Roman" w:cs="Times New Roman" w:eastAsia="Times New Roman"/>
          <w:b/>
          <w:sz w:val="24"/>
        </w:rPr>
        <w:t>Giorgio Conforto</w:t>
      </w:r>
      <w:r>
        <w:rPr>
          <w:rFonts w:ascii="Times New Roman" w:hAnsi="Times New Roman" w:cs="Times New Roman" w:eastAsia="Times New Roman"/>
          <w:b w:val="0"/>
          <w:sz w:val="24"/>
        </w:rPr>
        <w:t xml:space="preserve">, padre della locataria, la cui qualità di soggetto con lungo passato di collaborazione con servizi informativi è riferita nelle fonti; il Registro classifica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circostanza della relazione familiare e dell’ospitalità, 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inferenza che da essa tragga un ruolo operativo nella vicenda, ivi comprese le valutazioni rese in sede parlamentare da singoli componenti, che sono opinioni di commissari e non accertamenti della Commissione.</w:t>
      </w:r>
    </w:p>
    <w:p>
      <w:pPr>
        <w:spacing w:line="276" w:lineRule="auto" w:after="60" w:before="0"/>
        <w:ind w:firstLine="425"/>
        <w:jc w:val="both"/>
      </w:pPr>
      <w:r>
        <w:rPr>
          <w:rFonts w:ascii="Times New Roman" w:hAnsi="Times New Roman" w:cs="Times New Roman" w:eastAsia="Times New Roman"/>
          <w:b w:val="0"/>
          <w:sz w:val="24"/>
        </w:rPr>
        <w:t xml:space="preserve">L’anello di </w:t>
      </w:r>
      <w:r>
        <w:rPr>
          <w:rFonts w:ascii="Times New Roman" w:hAnsi="Times New Roman" w:cs="Times New Roman" w:eastAsia="Times New Roman"/>
          <w:b/>
          <w:sz w:val="24"/>
        </w:rPr>
        <w:t>via Gradoli</w:t>
      </w:r>
      <w:r>
        <w:rPr>
          <w:rFonts w:ascii="Times New Roman" w:hAnsi="Times New Roman" w:cs="Times New Roman" w:eastAsia="Times New Roman"/>
          <w:b w:val="0"/>
          <w:sz w:val="24"/>
        </w:rPr>
        <w:t xml:space="preserve"> reca, accanto ai nomi già detti, quello di </w:t>
      </w:r>
      <w:r>
        <w:rPr>
          <w:rFonts w:ascii="Times New Roman" w:hAnsi="Times New Roman" w:cs="Times New Roman" w:eastAsia="Times New Roman"/>
          <w:b/>
          <w:sz w:val="24"/>
        </w:rPr>
        <w:t>Luciana Bozzi</w:t>
      </w:r>
      <w:r>
        <w:rPr>
          <w:rFonts w:ascii="Times New Roman" w:hAnsi="Times New Roman" w:cs="Times New Roman" w:eastAsia="Times New Roman"/>
          <w:b w:val="0"/>
          <w:sz w:val="24"/>
        </w:rPr>
        <w:t xml:space="preserve">, titolare dell’appartamento. La lettura di pagina accerta che una segnalazione della Questura di Genova a quella di Roma del ventinove giugno millenovecentosettantanove riferì il rapporto di conoscenza fra la titolare dell’appartamento di via Gradoli e la locataria di viale Giulio Cesare, maturato in ambito di ricerca scientifica presso un medesimo centro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trattandosi di atto di polizia riferito in fonte secondaria e non ancora acquisito in originale. Il Registro registra la circostanza e si astiene dall’inferenza: che due appartamenti connessi alla vicenda facessero capo a persone che si conoscevano è dato notevole e da verificare, non conclusione.</w:t>
      </w:r>
    </w:p>
    <w:p>
      <w:pPr>
        <w:spacing w:line="276" w:lineRule="auto" w:after="60" w:before="0"/>
        <w:ind w:firstLine="425"/>
        <w:jc w:val="both"/>
      </w:pPr>
      <w:r>
        <w:rPr>
          <w:rFonts w:ascii="Times New Roman" w:hAnsi="Times New Roman" w:cs="Times New Roman" w:eastAsia="Times New Roman"/>
          <w:b w:val="0"/>
          <w:sz w:val="24"/>
        </w:rPr>
        <w:t xml:space="preserve">L’anello di </w:t>
      </w:r>
      <w:r>
        <w:rPr>
          <w:rFonts w:ascii="Times New Roman" w:hAnsi="Times New Roman" w:cs="Times New Roman" w:eastAsia="Times New Roman"/>
          <w:b/>
          <w:sz w:val="24"/>
        </w:rPr>
        <w:t>via Montalcini</w:t>
      </w:r>
      <w:r>
        <w:rPr>
          <w:rFonts w:ascii="Times New Roman" w:hAnsi="Times New Roman" w:cs="Times New Roman" w:eastAsia="Times New Roman"/>
          <w:b w:val="0"/>
          <w:sz w:val="24"/>
        </w:rPr>
        <w:t xml:space="preserve"> reca i nomi di Braghetti, di Moretti, della Magliana, dell’autovettura utilizzata, di via Caetani, di Monte Nevoso e di </w:t>
      </w:r>
      <w:r>
        <w:rPr>
          <w:rFonts w:ascii="Times New Roman" w:hAnsi="Times New Roman" w:cs="Times New Roman" w:eastAsia="Times New Roman"/>
          <w:b/>
          <w:sz w:val="24"/>
        </w:rPr>
        <w:t>Germano Maccari</w:t>
      </w:r>
      <w:r>
        <w:rPr>
          <w:rFonts w:ascii="Times New Roman" w:hAnsi="Times New Roman" w:cs="Times New Roman" w:eastAsia="Times New Roman"/>
          <w:b w:val="0"/>
          <w:sz w:val="24"/>
        </w:rPr>
        <w:t xml:space="preserve">, brigatista la cui presenza nell’appartamento fu accertata soltanto in epoca successiva alle prime ricostruzioni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sua partecipazione, e circostanza di rilievo metodologico primario, poiché dimostra che una ricostruzione lungamente ritenuta completa era incompleta su un punto non marginale.</w:t>
      </w:r>
    </w:p>
    <w:p>
      <w:pPr>
        <w:spacing w:line="276" w:lineRule="auto" w:after="80" w:before="200"/>
        <w:ind w:firstLine="0"/>
        <w:jc w:val="both"/>
      </w:pPr>
      <w:r>
        <w:rPr>
          <w:rFonts w:ascii="Times New Roman" w:hAnsi="Times New Roman" w:cs="Times New Roman" w:eastAsia="Times New Roman"/>
          <w:b/>
          <w:sz w:val="24"/>
        </w:rPr>
        <w:t>Anello dei luoghi terminali e la questione dell’appunto telefonico</w:t>
      </w:r>
    </w:p>
    <w:p>
      <w:pPr>
        <w:spacing w:line="276" w:lineRule="auto" w:after="60" w:before="0"/>
        <w:ind w:firstLine="425"/>
        <w:jc w:val="both"/>
      </w:pPr>
      <w:r>
        <w:rPr>
          <w:rFonts w:ascii="Times New Roman" w:hAnsi="Times New Roman" w:cs="Times New Roman" w:eastAsia="Times New Roman"/>
          <w:b w:val="0"/>
          <w:sz w:val="24"/>
        </w:rPr>
        <w:t xml:space="preserve">L’anello di </w:t>
      </w:r>
      <w:r>
        <w:rPr>
          <w:rFonts w:ascii="Times New Roman" w:hAnsi="Times New Roman" w:cs="Times New Roman" w:eastAsia="Times New Roman"/>
          <w:b/>
          <w:sz w:val="24"/>
        </w:rPr>
        <w:t>via Caetani</w:t>
      </w:r>
      <w:r>
        <w:rPr>
          <w:rFonts w:ascii="Times New Roman" w:hAnsi="Times New Roman" w:cs="Times New Roman" w:eastAsia="Times New Roman"/>
          <w:b w:val="0"/>
          <w:sz w:val="24"/>
        </w:rPr>
        <w:t xml:space="preserve"> reca, oltre ai nomi attesi, due voci che il lessico-seme non conteneva: </w:t>
      </w:r>
      <w:r>
        <w:rPr>
          <w:rFonts w:ascii="Times New Roman" w:hAnsi="Times New Roman" w:cs="Times New Roman" w:eastAsia="Times New Roman"/>
          <w:b/>
          <w:sz w:val="24"/>
        </w:rPr>
        <w:t>Palazzo Orsini</w:t>
      </w:r>
      <w:r>
        <w:rPr>
          <w:rFonts w:ascii="Times New Roman" w:hAnsi="Times New Roman" w:cs="Times New Roman" w:eastAsia="Times New Roman"/>
          <w:b w:val="0"/>
          <w:sz w:val="24"/>
        </w:rPr>
        <w:t xml:space="preserve"> e l’</w:t>
      </w:r>
      <w:r>
        <w:rPr>
          <w:rFonts w:ascii="Times New Roman" w:hAnsi="Times New Roman" w:cs="Times New Roman" w:eastAsia="Times New Roman"/>
          <w:b/>
          <w:sz w:val="24"/>
        </w:rPr>
        <w:t>Immobiliare Savellia</w:t>
      </w:r>
      <w:r>
        <w:rPr>
          <w:rFonts w:ascii="Times New Roman" w:hAnsi="Times New Roman" w:cs="Times New Roman" w:eastAsia="Times New Roman"/>
          <w:b w:val="0"/>
          <w:sz w:val="24"/>
        </w:rPr>
        <w:t xml:space="preserve">. La lettura di pagina accerta, su fonte parlamentare, che fra il materiale rinvenuto in via Gradoli il diciotto aprile millenovecentosettantotto figurava un appunto manoscritto recante un’utenza telefonica corrispondente a quella di una società immobiliare con sede in un palazzo storico non lontano dal luogo del ritrovamento del corpo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asserzione contenuta in elaborato di Commissione parlamentare. La medesima fonte formula, e il Registro riporta qualificandola, la supposizione che l’ultima detenzione possa essersi svolta in quel palazzo: si tratta, nel lessico della fonte stessa, di presupposizione, e resta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Il Registro osserva che l’appunto è dato documentale forte e la supposizione è inferenza debole, e che la loro contiguità nella medesima pagina non trasferisce la forza del primo alla seconda.</w:t>
      </w:r>
    </w:p>
    <w:p>
      <w:pPr>
        <w:spacing w:line="276" w:lineRule="auto" w:after="60" w:before="0"/>
        <w:ind w:firstLine="425"/>
        <w:jc w:val="both"/>
      </w:pPr>
      <w:r>
        <w:rPr>
          <w:rFonts w:ascii="Times New Roman" w:hAnsi="Times New Roman" w:cs="Times New Roman" w:eastAsia="Times New Roman"/>
          <w:b w:val="0"/>
          <w:sz w:val="24"/>
        </w:rPr>
        <w:t xml:space="preserve">L’anello del </w:t>
      </w:r>
      <w:r>
        <w:rPr>
          <w:rFonts w:ascii="Times New Roman" w:hAnsi="Times New Roman" w:cs="Times New Roman" w:eastAsia="Times New Roman"/>
          <w:b/>
          <w:sz w:val="24"/>
        </w:rPr>
        <w:t>lago della Duchessa</w:t>
      </w:r>
      <w:r>
        <w:rPr>
          <w:rFonts w:ascii="Times New Roman" w:hAnsi="Times New Roman" w:cs="Times New Roman" w:eastAsia="Times New Roman"/>
          <w:b w:val="0"/>
          <w:sz w:val="24"/>
        </w:rPr>
        <w:t xml:space="preserve"> e quello del </w:t>
      </w:r>
      <w:r>
        <w:rPr>
          <w:rFonts w:ascii="Times New Roman" w:hAnsi="Times New Roman" w:cs="Times New Roman" w:eastAsia="Times New Roman"/>
          <w:b/>
          <w:sz w:val="24"/>
        </w:rPr>
        <w:t>comunicato apocrifo</w:t>
      </w:r>
      <w:r>
        <w:rPr>
          <w:rFonts w:ascii="Times New Roman" w:hAnsi="Times New Roman" w:cs="Times New Roman" w:eastAsia="Times New Roman"/>
          <w:b w:val="0"/>
          <w:sz w:val="24"/>
        </w:rPr>
        <w:t xml:space="preserve"> convergono sul nome di </w:t>
      </w:r>
      <w:r>
        <w:rPr>
          <w:rFonts w:ascii="Times New Roman" w:hAnsi="Times New Roman" w:cs="Times New Roman" w:eastAsia="Times New Roman"/>
          <w:b/>
          <w:sz w:val="24"/>
        </w:rPr>
        <w:t>Antonio Chichiarelli</w:t>
      </w:r>
      <w:r>
        <w:rPr>
          <w:rFonts w:ascii="Times New Roman" w:hAnsi="Times New Roman" w:cs="Times New Roman" w:eastAsia="Times New Roman"/>
          <w:b w:val="0"/>
          <w:sz w:val="24"/>
        </w:rPr>
        <w:t xml:space="preserve">, falsario, cui la confezione del falso è attribuita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L’anello del </w:t>
      </w:r>
      <w:r>
        <w:rPr>
          <w:rFonts w:ascii="Times New Roman" w:hAnsi="Times New Roman" w:cs="Times New Roman" w:eastAsia="Times New Roman"/>
          <w:b/>
          <w:sz w:val="24"/>
        </w:rPr>
        <w:t>lago</w:t>
      </w:r>
      <w:r>
        <w:rPr>
          <w:rFonts w:ascii="Times New Roman" w:hAnsi="Times New Roman" w:cs="Times New Roman" w:eastAsia="Times New Roman"/>
          <w:b w:val="0"/>
          <w:sz w:val="24"/>
        </w:rPr>
        <w:t xml:space="preserve"> reca inoltre i nomi di esponenti della banda della Magliana, e quello della </w:t>
      </w:r>
      <w:r>
        <w:rPr>
          <w:rFonts w:ascii="Times New Roman" w:hAnsi="Times New Roman" w:cs="Times New Roman" w:eastAsia="Times New Roman"/>
          <w:b/>
          <w:sz w:val="24"/>
        </w:rPr>
        <w:t>seduta spiritica</w:t>
      </w:r>
      <w:r>
        <w:rPr>
          <w:rFonts w:ascii="Times New Roman" w:hAnsi="Times New Roman" w:cs="Times New Roman" w:eastAsia="Times New Roman"/>
          <w:b w:val="0"/>
          <w:sz w:val="24"/>
        </w:rPr>
        <w:t xml:space="preserve"> reca, con la più alta ricorrenza, il nome di via Gradoli, insieme alla località emiliana ove la riunione si tenne. La contiguità fra questi anelli e la coincidenza temporale del diciotto aprile è la maggiore concentrazione di anomalie dell’intera vicenda: il Registro la iscrive come questione aperta e ribadisce che nessuna delle letture concorrenti supera il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Anello degli apparati e delle mediazioni</w:t>
      </w:r>
    </w:p>
    <w:p>
      <w:pPr>
        <w:spacing w:line="276" w:lineRule="auto" w:after="60" w:before="0"/>
        <w:ind w:firstLine="425"/>
        <w:jc w:val="both"/>
      </w:pPr>
      <w:r>
        <w:rPr>
          <w:rFonts w:ascii="Times New Roman" w:hAnsi="Times New Roman" w:cs="Times New Roman" w:eastAsia="Times New Roman"/>
          <w:b w:val="0"/>
          <w:sz w:val="24"/>
        </w:rPr>
        <w:t xml:space="preserve">L’anello del </w:t>
      </w:r>
      <w:r>
        <w:rPr>
          <w:rFonts w:ascii="Times New Roman" w:hAnsi="Times New Roman" w:cs="Times New Roman" w:eastAsia="Times New Roman"/>
          <w:b/>
          <w:sz w:val="24"/>
        </w:rPr>
        <w:t>comitato di crisi</w:t>
      </w:r>
      <w:r>
        <w:rPr>
          <w:rFonts w:ascii="Times New Roman" w:hAnsi="Times New Roman" w:cs="Times New Roman" w:eastAsia="Times New Roman"/>
          <w:b w:val="0"/>
          <w:sz w:val="24"/>
        </w:rPr>
        <w:t xml:space="preserve"> è, per numero di vicini, il più povero dell’intera estrazione, e questo è esso stesso un dato: la struttura che avrebbe dovuto essere il centro nervoso della gestione è, nelle fonti, la meno documentata nei suoi rapporti. Il solo vicino che superi la soglia è il nome di </w:t>
      </w:r>
      <w:r>
        <w:rPr>
          <w:rFonts w:ascii="Times New Roman" w:hAnsi="Times New Roman" w:cs="Times New Roman" w:eastAsia="Times New Roman"/>
          <w:b/>
          <w:sz w:val="24"/>
        </w:rPr>
        <w:t>Franco Ferracuti</w:t>
      </w:r>
      <w:r>
        <w:rPr>
          <w:rFonts w:ascii="Times New Roman" w:hAnsi="Times New Roman" w:cs="Times New Roman" w:eastAsia="Times New Roman"/>
          <w:b w:val="0"/>
          <w:sz w:val="24"/>
        </w:rPr>
        <w:t xml:space="preserve">, criminologo e psichiatra che ne fu consulente e la cui appartenenza alla loggia oggetto della relazione parlamentare è documentata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La povertà di questo anello va letta insieme al buco strutturale già iscritto nel quinto Pattern, e conferma che la circolazione interna dell’informazione fra struttura di crisi e reparti operativi è, allo stato del corpus, la maggiore zona d’ombra documentale del caso.</w:t>
      </w:r>
    </w:p>
    <w:p>
      <w:pPr>
        <w:spacing w:line="276" w:lineRule="auto" w:after="60" w:before="0"/>
        <w:ind w:firstLine="425"/>
        <w:jc w:val="both"/>
      </w:pPr>
      <w:r>
        <w:rPr>
          <w:rFonts w:ascii="Times New Roman" w:hAnsi="Times New Roman" w:cs="Times New Roman" w:eastAsia="Times New Roman"/>
          <w:b w:val="0"/>
          <w:sz w:val="24"/>
        </w:rPr>
        <w:t xml:space="preserve">L’anello del consulente straniero reca i nomi del Ministero, del Viminale, del comitato, di Gelli e di Kissinger. La compresenza di questi nomi entro le medesime finestre non attesta alcuna relazione fra i loro portatori: attesta che le fonti li trattano nel medesimo contesto argomentativo, e la fonte che più contribuisce a questa compresenza è la monografia tesistica già qualificata nell’Indice di Contaminazione.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legame, senza eccezioni.</w:t>
      </w:r>
    </w:p>
    <w:p>
      <w:pPr>
        <w:spacing w:line="276" w:lineRule="auto" w:after="60" w:before="0"/>
        <w:ind w:firstLine="425"/>
        <w:jc w:val="both"/>
      </w:pPr>
      <w:r>
        <w:rPr>
          <w:rFonts w:ascii="Times New Roman" w:hAnsi="Times New Roman" w:cs="Times New Roman" w:eastAsia="Times New Roman"/>
          <w:b w:val="0"/>
          <w:sz w:val="24"/>
        </w:rPr>
        <w:t xml:space="preserve">L’anello del canale ecclesiastico reca i nomi dell’istituto vaticano, della Santa Sede, del segretario particolare del Pontefice e di un ex parlamentare che ne riferì in sede di audizione. Il Registro conferma la classificazione già data: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per l’iniziativa personale del Pontefice,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l’esistenza del canale,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per la sua estensione e i suoi contenuti.</w:t>
      </w:r>
    </w:p>
    <w:p>
      <w:pPr>
        <w:spacing w:line="276" w:lineRule="auto" w:after="80" w:before="200"/>
        <w:ind w:firstLine="0"/>
        <w:jc w:val="both"/>
      </w:pPr>
      <w:r>
        <w:rPr>
          <w:rFonts w:ascii="Times New Roman" w:hAnsi="Times New Roman" w:cs="Times New Roman" w:eastAsia="Times New Roman"/>
          <w:b/>
          <w:sz w:val="24"/>
        </w:rPr>
        <w:t>Anello della criminalità organizzata e del canale calabrese</w:t>
      </w:r>
    </w:p>
    <w:p>
      <w:pPr>
        <w:spacing w:line="276" w:lineRule="auto" w:after="60" w:before="0"/>
        <w:ind w:firstLine="425"/>
        <w:jc w:val="both"/>
      </w:pPr>
      <w:r>
        <w:rPr>
          <w:rFonts w:ascii="Times New Roman" w:hAnsi="Times New Roman" w:cs="Times New Roman" w:eastAsia="Times New Roman"/>
          <w:b w:val="0"/>
          <w:sz w:val="24"/>
        </w:rPr>
        <w:t xml:space="preserve">L’anello della </w:t>
      </w:r>
      <w:r>
        <w:rPr>
          <w:rFonts w:ascii="Times New Roman" w:hAnsi="Times New Roman" w:cs="Times New Roman" w:eastAsia="Times New Roman"/>
          <w:b/>
          <w:sz w:val="24"/>
        </w:rPr>
        <w:t>banda della Magliana</w:t>
      </w:r>
      <w:r>
        <w:rPr>
          <w:rFonts w:ascii="Times New Roman" w:hAnsi="Times New Roman" w:cs="Times New Roman" w:eastAsia="Times New Roman"/>
          <w:b w:val="0"/>
          <w:sz w:val="24"/>
        </w:rPr>
        <w:t xml:space="preserve"> è il più popolato dell’intera estrazione dopo quelli dei nodi centrali, e reca i nomi dei suoi esponenti storici, del falsario, del giornalista poi ucciso e di via Montalcini. La ricorrenza di quest’ultima è la voce da sottoporre a istruttoria prioritaria, poiché una prossimità fra la sede della prigione e il gruppo criminale romano, se documentata da atto e non da ricostruzione, muterebbe il quadro di più asserzioni; allo stato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val="0"/>
          <w:sz w:val="24"/>
        </w:rPr>
        <w:t xml:space="preserve">L’anello del nodo calabrese reca il nome del collaboratore che rese la dichiarazione accusatoria, quello di un ufficiale dei carabinieri operante in quell’area, e i nomi di un collaboratore politico della vittima e di un parlamentare calabrese. La lettura di pagina accerta, su fonte parlamentare, l’esistenza agli atti di una registrazione e della relativa trascrizione di una conversazione telefonica fra i due ultimi, e la circostanza che una fotografia scattata in via Fani la mattina del sequestro non risulti negli atti dell’istruttoria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entrambe, in quanto contenute in elaborato di Commissione. La medesima fonte qualifica però la pista della presenza costante della malavita come contraddittoria e confusa e dichiara di doversi limitare alla citazione delle circostanze di fatto: il Registro recepisce integralmente questa cautela e la fa propria.</w:t>
      </w:r>
    </w:p>
    <w:p>
      <w:pPr>
        <w:spacing w:line="276" w:lineRule="auto" w:after="80" w:before="200"/>
        <w:ind w:firstLine="0"/>
        <w:jc w:val="both"/>
      </w:pPr>
      <w:r>
        <w:rPr>
          <w:rFonts w:ascii="Times New Roman" w:hAnsi="Times New Roman" w:cs="Times New Roman" w:eastAsia="Times New Roman"/>
          <w:b/>
          <w:sz w:val="24"/>
        </w:rPr>
        <w:t>Anello di Hyperion e della rete parigina</w:t>
      </w:r>
    </w:p>
    <w:p>
      <w:pPr>
        <w:spacing w:line="276" w:lineRule="auto" w:after="60" w:before="0"/>
        <w:ind w:firstLine="425"/>
        <w:jc w:val="both"/>
      </w:pPr>
      <w:r>
        <w:rPr>
          <w:rFonts w:ascii="Times New Roman" w:hAnsi="Times New Roman" w:cs="Times New Roman" w:eastAsia="Times New Roman"/>
          <w:b w:val="0"/>
          <w:sz w:val="24"/>
        </w:rPr>
        <w:t xml:space="preserve">L’anello dell’istituto parigino reca i nomi di Parigi, del gruppo che ne costituì il precedente, della Francia, dei tre fondatori, di magistrati che ne trattarono e di Moretti. La lettura di pagina accerta che i fondatori furono auditi in sede parlamentare e che magistrati sostennero l’esistenza di una gravitazione dell’istituto in ambiti non meramente culturali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all’esistenza dell’istituto, alla sua fondazione e alle audizioni;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alla qualificazione dell’istituto come centrale operativa e quanto a ogni catena di comando che ne discenda. Il Registro segnala che la fonte più assertiva su questo punto è la monografia tesistica, e che le sue affermazioni in materia — ivi compresa l’attribuzione a uno dei fondatori della qualità di capo effettivo di un dirigente dell’organizzazione armata — non trovano nel corpus riscontro di livello superiore.</w:t>
      </w:r>
    </w:p>
    <w:p>
      <w:pPr>
        <w:spacing w:line="276" w:lineRule="auto" w:after="80" w:before="200"/>
        <w:ind w:firstLine="0"/>
        <w:jc w:val="both"/>
      </w:pPr>
      <w:r>
        <w:rPr>
          <w:rFonts w:ascii="Times New Roman" w:hAnsi="Times New Roman" w:cs="Times New Roman" w:eastAsia="Times New Roman"/>
          <w:b/>
          <w:sz w:val="24"/>
        </w:rPr>
        <w:t>Una serie da non costruire: avvertenza sul ragionamento per elenco</w:t>
      </w:r>
    </w:p>
    <w:p>
      <w:pPr>
        <w:spacing w:line="276" w:lineRule="auto" w:after="60" w:before="0"/>
        <w:ind w:firstLine="425"/>
        <w:jc w:val="both"/>
      </w:pPr>
      <w:r>
        <w:rPr>
          <w:rFonts w:ascii="Times New Roman" w:hAnsi="Times New Roman" w:cs="Times New Roman" w:eastAsia="Times New Roman"/>
          <w:b w:val="0"/>
          <w:sz w:val="24"/>
        </w:rPr>
        <w:t>Il Primo Anello fa emergere, in più fonti, una costruzione narrativa che il Registro deve isolare e qualificare perché costituisce l’esempio più istruttivo di fallacia presente nel corpus: l’elenco di coloro che, avendo avuto accesso alle carte rinvenute a Milano, sarebbero stati successivamente uccisi o sarebbero morti in circostanze anomale. L’elenco accosta un giornalista ucciso nel millenovecentosettantanove, un ufficiale ucciso nello stesso anno, un avvocato ucciso pochi giorni dopo, un generale ucciso nel millenovecentottanta, un generale ucciso nel millenovecentottantadue, un falsario ucciso, e altri.</w:t>
      </w:r>
    </w:p>
    <w:p>
      <w:pPr>
        <w:spacing w:line="276" w:lineRule="auto" w:after="60" w:before="0"/>
        <w:ind w:firstLine="425"/>
        <w:jc w:val="both"/>
      </w:pPr>
      <w:r>
        <w:rPr>
          <w:rFonts w:ascii="Times New Roman" w:hAnsi="Times New Roman" w:cs="Times New Roman" w:eastAsia="Times New Roman"/>
          <w:b w:val="0"/>
          <w:sz w:val="24"/>
        </w:rPr>
        <w:t xml:space="preserve">La costruzione va respinta nella sua forma di elenco, e per ragioni che appartengono al metodo e non all’opinione. Primo: essa è </w:t>
      </w:r>
      <w:r>
        <w:rPr>
          <w:rFonts w:ascii="Times New Roman" w:hAnsi="Times New Roman" w:cs="Times New Roman" w:eastAsia="Times New Roman"/>
          <w:b/>
          <w:sz w:val="24"/>
        </w:rPr>
        <w:t>costruita retrospettivamente selezionando i morti e omettendo i vivi</w:t>
      </w:r>
      <w:r>
        <w:rPr>
          <w:rFonts w:ascii="Times New Roman" w:hAnsi="Times New Roman" w:cs="Times New Roman" w:eastAsia="Times New Roman"/>
          <w:b w:val="0"/>
          <w:sz w:val="24"/>
        </w:rPr>
        <w:t xml:space="preserve">, ossia praticando esattamente l’inferenza che Popper e Russell dichiarano illecita — si contano le conferme e non si contano le smentite, mentre il numero di persone che ebbero accesso a quelle carte e non subirono alcunché non è mai enunciato. Secondo: essa </w:t>
      </w:r>
      <w:r>
        <w:rPr>
          <w:rFonts w:ascii="Times New Roman" w:hAnsi="Times New Roman" w:cs="Times New Roman" w:eastAsia="Times New Roman"/>
          <w:b/>
          <w:sz w:val="24"/>
        </w:rPr>
        <w:t>presuppone la causa nel raggruppamento</w:t>
      </w:r>
      <w:r>
        <w:rPr>
          <w:rFonts w:ascii="Times New Roman" w:hAnsi="Times New Roman" w:cs="Times New Roman" w:eastAsia="Times New Roman"/>
          <w:b w:val="0"/>
          <w:sz w:val="24"/>
        </w:rPr>
        <w:t xml:space="preserve">, poiché almeno una delle uccisioni elencate ha una causale accertata e del tutto estranea alla vicenda, essendo riconducibile alla liquidazione di un istituto bancario, e la sua inclusione nell’elenco è possibile solo ignorando l’accertamento che la riguarda. Terzo: essa </w:t>
      </w:r>
      <w:r>
        <w:rPr>
          <w:rFonts w:ascii="Times New Roman" w:hAnsi="Times New Roman" w:cs="Times New Roman" w:eastAsia="Times New Roman"/>
          <w:b/>
          <w:sz w:val="24"/>
        </w:rPr>
        <w:t>confonde la contiguità di elenco con il nesso</w:t>
      </w:r>
      <w:r>
        <w:rPr>
          <w:rFonts w:ascii="Times New Roman" w:hAnsi="Times New Roman" w:cs="Times New Roman" w:eastAsia="Times New Roman"/>
          <w:b w:val="0"/>
          <w:sz w:val="24"/>
        </w:rPr>
        <w:t>, che è la definizione stessa dell’artefatto.</w:t>
      </w:r>
    </w:p>
    <w:p>
      <w:pPr>
        <w:spacing w:line="276" w:lineRule="auto" w:after="60" w:before="0"/>
        <w:ind w:firstLine="425"/>
        <w:jc w:val="both"/>
      </w:pPr>
      <w:r>
        <w:rPr>
          <w:rFonts w:ascii="Times New Roman" w:hAnsi="Times New Roman" w:cs="Times New Roman" w:eastAsia="Times New Roman"/>
          <w:b w:val="0"/>
          <w:sz w:val="24"/>
        </w:rPr>
        <w:t xml:space="preserve">Il Registro non nega che singole morti fra quelle elencate presentino aspetti irrisolti, e alcune ne presentano; afferma che la loro </w:t>
      </w:r>
      <w:r>
        <w:rPr>
          <w:rFonts w:ascii="Times New Roman" w:hAnsi="Times New Roman" w:cs="Times New Roman" w:eastAsia="Times New Roman"/>
          <w:b/>
          <w:sz w:val="24"/>
        </w:rPr>
        <w:t>serializzazione</w:t>
      </w:r>
      <w:r>
        <w:rPr>
          <w:rFonts w:ascii="Times New Roman" w:hAnsi="Times New Roman" w:cs="Times New Roman" w:eastAsia="Times New Roman"/>
          <w:b w:val="0"/>
          <w:sz w:val="24"/>
        </w:rPr>
        <w:t xml:space="preserve"> non è un argomento, e che ciascuna va istruita separatamente, con la propria causale e il proprio livello. La voce entra dunque nel Primo Anello come cronaca di ciò che le fonti scrivono, con la qualificazione di </w:t>
      </w:r>
      <w:r>
        <w:rPr>
          <w:rFonts w:ascii="Times New Roman" w:hAnsi="Times New Roman" w:cs="Times New Roman" w:eastAsia="Times New Roman"/>
          <w:b/>
          <w:sz w:val="24"/>
        </w:rPr>
        <w:t>inferenza non ammessa</w:t>
      </w:r>
      <w:r>
        <w:rPr>
          <w:rFonts w:ascii="Times New Roman" w:hAnsi="Times New Roman" w:cs="Times New Roman" w:eastAsia="Times New Roman"/>
          <w:b w:val="0"/>
          <w:sz w:val="24"/>
        </w:rPr>
        <w:t>, e nessun elemento di essa è impiegato dal Registro a sostegno di alcuna ipotesi.</w:t>
      </w:r>
    </w:p>
    <w:p>
      <w:pPr>
        <w:spacing w:line="276" w:lineRule="auto" w:after="80" w:before="200"/>
        <w:ind w:firstLine="0"/>
        <w:jc w:val="both"/>
      </w:pPr>
      <w:r>
        <w:rPr>
          <w:rFonts w:ascii="Times New Roman" w:hAnsi="Times New Roman" w:cs="Times New Roman" w:eastAsia="Times New Roman"/>
          <w:b/>
          <w:sz w:val="24"/>
        </w:rPr>
        <w:t>Nodi nuovi ammessi al Registro dei nodi</w:t>
      </w:r>
    </w:p>
    <w:p>
      <w:pPr>
        <w:spacing w:line="276" w:lineRule="auto" w:after="60" w:before="0"/>
        <w:ind w:firstLine="425"/>
        <w:jc w:val="both"/>
      </w:pPr>
      <w:r>
        <w:rPr>
          <w:rFonts w:ascii="Times New Roman" w:hAnsi="Times New Roman" w:cs="Times New Roman" w:eastAsia="Times New Roman"/>
          <w:b w:val="0"/>
          <w:sz w:val="24"/>
        </w:rPr>
        <w:t xml:space="preserve">Dall’estrazione del Primo Anello sono ammessi al Registro dei nodi, con i livelli qui indicati e con la riserva di istruttoria di pagina per quelli non ancora letti, i seguenti: Giuliana Conforto e l’appartamento di viale Giulio Cesare,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all’arresto e al rinvenimento dell’arma; Giorgio Conforto,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relazione e all’ospitalità,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 ruolo; Luciana Bozzi e la titolarità dell’appartamento di via Gradoli,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Germano Maccari,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l’appunto telefonico rinvenuto in via Gradoli e la società immobiliare cui l’utenza faceva capo,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falsario cui è attribuito il comunicato apocrifo,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criminologo consulente della struttura di crisi,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collaboratore politico della vittima e il parlamentare calabrese, con la conversazione telefonica agli atti,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 tre fondatori dell’istituto parigino,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fondazione e alle audizioni; gli esponenti della banda della Magliana ricorrenti negli anelli,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all’esistenza e ai profili,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loro rapporto con la vicenda; l’arma impiegata nell’omicidio e il suo rinvenimento,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Assegnazioni alla Camera Istruttoria</w:t>
      </w:r>
    </w:p>
    <w:p>
      <w:pPr>
        <w:spacing w:line="276" w:lineRule="auto" w:after="60" w:before="0"/>
        <w:ind w:firstLine="425"/>
        <w:jc w:val="both"/>
      </w:pPr>
      <w:r>
        <w:rPr>
          <w:rFonts w:ascii="Times New Roman" w:hAnsi="Times New Roman" w:cs="Times New Roman" w:eastAsia="Times New Roman"/>
          <w:b w:val="0"/>
          <w:sz w:val="24"/>
        </w:rPr>
        <w:t>Dal Primo Anello discendono per la Camera Istruttoria le seguenti assegnazioni, in ordine di priorità. Prima: la prossimità fra via Montalcini e il gruppo criminale romano, da risolvere per atto o da espungere. Seconda: l’appunto telefonico di via Gradoli, da risalire all’atto di sequestro e da separare nettamente dalla supposizione che vi è stata accostata. Terza: la relazione fra le titolari dei due appartamenti, da acquisire nell’atto di polizia originale. Quarta: la posizione dei fondatori dell’istituto parigino, da leggere nei verbali di audizione una volta convertito il materiale stenografico. Quinta: la verifica sistematica di ogni asserzione che nel Primo Anello poggi unicamente sulla monografia tesistica. Sesta: l’istruttoria separata di ciascuna delle morti indebitamente serializzate, con divieto di trattarle come serie.</w:t>
      </w:r>
    </w:p>
    <w:p>
      <w:pPr>
        <w:spacing w:line="276" w:lineRule="auto" w:after="80" w:before="200"/>
        <w:ind w:firstLine="0"/>
        <w:jc w:val="both"/>
      </w:pPr>
      <w:r>
        <w:rPr>
          <w:rFonts w:ascii="Times New Roman" w:hAnsi="Times New Roman" w:cs="Times New Roman" w:eastAsia="Times New Roman"/>
          <w:b/>
          <w:sz w:val="24"/>
        </w:rPr>
        <w:t>COLOPHON DELL’EDIZIONE SECONDA</w:t>
      </w:r>
    </w:p>
    <w:p>
      <w:pPr>
        <w:spacing w:line="276" w:lineRule="auto" w:after="60" w:before="0"/>
        <w:ind w:firstLine="425"/>
        <w:jc w:val="both"/>
      </w:pPr>
      <w:r>
        <w:rPr>
          <w:rFonts w:ascii="Times New Roman" w:hAnsi="Times New Roman" w:cs="Times New Roman" w:eastAsia="Times New Roman"/>
          <w:b w:val="0"/>
          <w:sz w:val="24"/>
        </w:rPr>
        <w:t>REGISTRO ANALITICO DEL CASO MORO, edizione seconda, con il Primo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e misurata del limite di tale indipendenza sul piano materiale del corpus. Incorpora verbatim l’edizione prima;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DODICESIMA — IL SECONDO ANELLO DI PROSSIMITÀ</w:t>
      </w:r>
    </w:p>
    <w:p>
      <w:pPr>
        <w:spacing w:line="276" w:lineRule="auto" w:after="80" w:before="200"/>
        <w:ind w:firstLine="0"/>
        <w:jc w:val="both"/>
      </w:pPr>
      <w:r>
        <w:rPr>
          <w:rFonts w:ascii="Times New Roman" w:hAnsi="Times New Roman" w:cs="Times New Roman" w:eastAsia="Times New Roman"/>
          <w:b/>
          <w:sz w:val="24"/>
        </w:rPr>
        <w:t>Metodo dell’espansione e misura della deriva</w:t>
      </w:r>
    </w:p>
    <w:p>
      <w:pPr>
        <w:spacing w:line="276" w:lineRule="auto" w:after="60" w:before="0"/>
        <w:ind w:firstLine="425"/>
        <w:jc w:val="both"/>
      </w:pPr>
      <w:r>
        <w:rPr>
          <w:rFonts w:ascii="Times New Roman" w:hAnsi="Times New Roman" w:cs="Times New Roman" w:eastAsia="Times New Roman"/>
          <w:b w:val="0"/>
          <w:sz w:val="24"/>
        </w:rPr>
        <w:t>Cinquanta nodi emersi nel Primo Anello sono stati assunti come semi di secondo grado, con esclusione dei termini geografici e istituzionali generici il cui anello misurerebbe soltanto la lingua delle fonti. Di essi quarantanove risultano attivi nel corpus. Per ciascuno si sono raccolte tutte le finestre di quattrocento caratteri e se ne sono estratti i vicini con le medesime soglie dell’anello primo — almeno tre ricorrenze in almeno due fonti — computando insieme, per ogni seme, la frazione delle finestre che contiene ancora un termine del caso. Questa frazione, dichiarata voce per voce, è la misura della deriva: essa distingue i semi che nelle fonti vivono dentro il caso da quelli che vi compaiono di passaggio, appartenendo ad altre vicende.</w:t>
      </w:r>
    </w:p>
    <w:p>
      <w:pPr>
        <w:spacing w:line="276" w:lineRule="auto" w:after="60" w:before="0"/>
        <w:ind w:firstLine="425"/>
        <w:jc w:val="both"/>
      </w:pPr>
      <w:r>
        <w:rPr>
          <w:rFonts w:ascii="Times New Roman" w:hAnsi="Times New Roman" w:cs="Times New Roman" w:eastAsia="Times New Roman"/>
          <w:b w:val="0"/>
          <w:sz w:val="24"/>
        </w:rPr>
        <w:t>Il gradiente misurato è il primo risultato dell’espansione, e va enunciato prima di ogni contenuto. All’estremo superiore, con affinità piena o quasi piena, stanno i nodi materiali del sequestro: il quarto uomo della prigione, l’appunto immobiliare, il canale calabrese, il contratto di via Gradoli, il canale ecclesiastico, il borsista straniero. All’estremo inferiore, con affinità inferiore a un quinto, stanno la banda romana considerata in sé, le origini dell’organizzazione armata, i vertici degli apparati, il banchiere vaticano, i depistaggi successivi: mondi che toccano il caso ma non vi appartengono, e che il Secondo Anello registra come contesto e non come caso. Fra i due estremi corre la fascia intermedia, dove si concentrano le istruttorie più delicate. La lettura che segue procede per fasce di affinità decrescente, perché questo ordine — e non quello della suggestione — è l’ordine del metodo.</w:t>
      </w:r>
    </w:p>
    <w:p>
      <w:pPr>
        <w:spacing w:line="276" w:lineRule="auto" w:after="80" w:before="200"/>
        <w:ind w:firstLine="0"/>
        <w:jc w:val="both"/>
      </w:pPr>
      <w:r>
        <w:rPr>
          <w:rFonts w:ascii="Times New Roman" w:hAnsi="Times New Roman" w:cs="Times New Roman" w:eastAsia="Times New Roman"/>
          <w:b/>
          <w:sz w:val="24"/>
        </w:rPr>
        <w:t>Fascia superiore: i nodi che vivono dentro il caso</w:t>
      </w:r>
    </w:p>
    <w:p>
      <w:pPr>
        <w:spacing w:line="276" w:lineRule="auto" w:after="60" w:before="0"/>
        <w:ind w:firstLine="425"/>
        <w:jc w:val="both"/>
      </w:pPr>
      <w:r>
        <w:rPr>
          <w:rFonts w:ascii="Times New Roman" w:hAnsi="Times New Roman" w:cs="Times New Roman" w:eastAsia="Times New Roman"/>
          <w:b/>
          <w:sz w:val="24"/>
        </w:rPr>
        <w:t>Il quarto uomo e il quinto nome.</w:t>
      </w:r>
      <w:r>
        <w:rPr>
          <w:rFonts w:ascii="Times New Roman" w:hAnsi="Times New Roman" w:cs="Times New Roman" w:eastAsia="Times New Roman"/>
          <w:b w:val="0"/>
          <w:sz w:val="24"/>
        </w:rPr>
        <w:t xml:space="preserve"> L’anello di Germano Maccari, ad affinità piena, reca accanto ai nomi attesi quello di </w:t>
      </w:r>
      <w:r>
        <w:rPr>
          <w:rFonts w:ascii="Times New Roman" w:hAnsi="Times New Roman" w:cs="Times New Roman" w:eastAsia="Times New Roman"/>
          <w:b/>
          <w:sz w:val="24"/>
        </w:rPr>
        <w:t>Raimondo Etro</w:t>
      </w:r>
      <w:r>
        <w:rPr>
          <w:rFonts w:ascii="Times New Roman" w:hAnsi="Times New Roman" w:cs="Times New Roman" w:eastAsia="Times New Roman"/>
          <w:b w:val="0"/>
          <w:sz w:val="24"/>
        </w:rPr>
        <w:t xml:space="preserve">, brigatista, che il corpus documenta audito dalla seconda Commissione nel gennaio duemiladiciassette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qualità e all’audizione. La coppia Maccari–Etro ha un significato metodologico che eccede i due nomi: entrambe le partecipazioni furono accertate in epoca successiva alle ricostruzioni a lungo ritenute complete, e la loro emersione nel medesimo anello conferma dall’interno ciò che il Registro ha già iscritto — che il perimetro degli esecutori è stato un insieme aperto assai più a lungo di quanto il racconto canonico ammettesse, e che ogni argomento fondato sulla completezza di quel perimetro va maneggiato come provvisorio.</w:t>
      </w:r>
    </w:p>
    <w:p>
      <w:pPr>
        <w:spacing w:line="276" w:lineRule="auto" w:after="60" w:before="0"/>
        <w:ind w:firstLine="425"/>
        <w:jc w:val="both"/>
      </w:pPr>
      <w:r>
        <w:rPr>
          <w:rFonts w:ascii="Times New Roman" w:hAnsi="Times New Roman" w:cs="Times New Roman" w:eastAsia="Times New Roman"/>
          <w:b/>
          <w:sz w:val="24"/>
        </w:rPr>
        <w:t>Il musicista e il nome del vicolo.</w:t>
      </w:r>
      <w:r>
        <w:rPr>
          <w:rFonts w:ascii="Times New Roman" w:hAnsi="Times New Roman" w:cs="Times New Roman" w:eastAsia="Times New Roman"/>
          <w:b w:val="0"/>
          <w:sz w:val="24"/>
        </w:rPr>
        <w:t xml:space="preserve"> L’anello di Igor Markevitch, ad affinità piena, si risolve alla lettura di pagina in un caso esemplare di fonte che si autoqualifica, e il Registro lo tratta come modello. L’elaborato parlamentare sulla dimensione sovranazionale ne fissa i dati biografici — musicista di origine ucraina, già sposato con la nobildonna </w:t>
      </w:r>
      <w:r>
        <w:rPr>
          <w:rFonts w:ascii="Times New Roman" w:hAnsi="Times New Roman" w:cs="Times New Roman" w:eastAsia="Times New Roman"/>
          <w:b/>
          <w:sz w:val="24"/>
        </w:rPr>
        <w:t>Topazia Caetani di Sermoneta</w:t>
      </w:r>
      <w:r>
        <w:rPr>
          <w:rFonts w:ascii="Times New Roman" w:hAnsi="Times New Roman" w:cs="Times New Roman" w:eastAsia="Times New Roman"/>
          <w:b w:val="0"/>
          <w:sz w:val="24"/>
        </w:rPr>
        <w:t xml:space="preserve"> — e questi sono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attestati da fonte parlamentare. La medesima fonte riferisce che il personaggio è ritenuto da alcuni elemento di primo piano nella struttura verticistica dell’organizzazione, e che, stando a ulteriori riletture che la fonte stessa definisce </w:t>
      </w:r>
      <w:r>
        <w:rPr>
          <w:rFonts w:ascii="Times New Roman" w:hAnsi="Times New Roman" w:cs="Times New Roman" w:eastAsia="Times New Roman"/>
          <w:b/>
          <w:sz w:val="24"/>
        </w:rPr>
        <w:t>suggestive</w:t>
      </w:r>
      <w:r>
        <w:rPr>
          <w:rFonts w:ascii="Times New Roman" w:hAnsi="Times New Roman" w:cs="Times New Roman" w:eastAsia="Times New Roman"/>
          <w:b w:val="0"/>
          <w:sz w:val="24"/>
        </w:rPr>
        <w:t xml:space="preserve">, avrebbe predisposto e gestito gli interrogatori del prigioniero: la fonte, cioè, marca da sé la distanza fra il dato e la lettura. Il Registro recepisce integralmente questa marcatura: il matrimonio è un fatto; la coincidenza fra il cognome della consorte e il nome della via del ritrovamento è un ponte onomastico che spiega perché il nodo sia stato più volte tirato in ballo; la lettura che ne fa il regista degli interrogatori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e vi resterebbe anche se dieci fonti la ripetessero, poiché la ripetizione di una suggestione non è una seconda fonte.</w:t>
      </w:r>
    </w:p>
    <w:p>
      <w:pPr>
        <w:spacing w:line="276" w:lineRule="auto" w:after="60" w:before="0"/>
        <w:ind w:firstLine="425"/>
        <w:jc w:val="both"/>
      </w:pPr>
      <w:r>
        <w:rPr>
          <w:rFonts w:ascii="Times New Roman" w:hAnsi="Times New Roman" w:cs="Times New Roman" w:eastAsia="Times New Roman"/>
          <w:b/>
          <w:sz w:val="24"/>
        </w:rPr>
        <w:t>L’appunto immobiliare e il giudice.</w:t>
      </w:r>
      <w:r>
        <w:rPr>
          <w:rFonts w:ascii="Times New Roman" w:hAnsi="Times New Roman" w:cs="Times New Roman" w:eastAsia="Times New Roman"/>
          <w:b w:val="0"/>
          <w:sz w:val="24"/>
        </w:rPr>
        <w:t xml:space="preserve"> L’anello di secondo grado dell’Immobiliare Savellia e di Palazzo Orsini precisa i termini già iscritti — l’utenza corrispondente all’appunto manoscritto rinvenuto in via Gradoli, la sede in via di Monte Savello, la marchesa il cui acronimo figurava nell’appunto — tutti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contenuti in elaborato parlamentare. Vi emerge inoltre il nome di </w:t>
      </w:r>
      <w:r>
        <w:rPr>
          <w:rFonts w:ascii="Times New Roman" w:hAnsi="Times New Roman" w:cs="Times New Roman" w:eastAsia="Times New Roman"/>
          <w:b/>
          <w:sz w:val="24"/>
        </w:rPr>
        <w:t>Ernesto Cudillo</w:t>
      </w:r>
      <w:r>
        <w:rPr>
          <w:rFonts w:ascii="Times New Roman" w:hAnsi="Times New Roman" w:cs="Times New Roman" w:eastAsia="Times New Roman"/>
          <w:b w:val="0"/>
          <w:sz w:val="24"/>
        </w:rPr>
        <w:t xml:space="preserve">, che la lettura di pagina restituisce, su fonte diversa, quale consigliere istruttore della sentenza-ordinanza del marzo millenovecentottantatré che prosciolse con ampia formula gli imputati del procedimento sulla loggia, sentenza che la relazione parlamentare sottopone a critica espressa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all’atto e alla critica. La ragione della prossimità fra questo nome e il palazzo non è stata ancora letta in pagina: il Registro la assegna alla Camera Istruttoria e non la anticipa, limitandosi a rilevare che il medesimo nome ricorre in due luoghi sensibili del corpus per ragioni che potrebbero essere due, e indipendenti.</w:t>
      </w:r>
    </w:p>
    <w:p>
      <w:pPr>
        <w:spacing w:line="276" w:lineRule="auto" w:after="60" w:before="0"/>
        <w:ind w:firstLine="425"/>
        <w:jc w:val="both"/>
      </w:pPr>
      <w:r>
        <w:rPr>
          <w:rFonts w:ascii="Times New Roman" w:hAnsi="Times New Roman" w:cs="Times New Roman" w:eastAsia="Times New Roman"/>
          <w:b/>
          <w:sz w:val="24"/>
        </w:rPr>
        <w:t>Il canale calabrese al secondo grado.</w:t>
      </w:r>
      <w:r>
        <w:rPr>
          <w:rFonts w:ascii="Times New Roman" w:hAnsi="Times New Roman" w:cs="Times New Roman" w:eastAsia="Times New Roman"/>
          <w:b w:val="0"/>
          <w:sz w:val="24"/>
        </w:rPr>
        <w:t xml:space="preserve"> Gli anelli di Benito Cazora e di Sereno Freato, ad altissima affinità, portano il canale già iscritto a una precisione superiore. La lettura di pagina accerta, su fonte parlamentare, la dichiarazione di </w:t>
      </w:r>
      <w:r>
        <w:rPr>
          <w:rFonts w:ascii="Times New Roman" w:hAnsi="Times New Roman" w:cs="Times New Roman" w:eastAsia="Times New Roman"/>
          <w:b/>
          <w:sz w:val="24"/>
        </w:rPr>
        <w:t>Giuseppe Messina</w:t>
      </w:r>
      <w:r>
        <w:rPr>
          <w:rFonts w:ascii="Times New Roman" w:hAnsi="Times New Roman" w:cs="Times New Roman" w:eastAsia="Times New Roman"/>
          <w:b w:val="0"/>
          <w:sz w:val="24"/>
        </w:rPr>
        <w:t xml:space="preserve"> di avere ricevuto da </w:t>
      </w:r>
      <w:r>
        <w:rPr>
          <w:rFonts w:ascii="Times New Roman" w:hAnsi="Times New Roman" w:cs="Times New Roman" w:eastAsia="Times New Roman"/>
          <w:b/>
          <w:sz w:val="24"/>
        </w:rPr>
        <w:t>Flavio Carboni</w:t>
      </w:r>
      <w:r>
        <w:rPr>
          <w:rFonts w:ascii="Times New Roman" w:hAnsi="Times New Roman" w:cs="Times New Roman" w:eastAsia="Times New Roman"/>
          <w:b w:val="0"/>
          <w:sz w:val="24"/>
        </w:rPr>
        <w:t xml:space="preserve"> l’invito a incontrare, insieme al parlamentare calabrese, uno dei capi della mafia siciliana, e la circostanza che come luogo dell’incontro fu indicato come possibile </w:t>
      </w:r>
      <w:r>
        <w:rPr>
          <w:rFonts w:ascii="Times New Roman" w:hAnsi="Times New Roman" w:cs="Times New Roman" w:eastAsia="Times New Roman"/>
          <w:b/>
          <w:sz w:val="24"/>
        </w:rPr>
        <w:t>un ufficio della Procura generale presso la Corte d’appello di Roma</w:t>
      </w:r>
      <w:r>
        <w:rPr>
          <w:rFonts w:ascii="Times New Roman" w:hAnsi="Times New Roman" w:cs="Times New Roman" w:eastAsia="Times New Roman"/>
          <w:b w:val="0"/>
          <w:sz w:val="24"/>
        </w:rPr>
        <w:t xml:space="preserv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dichiarazione riferita in elaborato parlamentare,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alla effettività dell’incontro. Il Registro rileva che questa singola finestra congiunge in un solo periodo il primo, il secondo, il sesto e il decimo Dominio, e che precisamente per questo va maneggiata con il massimo rigore: essa resta una dichiarazione, e la sua forza suggestiva non ne muta il livello. Nell’anello di Freato ricorre inoltre il nome di una società di trasporto valori che rimanda a vicende del decennio successivo: la ragione della prossimità non è stata letta e resta assegnata alla Camera.</w:t>
      </w:r>
    </w:p>
    <w:p>
      <w:pPr>
        <w:spacing w:line="276" w:lineRule="auto" w:after="60" w:before="0"/>
        <w:ind w:firstLine="425"/>
        <w:jc w:val="both"/>
      </w:pPr>
      <w:r>
        <w:rPr>
          <w:rFonts w:ascii="Times New Roman" w:hAnsi="Times New Roman" w:cs="Times New Roman" w:eastAsia="Times New Roman"/>
          <w:b/>
          <w:sz w:val="24"/>
        </w:rPr>
        <w:t>Il borsista e l’assistente.</w:t>
      </w:r>
      <w:r>
        <w:rPr>
          <w:rFonts w:ascii="Times New Roman" w:hAnsi="Times New Roman" w:cs="Times New Roman" w:eastAsia="Times New Roman"/>
          <w:b w:val="0"/>
          <w:sz w:val="24"/>
        </w:rPr>
        <w:t xml:space="preserve"> L’anello del nome Sokolov si risolve alla lettura nella testimonianza del professor </w:t>
      </w:r>
      <w:r>
        <w:rPr>
          <w:rFonts w:ascii="Times New Roman" w:hAnsi="Times New Roman" w:cs="Times New Roman" w:eastAsia="Times New Roman"/>
          <w:b/>
          <w:sz w:val="24"/>
        </w:rPr>
        <w:t>Franco Tritto</w:t>
      </w:r>
      <w:r>
        <w:rPr>
          <w:rFonts w:ascii="Times New Roman" w:hAnsi="Times New Roman" w:cs="Times New Roman" w:eastAsia="Times New Roman"/>
          <w:b w:val="0"/>
          <w:sz w:val="24"/>
        </w:rPr>
        <w:t xml:space="preserve">, assistente universitario della vittima e poi titolare della sua cattedra, il quale — riferisce l’elaborato parlamentare sull’ombra dei servizi orientali — notò nelle settimane precedenti il sequestro un borsista che volle conoscere il professore e si informò dei suoi spostamenti e della composizione della scorta, tornando in Italia anni dopo. La fonte qualifica essa stessa la circostanza come curiosa coincidenza generatrice di sospetti, e il Registro ne recepisce la misura: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testimonianza e alla circostanza riferita,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quanto a ogni inferenza sul ruolo, con la nota che questa voce appartiene alla medesima classe della precedente — il dato è solido, la lettura è aperta, e la fonte ha avuto la probità di dirlo.</w:t>
      </w:r>
    </w:p>
    <w:p>
      <w:pPr>
        <w:spacing w:line="276" w:lineRule="auto" w:after="60" w:before="0"/>
        <w:ind w:firstLine="425"/>
        <w:jc w:val="both"/>
      </w:pPr>
      <w:r>
        <w:rPr>
          <w:rFonts w:ascii="Times New Roman" w:hAnsi="Times New Roman" w:cs="Times New Roman" w:eastAsia="Times New Roman"/>
          <w:b/>
          <w:sz w:val="24"/>
        </w:rPr>
        <w:t>Gli anelli minori della fascia alta.</w:t>
      </w:r>
      <w:r>
        <w:rPr>
          <w:rFonts w:ascii="Times New Roman" w:hAnsi="Times New Roman" w:cs="Times New Roman" w:eastAsia="Times New Roman"/>
          <w:b w:val="0"/>
          <w:sz w:val="24"/>
        </w:rPr>
        <w:t xml:space="preserve"> L’anello di via Fracchia restituisce i nomi dei quattro militanti uccisi nell’irruzione del marzo millenovecentottanta e quello di Guido Rossa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 fatti, estranei al caso ma contigui alla sua eredità documentale, poiché in quell’appartamento fu rinvenuta copia di materiale della prigionia. L’anello del contratto di via Gradoli reca il nome del contraente formale,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attestato allo stato dalla sola monografia tesistica. L’anello del canale ecclesiastico al secondo grado — il segretario particolare del Pontefice, il cappellano, il parlamentare che ne riferì — conferma i livelli già assegnati senza elevarli.</w:t>
      </w:r>
    </w:p>
    <w:p>
      <w:pPr>
        <w:spacing w:line="276" w:lineRule="auto" w:after="80" w:before="200"/>
        <w:ind w:firstLine="0"/>
        <w:jc w:val="both"/>
      </w:pPr>
      <w:r>
        <w:rPr>
          <w:rFonts w:ascii="Times New Roman" w:hAnsi="Times New Roman" w:cs="Times New Roman" w:eastAsia="Times New Roman"/>
          <w:b/>
          <w:sz w:val="24"/>
        </w:rPr>
        <w:t>Fascia intermedia: le istruttorie delicate</w:t>
      </w:r>
    </w:p>
    <w:p>
      <w:pPr>
        <w:spacing w:line="276" w:lineRule="auto" w:after="60" w:before="0"/>
        <w:ind w:firstLine="425"/>
        <w:jc w:val="both"/>
      </w:pPr>
      <w:r>
        <w:rPr>
          <w:rFonts w:ascii="Times New Roman" w:hAnsi="Times New Roman" w:cs="Times New Roman" w:eastAsia="Times New Roman"/>
          <w:b/>
          <w:sz w:val="24"/>
        </w:rPr>
        <w:t>La catena del falsario.</w:t>
      </w:r>
      <w:r>
        <w:rPr>
          <w:rFonts w:ascii="Times New Roman" w:hAnsi="Times New Roman" w:cs="Times New Roman" w:eastAsia="Times New Roman"/>
          <w:b w:val="0"/>
          <w:sz w:val="24"/>
        </w:rPr>
        <w:t xml:space="preserve"> L’anello di secondo grado di Antonio Chichiarelli produce l’accertamento più rilevante dell’intera espansione. La lettura di pagina, su elaborato parlamentare che cita testualmente l’ordinanza del giudice istruttore, stabilisce che </w:t>
      </w:r>
      <w:r>
        <w:rPr>
          <w:rFonts w:ascii="Times New Roman" w:hAnsi="Times New Roman" w:cs="Times New Roman" w:eastAsia="Times New Roman"/>
          <w:b/>
          <w:sz w:val="24"/>
        </w:rPr>
        <w:t>Luciano Dal Bello</w:t>
      </w:r>
      <w:r>
        <w:rPr>
          <w:rFonts w:ascii="Times New Roman" w:hAnsi="Times New Roman" w:cs="Times New Roman" w:eastAsia="Times New Roman"/>
          <w:b w:val="0"/>
          <w:sz w:val="24"/>
        </w:rPr>
        <w:t xml:space="preserve">, qualificato dalla fonte come confidente anche a significativi livelli e insieme comprimario nelle trame del falsario, era in contatto con il </w:t>
      </w:r>
      <w:r>
        <w:rPr>
          <w:rFonts w:ascii="Times New Roman" w:hAnsi="Times New Roman" w:cs="Times New Roman" w:eastAsia="Times New Roman"/>
          <w:b/>
          <w:sz w:val="24"/>
        </w:rPr>
        <w:t>maresciallo Solinas</w:t>
      </w:r>
      <w:r>
        <w:rPr>
          <w:rFonts w:ascii="Times New Roman" w:hAnsi="Times New Roman" w:cs="Times New Roman" w:eastAsia="Times New Roman"/>
          <w:b w:val="0"/>
          <w:sz w:val="24"/>
        </w:rPr>
        <w:t xml:space="preserve">, in forza al Nucleo di polizia giudiziaria dei carabinieri di Roma; che nel marzo millenovecentosettantanove Dal Bello informò il maresciallo di un progetto di attentato contro una personalità politica; e che il falsario, undici giorni dopo la morte del prigioniero, confezionò un ulteriore comunicato in codice contenente riferimenti alle operazioni di polizia condotte in via Gradoli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l’intera catena, in quanto fondata su ordinanza istruttoria riportata in elaborato parlamentare. Il Registro ne trae, senza eccederla, la sola conclusione che il livello consente: l’autore del più celebre depistaggio dei cinquantacinque giorni disponeva, tramite il proprio sodale, di un canale verso un reparto investigativo, e mostrava di conoscere le operazioni in corso. Quale uso quel canale abbia avuto, e in quale direzione l’informazione corresse, il corpus non lo dice, e il Registro non lo afferma.</w:t>
      </w:r>
    </w:p>
    <w:p>
      <w:pPr>
        <w:spacing w:line="276" w:lineRule="auto" w:after="60" w:before="0"/>
        <w:ind w:firstLine="425"/>
        <w:jc w:val="both"/>
      </w:pPr>
      <w:r>
        <w:rPr>
          <w:rFonts w:ascii="Times New Roman" w:hAnsi="Times New Roman" w:cs="Times New Roman" w:eastAsia="Times New Roman"/>
          <w:b/>
          <w:sz w:val="24"/>
        </w:rPr>
        <w:t>Il contatto tedesco.</w:t>
      </w:r>
      <w:r>
        <w:rPr>
          <w:rFonts w:ascii="Times New Roman" w:hAnsi="Times New Roman" w:cs="Times New Roman" w:eastAsia="Times New Roman"/>
          <w:b w:val="0"/>
          <w:sz w:val="24"/>
        </w:rPr>
        <w:t xml:space="preserve"> L’anello di Patrizio Peci porta nel Registro l’arco internazionale meglio documentato del corpus: il terrorista della Rote Armee Fraktion </w:t>
      </w:r>
      <w:r>
        <w:rPr>
          <w:rFonts w:ascii="Times New Roman" w:hAnsi="Times New Roman" w:cs="Times New Roman" w:eastAsia="Times New Roman"/>
          <w:b/>
          <w:sz w:val="24"/>
        </w:rPr>
        <w:t>Willy Peter Stoll</w:t>
      </w:r>
      <w:r>
        <w:rPr>
          <w:rFonts w:ascii="Times New Roman" w:hAnsi="Times New Roman" w:cs="Times New Roman" w:eastAsia="Times New Roman"/>
          <w:b w:val="0"/>
          <w:sz w:val="24"/>
        </w:rPr>
        <w:t xml:space="preserve">, indicato dal collaboratore come colui che veniva in Italia prima del sequestro per incontrare Mario Moretti, ucciso a Düsseldorf con addosso documenti attestanti i contatti fra le due organizzazioni, e nominato fra i componenti del commando del sequestro dell’industriale tedesco dell’autunno precedente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per convergenza fra dichiarazione del collaboratore e riscontri riferiti dall’elaborato sulla dimensione sovranazionale. Il parallelo fra i due sequestri, che la pubblicistica ha trattato per analogia, entra così nel Registro per la via corretta: non come somiglianza di forma ma come contatto documentato fra gli esecutori, con l’avvertenza che il contatto attesta la relazione fra le organizzazioni e non trasferisce all’una le determinazioni dell’altra.</w:t>
      </w:r>
    </w:p>
    <w:p>
      <w:pPr>
        <w:spacing w:line="276" w:lineRule="auto" w:after="60" w:before="0"/>
        <w:ind w:firstLine="425"/>
        <w:jc w:val="both"/>
      </w:pPr>
      <w:r>
        <w:rPr>
          <w:rFonts w:ascii="Times New Roman" w:hAnsi="Times New Roman" w:cs="Times New Roman" w:eastAsia="Times New Roman"/>
          <w:b/>
          <w:sz w:val="24"/>
        </w:rPr>
        <w:t>La casa di viale Giulio Cesare al secondo grado.</w:t>
      </w:r>
      <w:r>
        <w:rPr>
          <w:rFonts w:ascii="Times New Roman" w:hAnsi="Times New Roman" w:cs="Times New Roman" w:eastAsia="Times New Roman"/>
          <w:b w:val="0"/>
          <w:sz w:val="24"/>
        </w:rPr>
        <w:t xml:space="preserve"> L’anello di Giuliana Conforto conferma i livelli già iscritti e vi aggiunge il rinvenimento dell’arma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 quale vicino più disperso; quello di Giorgio Conforto, ad affinità assai più bassa, mostra che il padre della locataria vive nelle fonti prevalentemente entro il tema dei rapporti con l’Unione Sovietica e non entro il caso: la deriva misurata coincide qui con la distinzione già scolpita fra la relazione familiare, documentata, e il ruolo operativo, mai documentato. L’anello della seduta spiritica al secondo grado attesta la presenza nel corpus dei nomi dei partecipanti accademici alla riunione bolognese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fatto che dalla riunione emerse l’indicazione toponomastica poi riferita alle autorità, con la qualificazione, che il Registro mantiene, di circostanza mai spiegata in modo soddisfacente da alcuna delle letture concorrenti.</w:t>
      </w:r>
    </w:p>
    <w:p>
      <w:pPr>
        <w:spacing w:line="276" w:lineRule="auto" w:after="60" w:before="0"/>
        <w:ind w:firstLine="425"/>
        <w:jc w:val="both"/>
      </w:pPr>
      <w:r>
        <w:rPr>
          <w:rFonts w:ascii="Times New Roman" w:hAnsi="Times New Roman" w:cs="Times New Roman" w:eastAsia="Times New Roman"/>
          <w:b/>
          <w:sz w:val="24"/>
        </w:rPr>
        <w:t>Le derive di fascia intermedia.</w:t>
      </w:r>
      <w:r>
        <w:rPr>
          <w:rFonts w:ascii="Times New Roman" w:hAnsi="Times New Roman" w:cs="Times New Roman" w:eastAsia="Times New Roman"/>
          <w:b w:val="0"/>
          <w:sz w:val="24"/>
        </w:rPr>
        <w:t xml:space="preserve"> L’anello di Francesco Delfino scivola verso l’istruttoria bresciana — i nomi del giudice Arcai, del condannato Buzzi, di Delle Chiaie — e appartiene a quel caso, non a questo; l’anello di Giustino De Vuono si riduce al luogo di detenzione e a una prossimità con il nome di Moretti che resta da leggere; l’anello del Superclan e dei fondatori dell’istituto parigino aggiunge i nomi del difensore e del magistrato istruttore veneziano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 audizioni e alle istruttorie, fermi i livelli già assegnati alla qualificazione dell’istituto.</w:t>
      </w:r>
    </w:p>
    <w:p>
      <w:pPr>
        <w:spacing w:line="276" w:lineRule="auto" w:after="80" w:before="200"/>
        <w:ind w:firstLine="0"/>
        <w:jc w:val="both"/>
      </w:pPr>
      <w:r>
        <w:rPr>
          <w:rFonts w:ascii="Times New Roman" w:hAnsi="Times New Roman" w:cs="Times New Roman" w:eastAsia="Times New Roman"/>
          <w:b/>
          <w:sz w:val="24"/>
        </w:rPr>
        <w:t>Fascia inferiore: la mappa del contesto</w:t>
      </w:r>
    </w:p>
    <w:p>
      <w:pPr>
        <w:spacing w:line="276" w:lineRule="auto" w:after="60" w:before="0"/>
        <w:ind w:firstLine="425"/>
        <w:jc w:val="both"/>
      </w:pPr>
      <w:r>
        <w:rPr>
          <w:rFonts w:ascii="Times New Roman" w:hAnsi="Times New Roman" w:cs="Times New Roman" w:eastAsia="Times New Roman"/>
          <w:b/>
          <w:sz w:val="24"/>
        </w:rPr>
        <w:t>La banda considerata in sé.</w:t>
      </w:r>
      <w:r>
        <w:rPr>
          <w:rFonts w:ascii="Times New Roman" w:hAnsi="Times New Roman" w:cs="Times New Roman" w:eastAsia="Times New Roman"/>
          <w:b w:val="0"/>
          <w:sz w:val="24"/>
        </w:rPr>
        <w:t xml:space="preserve"> Gli anelli degli esponenti della banda romana — con affinità fra l’otto e il diciannove per cento — restituiscono la banda e non il caso: i capi delle batterie, le zone, i collaboratori che ne ricostruirono la struttura, e la saldatura con l’eversione nera attraverso i rapporti, che le fonti attestano, fra taluni suoi esponenti e militanti dell’area armata di destra. Questa saldatura è dato rilevante per la materia generale e resta, per questo Registro, contesto: nessuna delle finestre lette la congiunge al sequestro, e la sua registrazione qui vale come confine dichiarato, non come pista.</w:t>
      </w:r>
    </w:p>
    <w:p>
      <w:pPr>
        <w:spacing w:line="276" w:lineRule="auto" w:after="60" w:before="0"/>
        <w:ind w:firstLine="425"/>
        <w:jc w:val="both"/>
      </w:pPr>
      <w:r>
        <w:rPr>
          <w:rFonts w:ascii="Times New Roman" w:hAnsi="Times New Roman" w:cs="Times New Roman" w:eastAsia="Times New Roman"/>
          <w:b/>
          <w:sz w:val="24"/>
        </w:rPr>
        <w:t>I vertici degli apparati e la trappola dei due organigrammi.</w:t>
      </w:r>
      <w:r>
        <w:rPr>
          <w:rFonts w:ascii="Times New Roman" w:hAnsi="Times New Roman" w:cs="Times New Roman" w:eastAsia="Times New Roman"/>
          <w:b w:val="0"/>
          <w:sz w:val="24"/>
        </w:rPr>
        <w:t xml:space="preserve"> L’anello di Walter Pelosi restituisce il quadro dei vertici — i direttori dei due servizi, i comandanti delle armi, il segretario del comitato esecutivo — ma la lettura di pagina impone una distinzione che il calcolo non vede e che il Registro scolpisce: l’organigramma che la fonte elenca in blocco è quello del giugno millenovecentottanta, riferito ad altra tragedia, e </w:t>
      </w:r>
      <w:r>
        <w:rPr>
          <w:rFonts w:ascii="Times New Roman" w:hAnsi="Times New Roman" w:cs="Times New Roman" w:eastAsia="Times New Roman"/>
          <w:b/>
          <w:sz w:val="24"/>
        </w:rPr>
        <w:t>non può essere trasferito al marzo del settantotto</w:t>
      </w:r>
      <w:r>
        <w:rPr>
          <w:rFonts w:ascii="Times New Roman" w:hAnsi="Times New Roman" w:cs="Times New Roman" w:eastAsia="Times New Roman"/>
          <w:b w:val="0"/>
          <w:sz w:val="24"/>
        </w:rPr>
        <w:t xml:space="preserve">. Per i cinquantacinque giorni valgono, su fonte parlamentare di prima grandezza, le funzioni effettivamente coeve: la direzione di un servizio dal novembre millenovecentosettantasette e dell’altro dal gennaio millenovecentosettantotto da parte di ufficiali i cui nomi figurano negli elenchi della loggia rinvenuti nel marzo millenovecentottantuno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 funzioni, alle date e alla presenza negli elenchi, per attestazione della relazione parlamentare dedicata. Il dato coevo è dunque più circoscritto e insieme più solido di quello che l’anello suggeriva: durante il sequestro, i vertici di entrambi gli organismi informativi appartenevano agli elenchi di una associazione segreta, e questo è un fatto; ogni inferenza dal fatto alla condotta resta materia delle ipotesi concorrenti già formulate, e ai livelli già assegnati.</w:t>
      </w:r>
    </w:p>
    <w:p>
      <w:pPr>
        <w:spacing w:line="276" w:lineRule="auto" w:after="60" w:before="0"/>
        <w:ind w:firstLine="425"/>
        <w:jc w:val="both"/>
      </w:pPr>
      <w:r>
        <w:rPr>
          <w:rFonts w:ascii="Times New Roman" w:hAnsi="Times New Roman" w:cs="Times New Roman" w:eastAsia="Times New Roman"/>
          <w:b/>
          <w:sz w:val="24"/>
        </w:rPr>
        <w:t>Le derive dichiarate.</w:t>
      </w:r>
      <w:r>
        <w:rPr>
          <w:rFonts w:ascii="Times New Roman" w:hAnsi="Times New Roman" w:cs="Times New Roman" w:eastAsia="Times New Roman"/>
          <w:b w:val="0"/>
          <w:sz w:val="24"/>
        </w:rPr>
        <w:t xml:space="preserve"> L’anello del banchiere vaticano scivola verso il crack bancario, i nomi degli anni ottanta e la scomparsa della cittadina vaticana — vicende altrui, che il Registro nomina solo per dichiarare la deriva; l’inventario archivistico della Presidenza attesta peraltro, quale sottoprodotto dell’espansione, l’identità del generale già emerso senza nome nel Primo Anello, consigliere per l’ordine democratico e la sicurezza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funzione, per fonte inventariale. L’anello del fondatore dei comitati di resistenza scivola verso la stagione precedente; quello dell’ufficiale condannato per i depistaggi scivola verso la stagione successiva e verso una sigla eversiva meridionale del millenovecentottanta. Sono i confini del caso, e il Secondo Anello ha avuto, fra le sue funzioni, quella di disegnarli.</w:t>
      </w:r>
    </w:p>
    <w:p>
      <w:pPr>
        <w:spacing w:line="276" w:lineRule="auto" w:after="80" w:before="200"/>
        <w:ind w:firstLine="0"/>
        <w:jc w:val="both"/>
      </w:pPr>
      <w:r>
        <w:rPr>
          <w:rFonts w:ascii="Times New Roman" w:hAnsi="Times New Roman" w:cs="Times New Roman" w:eastAsia="Times New Roman"/>
          <w:b/>
          <w:sz w:val="24"/>
        </w:rPr>
        <w:t>L’effetto di piccolo mondo constatato</w:t>
      </w:r>
    </w:p>
    <w:p>
      <w:pPr>
        <w:spacing w:line="276" w:lineRule="auto" w:after="60" w:before="0"/>
        <w:ind w:firstLine="425"/>
        <w:jc w:val="both"/>
      </w:pPr>
      <w:r>
        <w:rPr>
          <w:rFonts w:ascii="Times New Roman" w:hAnsi="Times New Roman" w:cs="Times New Roman" w:eastAsia="Times New Roman"/>
          <w:b w:val="0"/>
          <w:sz w:val="24"/>
        </w:rPr>
        <w:t xml:space="preserve">A due passi dal sequestro, la rete documentale tocca la strage di piazza Fontana, quella di Brescia, i depistaggi di Bologna, la tragedia del cielo di Ustica, il crollo di due imperi bancari, la scomparsa di una cittadina vaticana, il terrorismo tedesco e l’intera vicenda della loggia: ossia, per l’essenziale, la materia intera dell’opera maggiore. Questo esito era prevedibile in astratto ed è ora </w:t>
      </w:r>
      <w:r>
        <w:rPr>
          <w:rFonts w:ascii="Times New Roman" w:hAnsi="Times New Roman" w:cs="Times New Roman" w:eastAsia="Times New Roman"/>
          <w:b/>
          <w:sz w:val="24"/>
        </w:rPr>
        <w:t>misurato in concreto</w:t>
      </w:r>
      <w:r>
        <w:rPr>
          <w:rFonts w:ascii="Times New Roman" w:hAnsi="Times New Roman" w:cs="Times New Roman" w:eastAsia="Times New Roman"/>
          <w:b w:val="0"/>
          <w:sz w:val="24"/>
        </w:rPr>
        <w:t xml:space="preserve">, e il Registro ne fissa il significato con una distinzione finale che è la ragione stessa della Parte Dodicesima. La constatazione che il caso Moro non è isolabile dal sistema documentale che lo circonda è un risultato: essa smentisce ogni lettura che lo tratti come episodio chiuso, e giustifica l’esistenza di un Registro che ne segua le diramazioni. Ma la prossimità documentale </w:t>
      </w:r>
      <w:r>
        <w:rPr>
          <w:rFonts w:ascii="Times New Roman" w:hAnsi="Times New Roman" w:cs="Times New Roman" w:eastAsia="Times New Roman"/>
          <w:b/>
          <w:sz w:val="24"/>
        </w:rPr>
        <w:t>non è connessione causale</w:t>
      </w:r>
      <w:r>
        <w:rPr>
          <w:rFonts w:ascii="Times New Roman" w:hAnsi="Times New Roman" w:cs="Times New Roman" w:eastAsia="Times New Roman"/>
          <w:b w:val="0"/>
          <w:sz w:val="24"/>
        </w:rPr>
        <w:t>: che le fonti trattino insieme ciò che accadde insieme, o vicino, è un fatto della letteratura, non della storia. Il Secondo Anello consegna dunque alla Camera Istruttoria una mappa di frontiere, non un atlante di prove; e chi lo leggesse come il secondo avrebbe percorso, in due passi, l’intera parabola del pollo di Russell.</w:t>
      </w:r>
    </w:p>
    <w:p>
      <w:pPr>
        <w:spacing w:line="276" w:lineRule="auto" w:after="80" w:before="200"/>
        <w:ind w:firstLine="0"/>
        <w:jc w:val="both"/>
      </w:pPr>
      <w:r>
        <w:rPr>
          <w:rFonts w:ascii="Times New Roman" w:hAnsi="Times New Roman" w:cs="Times New Roman" w:eastAsia="Times New Roman"/>
          <w:b/>
          <w:sz w:val="24"/>
        </w:rPr>
        <w:t>Avvertenze specifiche: omonimie e falsi vicini</w:t>
      </w:r>
    </w:p>
    <w:p>
      <w:pPr>
        <w:spacing w:line="276" w:lineRule="auto" w:after="60" w:before="0"/>
        <w:ind w:firstLine="425"/>
        <w:jc w:val="both"/>
      </w:pPr>
      <w:r>
        <w:rPr>
          <w:rFonts w:ascii="Times New Roman" w:hAnsi="Times New Roman" w:cs="Times New Roman" w:eastAsia="Times New Roman"/>
          <w:b w:val="0"/>
          <w:sz w:val="24"/>
        </w:rPr>
        <w:t xml:space="preserve">L’espansione ha prodotto due casi di scuola che il Registro iscrive come avvertenze permanenti. Il primo è l’omonimia interna: negli anelli della banda romana ricorre il cognome Moretti riferito a una esponente della banda, </w:t>
      </w:r>
      <w:r>
        <w:rPr>
          <w:rFonts w:ascii="Times New Roman" w:hAnsi="Times New Roman" w:cs="Times New Roman" w:eastAsia="Times New Roman"/>
          <w:b/>
          <w:sz w:val="24"/>
        </w:rPr>
        <w:t>Fabiola Moretti</w:t>
      </w:r>
      <w:r>
        <w:rPr>
          <w:rFonts w:ascii="Times New Roman" w:hAnsi="Times New Roman" w:cs="Times New Roman" w:eastAsia="Times New Roman"/>
          <w:b w:val="0"/>
          <w:sz w:val="24"/>
        </w:rPr>
        <w:t xml:space="preserve">, priva di qualunque rapporto con l’omonimo dirigente dell’organizzazione armata; il calcolo, cieco ai nomi propri, li conflerebbe, e la sola lettura li separa. Il secondo è il falso vicino per omonimia esterna: il cognome Varone, emerso nell’anello del parlamentare calabrese, conduce alla lettura verso omonimi condannati in tutt’altro procedimento e in tutt’altra materia; la voce originaria resta da istruire e quella letta è espunta come artefatto. Le due avvertenze si aggiungono al registro degli artefatti e valgono come regola: </w:t>
      </w:r>
      <w:r>
        <w:rPr>
          <w:rFonts w:ascii="Times New Roman" w:hAnsi="Times New Roman" w:cs="Times New Roman" w:eastAsia="Times New Roman"/>
          <w:b/>
          <w:sz w:val="24"/>
        </w:rPr>
        <w:t>nessun cognome è un nodo</w:t>
      </w:r>
      <w:r>
        <w:rPr>
          <w:rFonts w:ascii="Times New Roman" w:hAnsi="Times New Roman" w:cs="Times New Roman" w:eastAsia="Times New Roman"/>
          <w:b w:val="0"/>
          <w:sz w:val="24"/>
        </w:rPr>
        <w:t xml:space="preserve"> — il nodo è la persona, e la persona esiste solo dopo la lettura.</w:t>
      </w:r>
    </w:p>
    <w:p>
      <w:pPr>
        <w:spacing w:line="276" w:lineRule="auto" w:after="80" w:before="200"/>
        <w:ind w:firstLine="0"/>
        <w:jc w:val="both"/>
      </w:pPr>
      <w:r>
        <w:rPr>
          <w:rFonts w:ascii="Times New Roman" w:hAnsi="Times New Roman" w:cs="Times New Roman" w:eastAsia="Times New Roman"/>
          <w:b/>
          <w:sz w:val="24"/>
        </w:rPr>
        <w:t>Nodi ammessi al Registro dei nodi dalla Parte Dodicesima</w:t>
      </w:r>
    </w:p>
    <w:p>
      <w:pPr>
        <w:spacing w:line="276" w:lineRule="auto" w:after="60" w:before="0"/>
        <w:ind w:firstLine="425"/>
        <w:jc w:val="both"/>
      </w:pPr>
      <w:r>
        <w:rPr>
          <w:rFonts w:ascii="Times New Roman" w:hAnsi="Times New Roman" w:cs="Times New Roman" w:eastAsia="Times New Roman"/>
          <w:b w:val="0"/>
          <w:sz w:val="24"/>
        </w:rPr>
        <w:t xml:space="preserve">Sono ammessi, con i livelli indicati: Raimondo Etro,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qualità di brigatista e all’audizione; Topazia Caetani di Sermoneta,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matrimonio, con la qualificazione espressa che ogni lettura ulteriore del coniuge resta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Ernesto Cudillo,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sentenza-ordinanza del millenovecentottantatré e alla critica parlamentare di essa, con riserva d’istruttoria sulla prossimità al palazzo; Giuseppe Messina e la dichiarazione sull’invito di Flavio Carboni,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dichiarazione,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l’effettività; Flavio Carboni,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ruolo di tramite dichiarato; Franco Tritto,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testimonianza sul borsista; Luciano Dal Bello e il maresciallo Solinas,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l’intera catena informativa, su ordinanza istruttoria riportata in fonte parlamentare; Willy Peter Stoll,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ai contatti con Moretti e ai riscontri documentali; i quattro militanti di via Fracchia e Guido Rossa,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 fatti, quale contesto dichiarato; i vertici coevi dei due servizi con le date di direzione e la presenza negli elenchi della loggia,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 relazione parlamentare; il generale consigliere per l’ordine democratico e la sicurezza,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funzione, per fonte inventariale.</w:t>
      </w:r>
    </w:p>
    <w:p>
      <w:pPr>
        <w:spacing w:line="276" w:lineRule="auto" w:after="80" w:before="200"/>
        <w:ind w:firstLine="0"/>
        <w:jc w:val="both"/>
      </w:pPr>
      <w:r>
        <w:rPr>
          <w:rFonts w:ascii="Times New Roman" w:hAnsi="Times New Roman" w:cs="Times New Roman" w:eastAsia="Times New Roman"/>
          <w:b/>
          <w:sz w:val="24"/>
        </w:rPr>
        <w:t>Assegnazioni alla Camera Istruttoria</w:t>
      </w:r>
    </w:p>
    <w:p>
      <w:pPr>
        <w:spacing w:line="276" w:lineRule="auto" w:after="60" w:before="0"/>
        <w:ind w:firstLine="425"/>
        <w:jc w:val="both"/>
      </w:pPr>
      <w:r>
        <w:rPr>
          <w:rFonts w:ascii="Times New Roman" w:hAnsi="Times New Roman" w:cs="Times New Roman" w:eastAsia="Times New Roman"/>
          <w:b w:val="0"/>
          <w:sz w:val="24"/>
        </w:rPr>
        <w:t>Dalla Parte Dodicesima discendono, in ordine di priorità: prima, la lettura di pagina della prossimità fra il nome del consigliere istruttore e il palazzo, da risolvere o da espungere; seconda, l’istruttoria sulla ricorrenza della società di trasporto valori nell’anello del collaboratore politico della vittima, con divieto di anticipazione; terza, la verifica sistematica dell’organigramma coevo dei cinquantacinque giorni, funzione per funzione, contro la trappola dei due organigrammi; quarta, la lettura della prossimità fra il nome del detenuto calabrese e quello del dirigente dell’organizzazione; quinta, la risalita alla fonte primaria di ogni voce del Secondo Anello che poggi unicamente sulla monografia tesistica; sesta, la registrazione nel registro degli artefatti dell’omonimia Varone e dell’avvertenza Fabiola Moretti. Resta ferma, sovraordinata a tutte, la conversione del blocco stenografico, che di molte fra queste istruttorie è la condizione.</w:t>
      </w:r>
    </w:p>
    <w:p>
      <w:pPr>
        <w:spacing w:line="276" w:lineRule="auto" w:after="80" w:before="200"/>
        <w:ind w:firstLine="0"/>
        <w:jc w:val="both"/>
      </w:pPr>
      <w:r>
        <w:rPr>
          <w:rFonts w:ascii="Times New Roman" w:hAnsi="Times New Roman" w:cs="Times New Roman" w:eastAsia="Times New Roman"/>
          <w:b/>
          <w:sz w:val="24"/>
        </w:rPr>
        <w:t>COLOPHON DELL’EDIZIONE TERZA</w:t>
      </w:r>
    </w:p>
    <w:p>
      <w:pPr>
        <w:spacing w:line="276" w:lineRule="auto" w:after="60" w:before="0"/>
        <w:ind w:firstLine="425"/>
        <w:jc w:val="both"/>
      </w:pPr>
      <w:r>
        <w:rPr>
          <w:rFonts w:ascii="Times New Roman" w:hAnsi="Times New Roman" w:cs="Times New Roman" w:eastAsia="Times New Roman"/>
          <w:b w:val="0"/>
          <w:sz w:val="24"/>
        </w:rPr>
        <w:t>REGISTRO ANALITICO DEL CASO MORO, edizione terza, con il Secondo Anello di Prossimità,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Incorpora verbatim l’edizione seconda e, per suo tramite, la prima;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TREDICESIMA — LA METODOLOGIA DEL SALTO DELLA QUAGLIA</w:t>
      </w:r>
    </w:p>
    <w:p>
      <w:pPr>
        <w:spacing w:line="276" w:lineRule="auto" w:after="60" w:before="0"/>
        <w:ind w:firstLine="425"/>
        <w:jc w:val="both"/>
      </w:pPr>
      <w:r>
        <w:rPr>
          <w:rFonts w:ascii="Times New Roman" w:hAnsi="Times New Roman" w:cs="Times New Roman" w:eastAsia="Times New Roman"/>
          <w:b w:val="0"/>
          <w:sz w:val="24"/>
        </w:rPr>
        <w:t>Metodologia di Luigi De Michele</w:t>
      </w:r>
    </w:p>
    <w:p>
      <w:pPr>
        <w:spacing w:line="276" w:lineRule="auto" w:after="80" w:before="200"/>
        <w:ind w:firstLine="0"/>
        <w:jc w:val="both"/>
      </w:pPr>
      <w:r>
        <w:rPr>
          <w:rFonts w:ascii="Times New Roman" w:hAnsi="Times New Roman" w:cs="Times New Roman" w:eastAsia="Times New Roman"/>
          <w:b/>
          <w:sz w:val="24"/>
        </w:rPr>
        <w:t>Definizione e ragione del nome</w:t>
      </w:r>
    </w:p>
    <w:p>
      <w:pPr>
        <w:spacing w:line="276" w:lineRule="auto" w:after="60" w:before="0"/>
        <w:ind w:firstLine="425"/>
        <w:jc w:val="both"/>
      </w:pPr>
      <w:r>
        <w:rPr>
          <w:rFonts w:ascii="Times New Roman" w:hAnsi="Times New Roman" w:cs="Times New Roman" w:eastAsia="Times New Roman"/>
          <w:b w:val="0"/>
          <w:sz w:val="24"/>
        </w:rPr>
        <w:t xml:space="preserve">La Metodologia del Salto della Quaglia, elaborata dall’autore del presente Registro e qui formalizzata come strumento permanente dell’apparato, risponde a un problema che l’analisi di rete conosce bene e risolve male: il </w:t>
      </w:r>
      <w:r>
        <w:rPr>
          <w:rFonts w:ascii="Times New Roman" w:hAnsi="Times New Roman" w:cs="Times New Roman" w:eastAsia="Times New Roman"/>
          <w:b/>
          <w:sz w:val="24"/>
        </w:rPr>
        <w:t>buco strutturale</w:t>
      </w:r>
      <w:r>
        <w:rPr>
          <w:rFonts w:ascii="Times New Roman" w:hAnsi="Times New Roman" w:cs="Times New Roman" w:eastAsia="Times New Roman"/>
          <w:b w:val="0"/>
          <w:sz w:val="24"/>
        </w:rPr>
        <w:t xml:space="preserve">, la coppia di nodi che dovrebbero essere connessi e che nel grafo operativo non lo sono. L’analisi convenzionale, davanti al buco, ha due sole mosse — dichiararlo compartimentazione o dichiararlo lacuna — e in entrambi i casi si arresta. La metodologia qui formalizzata prescrive una terza mossa: cercare il legame </w:t>
      </w:r>
      <w:r>
        <w:rPr>
          <w:rFonts w:ascii="Times New Roman" w:hAnsi="Times New Roman" w:cs="Times New Roman" w:eastAsia="Times New Roman"/>
          <w:b/>
          <w:sz w:val="24"/>
        </w:rPr>
        <w:t>su un piano diverso</w:t>
      </w:r>
      <w:r>
        <w:rPr>
          <w:rFonts w:ascii="Times New Roman" w:hAnsi="Times New Roman" w:cs="Times New Roman" w:eastAsia="Times New Roman"/>
          <w:b w:val="0"/>
          <w:sz w:val="24"/>
        </w:rPr>
        <w:t xml:space="preserve"> da quello in cui il buco appare. Il nome è una risemantizzazione deliberata: nella lingua parlamentare dell’Ottocento il salto della quaglia designava il trasformismo, il passaggio d’un uomo da uno schieramento all’altro; nella presente metodologia designa il modo di volo dell’animale, che non procede in linea retta e in quota, dove il tiratore lo attende, ma per </w:t>
      </w:r>
      <w:r>
        <w:rPr>
          <w:rFonts w:ascii="Times New Roman" w:hAnsi="Times New Roman" w:cs="Times New Roman" w:eastAsia="Times New Roman"/>
          <w:b/>
          <w:sz w:val="24"/>
        </w:rPr>
        <w:t>salti bassi, brevi e laterali, sotto la linea di tiro</w:t>
      </w:r>
      <w:r>
        <w:rPr>
          <w:rFonts w:ascii="Times New Roman" w:hAnsi="Times New Roman" w:cs="Times New Roman" w:eastAsia="Times New Roman"/>
          <w:b w:val="0"/>
          <w:sz w:val="24"/>
        </w:rPr>
        <w:t>. Il potere informale si muove così: quasi mai lungo l’arco diretto fra due nodi operativi — che è l’arco sorvegliato, intercettabile, processabile — ma per salti su nodi terzi che appartengono a piani relazionali che nessuno sorveglia, perché nessuno li considera rete.</w:t>
      </w:r>
    </w:p>
    <w:p>
      <w:pPr>
        <w:spacing w:line="276" w:lineRule="auto" w:after="60" w:before="0"/>
        <w:ind w:firstLine="425"/>
        <w:jc w:val="both"/>
      </w:pPr>
      <w:r>
        <w:rPr>
          <w:rFonts w:ascii="Times New Roman" w:hAnsi="Times New Roman" w:cs="Times New Roman" w:eastAsia="Times New Roman"/>
          <w:b w:val="0"/>
          <w:sz w:val="24"/>
        </w:rPr>
        <w:t xml:space="preserve">I piani del salto sono cinque, e la loro enumerazione è il cuore operativo della metodologia. Il piano </w:t>
      </w:r>
      <w:r>
        <w:rPr>
          <w:rFonts w:ascii="Times New Roman" w:hAnsi="Times New Roman" w:cs="Times New Roman" w:eastAsia="Times New Roman"/>
          <w:b/>
          <w:sz w:val="24"/>
        </w:rPr>
        <w:t>rituale e di parentela cerimoniale</w:t>
      </w:r>
      <w:r>
        <w:rPr>
          <w:rFonts w:ascii="Times New Roman" w:hAnsi="Times New Roman" w:cs="Times New Roman" w:eastAsia="Times New Roman"/>
          <w:b w:val="0"/>
          <w:sz w:val="24"/>
        </w:rPr>
        <w:t xml:space="preserve">: i testimoni di nozze, i padrini di battesimo e di cresima, il comparatico, i matrimoni di componimento — istituti che la criminologia delle mafie conosce come tecnologia di alleanza, e che saldano famiglie, cosche e domini con atti pubblici che nessuno legge come atti di rete. Il piano </w:t>
      </w:r>
      <w:r>
        <w:rPr>
          <w:rFonts w:ascii="Times New Roman" w:hAnsi="Times New Roman" w:cs="Times New Roman" w:eastAsia="Times New Roman"/>
          <w:b/>
          <w:sz w:val="24"/>
        </w:rPr>
        <w:t>patrimoniale e notarile</w:t>
      </w:r>
      <w:r>
        <w:rPr>
          <w:rFonts w:ascii="Times New Roman" w:hAnsi="Times New Roman" w:cs="Times New Roman" w:eastAsia="Times New Roman"/>
          <w:b w:val="0"/>
          <w:sz w:val="24"/>
        </w:rPr>
        <w:t xml:space="preserve">: le intestazioni, i contratti registrati e non registrati, le società, le compravendite, i lasciti — dove il rapporto corre fra i nomi che firmano, non fra quelli che contano. Il piano </w:t>
      </w:r>
      <w:r>
        <w:rPr>
          <w:rFonts w:ascii="Times New Roman" w:hAnsi="Times New Roman" w:cs="Times New Roman" w:eastAsia="Times New Roman"/>
          <w:b/>
          <w:sz w:val="24"/>
        </w:rPr>
        <w:t>professionale</w:t>
      </w:r>
      <w:r>
        <w:rPr>
          <w:rFonts w:ascii="Times New Roman" w:hAnsi="Times New Roman" w:cs="Times New Roman" w:eastAsia="Times New Roman"/>
          <w:b w:val="0"/>
          <w:sz w:val="24"/>
        </w:rPr>
        <w:t xml:space="preserve">: le consulenze, le perizie, le cattedre, gli studi condivisi — dove un medesimo tecnico serve domini che non si parlano, e li fa parlare. Il piano </w:t>
      </w:r>
      <w:r>
        <w:rPr>
          <w:rFonts w:ascii="Times New Roman" w:hAnsi="Times New Roman" w:cs="Times New Roman" w:eastAsia="Times New Roman"/>
          <w:b/>
          <w:sz w:val="24"/>
        </w:rPr>
        <w:t>conviviale</w:t>
      </w:r>
      <w:r>
        <w:rPr>
          <w:rFonts w:ascii="Times New Roman" w:hAnsi="Times New Roman" w:cs="Times New Roman" w:eastAsia="Times New Roman"/>
          <w:b w:val="0"/>
          <w:sz w:val="24"/>
        </w:rPr>
        <w:t xml:space="preserve">: le cene, i circoli, i salotti, i palchi — la prossimità fisica ricorrente che precede e accompagna ogni accordo. Il piano </w:t>
      </w:r>
      <w:r>
        <w:rPr>
          <w:rFonts w:ascii="Times New Roman" w:hAnsi="Times New Roman" w:cs="Times New Roman" w:eastAsia="Times New Roman"/>
          <w:b/>
          <w:sz w:val="24"/>
        </w:rPr>
        <w:t>confidenziale</w:t>
      </w:r>
      <w:r>
        <w:rPr>
          <w:rFonts w:ascii="Times New Roman" w:hAnsi="Times New Roman" w:cs="Times New Roman" w:eastAsia="Times New Roman"/>
          <w:b w:val="0"/>
          <w:sz w:val="24"/>
        </w:rPr>
        <w:t>: gli informatori, i confidenti, i canali di ritorno — dove l’informazione attraversa la frontiera fra i domini portata da chi appartiene a entrambi senza appartenere a nessuno.</w:t>
      </w:r>
    </w:p>
    <w:p>
      <w:pPr>
        <w:spacing w:line="276" w:lineRule="auto" w:after="80" w:before="200"/>
        <w:ind w:firstLine="0"/>
        <w:jc w:val="both"/>
      </w:pPr>
      <w:r>
        <w:rPr>
          <w:rFonts w:ascii="Times New Roman" w:hAnsi="Times New Roman" w:cs="Times New Roman" w:eastAsia="Times New Roman"/>
          <w:b/>
          <w:sz w:val="24"/>
        </w:rPr>
        <w:t>Fondamento teorico</w:t>
      </w:r>
    </w:p>
    <w:p>
      <w:pPr>
        <w:spacing w:line="276" w:lineRule="auto" w:after="60" w:before="0"/>
        <w:ind w:firstLine="425"/>
        <w:jc w:val="both"/>
      </w:pPr>
      <w:r>
        <w:rPr>
          <w:rFonts w:ascii="Times New Roman" w:hAnsi="Times New Roman" w:cs="Times New Roman" w:eastAsia="Times New Roman"/>
          <w:b w:val="0"/>
          <w:sz w:val="24"/>
        </w:rPr>
        <w:t>La metodologia non nasce nel vuoto e dichiara le proprie ascendenze, che appartengono per intero al canone dell’opera. Da Granovetter assume il teorema della forza dei legami deboli: l’informazione e l’opportunità non viaggiano sui legami forti, ridondanti e sorvegliati, ma sui legami deboli e laterali, che sono precisamente i legami dei cinque piani. Dall’analisi dei buchi strutturali di Burt assume la nozione del vantaggio di posizione di chi cavalca la discontinuità — e la rovescia in strumento di ricerca: dove Burt cerca il broker, il Salto della Quaglia cerca il piano su cui il broker opera. Da Luhmann assume l’accoppiamento strutturale fra sistemi a codice diverso: il nodo di salto è l’operatore materiale dell’accoppiamento, colui nel quale due codici — l’operativo e il rituale, il criminale e il notarile — coesistono senza confondersi. Dalla criminologia delle organizzazioni mafiose assume infine il dato, documentato da un secolo di atti, che i matrimoni, i comparatici e le testimonianze di nozze sono la contabilità pubblica delle alleanze private, tenuta in registri — parrocchiali, di stato civile, notarili — che l’analista quasi mai apre.</w:t>
      </w:r>
    </w:p>
    <w:p>
      <w:pPr>
        <w:spacing w:line="276" w:lineRule="auto" w:after="80" w:before="200"/>
        <w:ind w:firstLine="0"/>
        <w:jc w:val="both"/>
      </w:pPr>
      <w:r>
        <w:rPr>
          <w:rFonts w:ascii="Times New Roman" w:hAnsi="Times New Roman" w:cs="Times New Roman" w:eastAsia="Times New Roman"/>
          <w:b/>
          <w:sz w:val="24"/>
        </w:rPr>
        <w:t>Le cinque regole</w:t>
      </w:r>
    </w:p>
    <w:p>
      <w:pPr>
        <w:spacing w:line="276" w:lineRule="auto" w:after="60" w:before="0"/>
        <w:ind w:firstLine="425"/>
        <w:jc w:val="both"/>
      </w:pPr>
      <w:r>
        <w:rPr>
          <w:rFonts w:ascii="Times New Roman" w:hAnsi="Times New Roman" w:cs="Times New Roman" w:eastAsia="Times New Roman"/>
          <w:b w:val="0"/>
          <w:sz w:val="24"/>
        </w:rPr>
        <w:t xml:space="preserve">Prima regola, </w:t>
      </w:r>
      <w:r>
        <w:rPr>
          <w:rFonts w:ascii="Times New Roman" w:hAnsi="Times New Roman" w:cs="Times New Roman" w:eastAsia="Times New Roman"/>
          <w:b/>
          <w:sz w:val="24"/>
        </w:rPr>
        <w:t>dell’eterogeneità del piano</w:t>
      </w:r>
      <w:r>
        <w:rPr>
          <w:rFonts w:ascii="Times New Roman" w:hAnsi="Times New Roman" w:cs="Times New Roman" w:eastAsia="Times New Roman"/>
          <w:b w:val="0"/>
          <w:sz w:val="24"/>
        </w:rPr>
        <w:t xml:space="preserve">: il nodo di salto va cercato su un piano di natura diversa da quella dei nodi che collega; se il buco è fra due nodi operativi, il salto è rituale, patrimoniale, professionale, conviviale o confidenziale, mai operativo — un salto sullo stesso piano non è un salto, è un arco mancato. Seconda regola, </w:t>
      </w:r>
      <w:r>
        <w:rPr>
          <w:rFonts w:ascii="Times New Roman" w:hAnsi="Times New Roman" w:cs="Times New Roman" w:eastAsia="Times New Roman"/>
          <w:b/>
          <w:sz w:val="24"/>
        </w:rPr>
        <w:t>dell’atto</w:t>
      </w:r>
      <w:r>
        <w:rPr>
          <w:rFonts w:ascii="Times New Roman" w:hAnsi="Times New Roman" w:cs="Times New Roman" w:eastAsia="Times New Roman"/>
          <w:b w:val="0"/>
          <w:sz w:val="24"/>
        </w:rPr>
        <w:t xml:space="preserve">: ogni salto ipotizzato è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finché l’atto che lo incarna non è prodotto — l’atto di matrimonio con la lista dei testimoni, il registro parrocchiale, l’atto notarile, la visura, il contratto, il verbale di confidenza — e la produzione dell’atto lo eleva al livello che l’atto consente, mai oltre. Terza regola, </w:t>
      </w:r>
      <w:r>
        <w:rPr>
          <w:rFonts w:ascii="Times New Roman" w:hAnsi="Times New Roman" w:cs="Times New Roman" w:eastAsia="Times New Roman"/>
          <w:b/>
          <w:sz w:val="24"/>
        </w:rPr>
        <w:t>del canale e dell’uso</w:t>
      </w:r>
      <w:r>
        <w:rPr>
          <w:rFonts w:ascii="Times New Roman" w:hAnsi="Times New Roman" w:cs="Times New Roman" w:eastAsia="Times New Roman"/>
          <w:b w:val="0"/>
          <w:sz w:val="24"/>
        </w:rPr>
        <w:t xml:space="preserve">: il salto documentato attesta un </w:t>
      </w:r>
      <w:r>
        <w:rPr>
          <w:rFonts w:ascii="Times New Roman" w:hAnsi="Times New Roman" w:cs="Times New Roman" w:eastAsia="Times New Roman"/>
          <w:b/>
          <w:sz w:val="24"/>
        </w:rPr>
        <w:t>canale di possibilità</w:t>
      </w:r>
      <w:r>
        <w:rPr>
          <w:rFonts w:ascii="Times New Roman" w:hAnsi="Times New Roman" w:cs="Times New Roman" w:eastAsia="Times New Roman"/>
          <w:b w:val="0"/>
          <w:sz w:val="24"/>
        </w:rPr>
        <w:t xml:space="preserve">, non la sua attivazione; che il canale sia stato percorso, quando, da che cosa e in quale direzione, è oggetto di prova separata, e la responsabilità — di chiunque — comincia soltanto dove l’uso è provato. Quarta regola, </w:t>
      </w:r>
      <w:r>
        <w:rPr>
          <w:rFonts w:ascii="Times New Roman" w:hAnsi="Times New Roman" w:cs="Times New Roman" w:eastAsia="Times New Roman"/>
          <w:b/>
          <w:sz w:val="24"/>
        </w:rPr>
        <w:t>della falsificazione</w:t>
      </w:r>
      <w:r>
        <w:rPr>
          <w:rFonts w:ascii="Times New Roman" w:hAnsi="Times New Roman" w:cs="Times New Roman" w:eastAsia="Times New Roman"/>
          <w:b w:val="0"/>
          <w:sz w:val="24"/>
        </w:rPr>
        <w:t xml:space="preserve">: ogni salto reca le proprie condizioni di confutazione, e ne sono tipiche due — l’estraneità accertata del nodo terzo e la posteriorità dell’arco rituale o patrimoniale rispetto ai fatti che dovrebbe spiegare, poiché un canale aperto dopo non spiega un flusso avvenuto prima. Quinta regola, </w:t>
      </w:r>
      <w:r>
        <w:rPr>
          <w:rFonts w:ascii="Times New Roman" w:hAnsi="Times New Roman" w:cs="Times New Roman" w:eastAsia="Times New Roman"/>
          <w:b/>
          <w:sz w:val="24"/>
        </w:rPr>
        <w:t>del salto dell’analista</w:t>
      </w:r>
      <w:r>
        <w:rPr>
          <w:rFonts w:ascii="Times New Roman" w:hAnsi="Times New Roman" w:cs="Times New Roman" w:eastAsia="Times New Roman"/>
          <w:b w:val="0"/>
          <w:sz w:val="24"/>
        </w:rPr>
        <w:t>: la quaglia impone il proprio modo di volo anche a chi la insegue — l’analista che cerca il salto deve cambiare classe di fonti, uscire dagli atti giudiziari e parlamentari ed entrare negli archivi di stato civile, nei registri parrocchiali, nei repertori notarili, nelle visure camerali, nelle liste dei testimoni e dei padrini; chi cerca il piano rituale nelle carte processuali cerca la quaglia in quota, dove la quaglia non vola.</w:t>
      </w:r>
    </w:p>
    <w:p>
      <w:pPr>
        <w:spacing w:line="276" w:lineRule="auto" w:after="80" w:before="200"/>
        <w:ind w:firstLine="0"/>
        <w:jc w:val="both"/>
      </w:pPr>
      <w:r>
        <w:rPr>
          <w:rFonts w:ascii="Times New Roman" w:hAnsi="Times New Roman" w:cs="Times New Roman" w:eastAsia="Times New Roman"/>
          <w:b/>
          <w:sz w:val="24"/>
        </w:rPr>
        <w:t>I casi già documentati nel corpus</w:t>
      </w:r>
    </w:p>
    <w:p>
      <w:pPr>
        <w:spacing w:line="276" w:lineRule="auto" w:after="60" w:before="0"/>
        <w:ind w:firstLine="425"/>
        <w:jc w:val="both"/>
      </w:pPr>
      <w:r>
        <w:rPr>
          <w:rFonts w:ascii="Times New Roman" w:hAnsi="Times New Roman" w:cs="Times New Roman" w:eastAsia="Times New Roman"/>
          <w:b w:val="0"/>
          <w:sz w:val="24"/>
        </w:rPr>
        <w:t xml:space="preserve">La metodologia non è, nel corpus, una proposta: è una pratica già attestata, e il Registro ne fissa i casi. Il primo, e il più puro, è di fonte parlamentare: l’elaborato sulla dimensione sovranazionale, tracciando l’azionariato di una società, annota che una delle azioniste compare, nel gennaio millenovecentonovantadue, come </w:t>
      </w:r>
      <w:r>
        <w:rPr>
          <w:rFonts w:ascii="Times New Roman" w:hAnsi="Times New Roman" w:cs="Times New Roman" w:eastAsia="Times New Roman"/>
          <w:b/>
          <w:sz w:val="24"/>
        </w:rPr>
        <w:t>testimone di nozze</w:t>
      </w:r>
      <w:r>
        <w:rPr>
          <w:rFonts w:ascii="Times New Roman" w:hAnsi="Times New Roman" w:cs="Times New Roman" w:eastAsia="Times New Roman"/>
          <w:b w:val="0"/>
          <w:sz w:val="24"/>
        </w:rPr>
        <w:t xml:space="preserve"> nel matrimonio del figlio di Bettino Craxi, e che testimoni dello sposo erano l’azionista di maggioranza — che risulterà latitante in Nicaragua — e l’allora segretario generale aggiunto della maggiore confederazione sindacale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in quanto attestazione parlamentare. La fonte, cioè, pratica essa stessa il tracciamento per testimoni di nozze come tecnica di rete: usa la lista dei testimoni come visura delle alleanze. Il Registro assume questo precedente come legittimazione documentale della metodologia: ciò che qui si formalizza, gli atti già lo facevano.</w:t>
      </w:r>
    </w:p>
    <w:p>
      <w:pPr>
        <w:spacing w:line="276" w:lineRule="auto" w:after="60" w:before="0"/>
        <w:ind w:firstLine="425"/>
        <w:jc w:val="both"/>
      </w:pPr>
      <w:r>
        <w:rPr>
          <w:rFonts w:ascii="Times New Roman" w:hAnsi="Times New Roman" w:cs="Times New Roman" w:eastAsia="Times New Roman"/>
          <w:b w:val="0"/>
          <w:sz w:val="24"/>
        </w:rPr>
        <w:t xml:space="preserve">Il secondo caso è il matrimonio fra il musicista ucraino e la nobildonna della casata il cui nome è quello della via del ritrovamento: il salto è onomastico-sociale, dall’ambiente artistico all’aristocrazia romana proprietaria dei palazzi, ed è stato già iscritto ai suoi livelli — il matrimonio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ogni lettura ulteriore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terzo è l’arco professionale fra le titolari dei due appartamenti del caso, maturato in un medesimo centro di ricerca: due luoghi operativamente cruciali risultano collegati non sul piano operativo ma su quello professionale delle proprietarie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segnalazione di polizia che lo attesta — ed è il salto già assegnato a istruttoria. Il quarto è la </w:t>
      </w:r>
      <w:r>
        <w:rPr>
          <w:rFonts w:ascii="Times New Roman" w:hAnsi="Times New Roman" w:cs="Times New Roman" w:eastAsia="Times New Roman"/>
          <w:b/>
          <w:sz w:val="24"/>
        </w:rPr>
        <w:t>simmetria dei due criminologi</w:t>
      </w:r>
      <w:r>
        <w:rPr>
          <w:rFonts w:ascii="Times New Roman" w:hAnsi="Times New Roman" w:cs="Times New Roman" w:eastAsia="Times New Roman"/>
          <w:b w:val="0"/>
          <w:sz w:val="24"/>
        </w:rPr>
        <w:t xml:space="preserve">: un professore, consulente della struttura di crisi ministeriale, il cui nome figura negli elenchi della loggia; un altro professore della medesima disciplina, consulente — riferiscono le fonti — del sodalizio criminale romano e in rapporto con l’eversione di destra, parimenti indicato negli elenchi. Due nodi che non si toccano nel grafo operativo e che coincidono su tre piani — professionale, associativo, peritale — configurando il caso di scuola del salto per piano professionale: la perizia forense come corridoio fra i domini. La simmetria è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lettura, i singoli profili ai livelli propri, e l’istruttoria è aperta. Il quinto è il piano confidenziale già accertato: la catena fra il falsario, il suo sodale confidente e il maresciallo del nucleo di polizia giudiziaria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 che è un salto documentato dal piano criminale al piano investigativo. Il sesto, infine, è il piano notarile del caso: l’intestazione dell’appartamento della prigione, il contratto non registrato di via Gradoli, l’utenza della società immobiliare nell’appunto manoscritto — tre atti, o assenze d’atto, che sono altrettante porte del piano patrimoniale.</w:t>
      </w:r>
    </w:p>
    <w:p>
      <w:pPr>
        <w:spacing w:line="276" w:lineRule="auto" w:after="60" w:before="0"/>
        <w:ind w:firstLine="425"/>
        <w:jc w:val="both"/>
      </w:pPr>
      <w:r>
        <w:rPr>
          <w:rFonts w:ascii="Times New Roman" w:hAnsi="Times New Roman" w:cs="Times New Roman" w:eastAsia="Times New Roman"/>
          <w:b w:val="0"/>
          <w:sz w:val="24"/>
        </w:rPr>
        <w:t xml:space="preserve">A questi si aggiunge la segnalazione investigativa che il Salto della Quaglia genera per prima applicazione propria, e che il Registro formula al livello che le compete. Nell’anello del sacerdote indicato come canale di ritorno compaiono, per prossimità, l’istituto finanziario vaticano e una banca del gruppo poi travolto dal crack: se — e il Registro sottolinea il se — fra il religioso e la dirigenza dell’istituto sussistesse un legame di </w:t>
      </w:r>
      <w:r>
        <w:rPr>
          <w:rFonts w:ascii="Times New Roman" w:hAnsi="Times New Roman" w:cs="Times New Roman" w:eastAsia="Times New Roman"/>
          <w:b/>
          <w:sz w:val="24"/>
        </w:rPr>
        <w:t>parentela diretta</w:t>
      </w:r>
      <w:r>
        <w:rPr>
          <w:rFonts w:ascii="Times New Roman" w:hAnsi="Times New Roman" w:cs="Times New Roman" w:eastAsia="Times New Roman"/>
          <w:b w:val="0"/>
          <w:sz w:val="24"/>
        </w:rPr>
        <w:t xml:space="preserve">, il canale spirituale della trattativa e il canale finanziario vaticano risulterebbero collegati sul piano familiare, che è il piano di salto per eccellenza. Allo stato del corpus questa è </w:t>
      </w:r>
      <w:r>
        <w:rPr>
          <w:rFonts w:ascii="Times New Roman" w:hAnsi="Times New Roman" w:cs="Times New Roman" w:eastAsia="Times New Roman"/>
          <w:b/>
          <w:sz w:val="24"/>
        </w:rPr>
        <w:t>ipotesi di Livello C generata da prossimità</w:t>
      </w:r>
      <w:r>
        <w:rPr>
          <w:rFonts w:ascii="Times New Roman" w:hAnsi="Times New Roman" w:cs="Times New Roman" w:eastAsia="Times New Roman"/>
          <w:b w:val="0"/>
          <w:sz w:val="24"/>
        </w:rPr>
        <w:t>: il Registro non la afferma, la assegna alla Camera Istruttoria come istruttoria nominata — la verifica anagrafica del legame — con le condizioni di falsificazione della quarta regola, e la iscrive qui come dimostrazione del funzionamento della metodologia: il salto si ipotizza dal calcolo, si verifica nell’anagrafe, e soltanto l’atto lo promuove.</w:t>
      </w:r>
    </w:p>
    <w:p>
      <w:pPr>
        <w:spacing w:line="276" w:lineRule="auto" w:after="80" w:before="200"/>
        <w:ind w:firstLine="0"/>
        <w:jc w:val="both"/>
      </w:pPr>
      <w:r>
        <w:rPr>
          <w:rFonts w:ascii="Times New Roman" w:hAnsi="Times New Roman" w:cs="Times New Roman" w:eastAsia="Times New Roman"/>
          <w:b/>
          <w:sz w:val="24"/>
        </w:rPr>
        <w:t>PARTE QUATTORDICESIMA — CENSIMENTO INTEGRALE E DEFINITIVO DEI NODI DEGLI ANELLI</w:t>
      </w:r>
    </w:p>
    <w:p>
      <w:pPr>
        <w:spacing w:line="276" w:lineRule="auto" w:after="60" w:before="0"/>
        <w:ind w:firstLine="425"/>
        <w:jc w:val="both"/>
      </w:pPr>
      <w:r>
        <w:rPr>
          <w:rFonts w:ascii="Times New Roman" w:hAnsi="Times New Roman" w:cs="Times New Roman" w:eastAsia="Times New Roman"/>
          <w:b w:val="0"/>
          <w:sz w:val="24"/>
        </w:rPr>
        <w:t>Il presente censimento chiude, in via definitiva quanto alla completezza, l’iscrizione dei nodi emersi dai due Anelli e non ancora iscritti nelle Parti precedenti. Esso è organizzato per Domini; ogni nodo reca inline il proprio livello; le voci prive di lettura di pagina sono iscritte con riserva d’istruttoria espressa, poiché la certificazione riguarda il censimento e mai il legame. I nomi ricorrenti negli anelli come mero rumore grammaticale o come frammenti di estrazione sono stati espunti a monte e non compaiono; le espunzioni motivate e gli artefatti sono raccolti in coda.</w:t>
      </w:r>
    </w:p>
    <w:p>
      <w:pPr>
        <w:spacing w:line="276" w:lineRule="auto" w:after="60" w:before="0"/>
        <w:ind w:firstLine="425"/>
        <w:jc w:val="both"/>
      </w:pPr>
      <w:r>
        <w:rPr>
          <w:rFonts w:ascii="Times New Roman" w:hAnsi="Times New Roman" w:cs="Times New Roman" w:eastAsia="Times New Roman"/>
          <w:b/>
          <w:sz w:val="24"/>
        </w:rPr>
        <w:t>Dominio settimo, l’organizzazione armata e la sua area.</w:t>
      </w:r>
      <w:r>
        <w:rPr>
          <w:rFonts w:ascii="Times New Roman" w:hAnsi="Times New Roman" w:cs="Times New Roman" w:eastAsia="Times New Roman"/>
          <w:b w:val="0"/>
          <w:sz w:val="24"/>
        </w:rPr>
        <w:t xml:space="preserve"> Sono iscritti: Bruno Seghetti e Salvatore Ricciardi, militanti della colonna romana,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alle qualità, emersi nell’anello dell’intestataria della prigione; Antonio Savasta e Mara Nanni,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le posizioni processuali riferite dalle fonti; Lorenzo Betassa, Piero Panciarelli, Riccardo Dura e Lorenzo Micaletto, i militanti uccisi o coinvolti nell’irruzione genovese del marzo millenovecentottanta,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 fatti, già iscritti come gruppo e qui nominati singolarmente; Roberto Peci, fratello del collaboratore, sequestrato e ucciso nell’ottantuno per rappresaglia,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quale terminale della vicenda del collaboratore; Giovanni Senzani,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 ruolo nella stagione successiva, con la dichiarazione di estraneità al sequestro da lui resa e riferita dalle fonti, che resta dichiarazione; la rivista Controinformazione,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alla sua esistenza e area, quale organo di frontiera fra il settimo e l’ottavo Dominio; l’area dell’autonomia con Potere Operaio e il nome di Franco Piperno,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appartenenze,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ruolo nella vicenda, ferma l’istruttoria sulla mediazione tentata nei cinquantacinque giorni; Lotta Continua quale contesto d’area,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l’esistenza.</w:t>
      </w:r>
    </w:p>
    <w:p>
      <w:pPr>
        <w:spacing w:line="276" w:lineRule="auto" w:after="60" w:before="0"/>
        <w:ind w:firstLine="425"/>
        <w:jc w:val="both"/>
      </w:pPr>
      <w:r>
        <w:rPr>
          <w:rFonts w:ascii="Times New Roman" w:hAnsi="Times New Roman" w:cs="Times New Roman" w:eastAsia="Times New Roman"/>
          <w:b/>
          <w:sz w:val="24"/>
        </w:rPr>
        <w:t>Dominio primo, la criminalità.</w:t>
      </w:r>
      <w:r>
        <w:rPr>
          <w:rFonts w:ascii="Times New Roman" w:hAnsi="Times New Roman" w:cs="Times New Roman" w:eastAsia="Times New Roman"/>
          <w:b w:val="0"/>
          <w:sz w:val="24"/>
        </w:rPr>
        <w:t xml:space="preserve"> Sono iscritti, dagli anelli della banda romana e con la fonte enciclopedica quale supporto prevalente e quindi con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d’ordinanza salvo diversa indicazione: Maurizio Abbatino e Antonio Mancini, quali collaboratori le cui ricostruzioni fondano la conoscenza della banda,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in quanto dichiaranti processuali; Enrico De Pedis, Edoardo Toscano, Domenico Balducci, Amleto Fabiani, Giorgio Paradisi, quali esponenti,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nel corpus, con l’avvertenza che il primo è l’assone documentale verso la vicenda della cittadina vaticana, già dichiarata deriva e confine; Raffaele Cutolo e la Nuova Camorra Organizzata,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all’esistenza e al rapporto con l’esponente della banda attestato dalle fonti, e quale ponte verso l’assone campano; Massimo Sparti,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nel corpus, quale giunzione dichiarata fra la banda e l’area armata di destra; il professor Aldo Semerari,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quanto ai profili che le fonti gli attribuiscono — psichiatra forense, presenza negli elenchi della loggia, consulenza per il sodalizio, rapporti con l’eversione di destra — e nodo della simmetria peritale iscritta nella Parte Tredicesima; Toni Chichiarelli quale variante onomastica del falsario già iscritto, unificata d’ufficio.</w:t>
      </w:r>
    </w:p>
    <w:p>
      <w:pPr>
        <w:spacing w:line="276" w:lineRule="auto" w:after="60" w:before="0"/>
        <w:ind w:firstLine="425"/>
        <w:jc w:val="both"/>
      </w:pPr>
      <w:r>
        <w:rPr>
          <w:rFonts w:ascii="Times New Roman" w:hAnsi="Times New Roman" w:cs="Times New Roman" w:eastAsia="Times New Roman"/>
          <w:b/>
          <w:sz w:val="24"/>
        </w:rPr>
        <w:t>Dominio secondo, la politica.</w:t>
      </w:r>
      <w:r>
        <w:rPr>
          <w:rFonts w:ascii="Times New Roman" w:hAnsi="Times New Roman" w:cs="Times New Roman" w:eastAsia="Times New Roman"/>
          <w:b w:val="0"/>
          <w:sz w:val="24"/>
        </w:rPr>
        <w:t xml:space="preserve"> Sono iscritti: Pietro Ingrao,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quale bersaglio del progetto di attentato contenuto nel borsello dell’aprile millenovecentosettantanove, su ordinanza istruttoria riportata in fonte parlamentare — iscrizione che muta la natura del nodo: non contesto, ma obiettivo designato in un documento della medesima officina del depistaggio; Paolo Emilio Taviani,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le ricorrenze negli anelli degli apparati e delle audizioni; Flaminio Piccoli e Arnaldo Forlani,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funzioni; Enrico Berlinguer,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funzione e il disegno politico cui il sequestro si abbatté; Giovanni Galloni,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collocazione correntizia, attestata — circostanza di rilievo autonomo — in un documento d’analisi dell’intelligence statunitense sulle correnti democristiane presente nel corpus, la cui esistenza è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Claudio Vitalone,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quale magistrato poi parlamentare ricorrente nelle finestre della prima ora e nel canale dell’invito; i luoghi Piazza del Gesù e Palazzo Chigi quali toponimi di funzione,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Dominio terzo, gli apparati informativi.</w:t>
      </w:r>
      <w:r>
        <w:rPr>
          <w:rFonts w:ascii="Times New Roman" w:hAnsi="Times New Roman" w:cs="Times New Roman" w:eastAsia="Times New Roman"/>
          <w:b w:val="0"/>
          <w:sz w:val="24"/>
        </w:rPr>
        <w:t xml:space="preserve"> Sono iscritti: Federico Umberto D’Amato,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quale direttore dell’ufficio riservato ricorrente negli anelli; Francesco Pazienza,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per il rapporto con il direttore di un servizio attestato dalla relazione parlamentare sulla loggia; la voce Stay Behind e il Reparto Antieversione quali strutture nominate,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esistenze; con l’avvertenza, permanente, che questo Dominio resta quello a più alta densità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dell’intero Registro.</w:t>
      </w:r>
    </w:p>
    <w:p>
      <w:pPr>
        <w:spacing w:line="276" w:lineRule="auto" w:after="60" w:before="0"/>
        <w:ind w:firstLine="425"/>
        <w:jc w:val="both"/>
      </w:pPr>
      <w:r>
        <w:rPr>
          <w:rFonts w:ascii="Times New Roman" w:hAnsi="Times New Roman" w:cs="Times New Roman" w:eastAsia="Times New Roman"/>
          <w:b/>
          <w:sz w:val="24"/>
        </w:rPr>
        <w:t>Dominio nono e Dominio decimo, le armi e la giurisdizione.</w:t>
      </w:r>
      <w:r>
        <w:rPr>
          <w:rFonts w:ascii="Times New Roman" w:hAnsi="Times New Roman" w:cs="Times New Roman" w:eastAsia="Times New Roman"/>
          <w:b w:val="0"/>
          <w:sz w:val="24"/>
        </w:rPr>
        <w:t xml:space="preserve"> Sono iscritti: il colonnello Antonio Varisco,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quanto alla funzione presso il tribunale e all’uccisione del luglio millenovecentosettantanove, iscritto quale nodo singolo e non quale voce di serie, essendo la serie già respinta; il generale Umberto Cappuzzo e il prefetto Giovanni Rinaldo Coronas,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funzioni alle date che le fonti attestano, con l’avvertenza della trappola dei due organigrammi già scolpita; il colonnello Cornacchia, iscritto con riserva d’istruttoria, non essendo la finestra stata letta. Per la giurisdizione: Francesco Monastero,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quale giudice istruttore autore dell’ordinanza che fonda la catena del falsario; Ernesto Cudillo, già iscritto; i magistrati della prima ora — De Matteo, Sica, Infelisi — e quelli della lunga istruttoria — Imposimato, Priore, Caselli, Turone, Baglione —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funzioni, iscritti quali nodi di giurisdizione; la Corte di Cassazione quale sede, </w:t>
      </w:r>
      <w:r>
        <w:rPr>
          <w:rFonts w:ascii="Times New Roman" w:hAnsi="Times New Roman" w:cs="Times New Roman" w:eastAsia="Times New Roman"/>
          <w:b/>
          <w:sz w:val="24"/>
        </w:rPr>
        <w:t>Livello A</w:t>
      </w:r>
      <w:r>
        <w:rPr>
          <w:rFonts w:ascii="Times New Roman" w:hAnsi="Times New Roman" w:cs="Times New Roman" w:eastAsia="Times New Roman"/>
          <w:b w:val="0"/>
          <w:sz w:val="24"/>
        </w:rPr>
        <w:t>.</w:t>
      </w:r>
    </w:p>
    <w:p>
      <w:pPr>
        <w:spacing w:line="276" w:lineRule="auto" w:after="60" w:before="0"/>
        <w:ind w:firstLine="425"/>
        <w:jc w:val="both"/>
      </w:pPr>
      <w:r>
        <w:rPr>
          <w:rFonts w:ascii="Times New Roman" w:hAnsi="Times New Roman" w:cs="Times New Roman" w:eastAsia="Times New Roman"/>
          <w:b/>
          <w:sz w:val="24"/>
        </w:rPr>
        <w:t>Dominio quinto e Dominio sesto, la mediazione e il denaro.</w:t>
      </w:r>
      <w:r>
        <w:rPr>
          <w:rFonts w:ascii="Times New Roman" w:hAnsi="Times New Roman" w:cs="Times New Roman" w:eastAsia="Times New Roman"/>
          <w:b w:val="0"/>
          <w:sz w:val="24"/>
        </w:rPr>
        <w:t xml:space="preserve"> Sono iscritti: il padre Morlion,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la cui carta intestata le fonti collocano fra i materiali dell’appartamento di viale Giulio Cesare, con riserva di risalita alla fonte primaria; l’Istituto per le Opere di Religione e la Banca Unione quali enti emersi nell’anello del canale ecclesiastico,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esistenze e le vicende,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legame con il caso, ferma la segnalazione di salto familiare formulata nella Parte Tredicesima e assegnata alla Camera; il Banco Ambrosiano e Roberto Calvi,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 vicende proprie, iscritti quali derive dichiarate; la società di vigilanza e trasporto valori ricorrente negli anelli del falsario e del collaboratore politico,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con istruttoria già assegnata.</w:t>
      </w:r>
    </w:p>
    <w:p>
      <w:pPr>
        <w:spacing w:line="276" w:lineRule="auto" w:after="60" w:before="0"/>
        <w:ind w:firstLine="425"/>
        <w:jc w:val="both"/>
      </w:pPr>
      <w:r>
        <w:rPr>
          <w:rFonts w:ascii="Times New Roman" w:hAnsi="Times New Roman" w:cs="Times New Roman" w:eastAsia="Times New Roman"/>
          <w:b/>
          <w:sz w:val="24"/>
        </w:rPr>
        <w:t>Dominio ottavo, l’informazione.</w:t>
      </w:r>
      <w:r>
        <w:rPr>
          <w:rFonts w:ascii="Times New Roman" w:hAnsi="Times New Roman" w:cs="Times New Roman" w:eastAsia="Times New Roman"/>
          <w:b w:val="0"/>
          <w:sz w:val="24"/>
        </w:rPr>
        <w:t xml:space="preserve"> Sono iscritti: Corrado Guerzoni,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portavoce della vittima e fonte di dichiarazioni ricorrenti; Luca Villoresi,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giornalista ricorrente nell’anello della prigione; il settimanale straniero e il quotidiano ticinese emersi negli anelli delle origini e dei depistaggi,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esistenze, quali canali di pubblicazione di materiali d’apparato — funzione che li iscrive alla frontiera fra l’ottavo e il terzo Dominio.</w:t>
      </w:r>
    </w:p>
    <w:p>
      <w:pPr>
        <w:spacing w:line="276" w:lineRule="auto" w:after="60" w:before="0"/>
        <w:ind w:firstLine="425"/>
        <w:jc w:val="both"/>
      </w:pPr>
      <w:r>
        <w:rPr>
          <w:rFonts w:ascii="Times New Roman" w:hAnsi="Times New Roman" w:cs="Times New Roman" w:eastAsia="Times New Roman"/>
          <w:b/>
          <w:sz w:val="24"/>
        </w:rPr>
        <w:t>Eventi e vicende di confine.</w:t>
      </w:r>
      <w:r>
        <w:rPr>
          <w:rFonts w:ascii="Times New Roman" w:hAnsi="Times New Roman" w:cs="Times New Roman" w:eastAsia="Times New Roman"/>
          <w:b w:val="0"/>
          <w:sz w:val="24"/>
        </w:rPr>
        <w:t xml:space="preserve"> Sono iscritti: la strage dell’Italicus dell’agosto millenovecentosettantaquattro, con la circostanza — riferita dalle fonti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in quanto poggiante sulla monografia e su testimonianze di cerchia — che la vittima del sequestro si trovasse a bordo del treno e ne fosse scesa poco prima della partenza per ragioni d’ufficio: circostanza che, ove elevata da atto, retrodaterebbe di quattro anni l’esposizione del bersaglio, e che è perciò assegnata a istruttoria nominata; il sequestro dell’assessore campano del millenovecentottantuno,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su fonte che riporta la commissione parlamentare antimafia, iscritto quale </w:t>
      </w:r>
      <w:r>
        <w:rPr>
          <w:rFonts w:ascii="Times New Roman" w:hAnsi="Times New Roman" w:cs="Times New Roman" w:eastAsia="Times New Roman"/>
          <w:b/>
          <w:sz w:val="24"/>
        </w:rPr>
        <w:t>termine di confronto strutturale</w:t>
      </w:r>
      <w:r>
        <w:rPr>
          <w:rFonts w:ascii="Times New Roman" w:hAnsi="Times New Roman" w:cs="Times New Roman" w:eastAsia="Times New Roman"/>
          <w:b w:val="0"/>
          <w:sz w:val="24"/>
        </w:rPr>
        <w:t xml:space="preserve">: la trattativa che nel settantotto fu negata risulta, tre anni dopo, condotta — e l’asimmetria delle due gestioni è un dato che ogni ipotesi sulla fermezza deve spiegare, nell’uno e nell’altro senso; il commissario Luigi Calabresi e la vicenda di piazza Fontana quali contesto d’origine,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 fatti propri; la sigla eversiva meridionale e l’appunto sull’incontro con l’organizzazione straniera del millenovecentottanta,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l’appunto, quale confine della stagione successiva; la voce Falange, iscritta con riserva d’istruttoria integrale, non essendo stata letta.</w:t>
      </w:r>
    </w:p>
    <w:p>
      <w:pPr>
        <w:spacing w:line="276" w:lineRule="auto" w:after="60" w:before="0"/>
        <w:ind w:firstLine="425"/>
        <w:jc w:val="both"/>
      </w:pPr>
      <w:r>
        <w:rPr>
          <w:rFonts w:ascii="Times New Roman" w:hAnsi="Times New Roman" w:cs="Times New Roman" w:eastAsia="Times New Roman"/>
          <w:b/>
          <w:sz w:val="24"/>
        </w:rPr>
        <w:t>Espunzioni e artefatti della Parte Quattordicesima.</w:t>
      </w:r>
      <w:r>
        <w:rPr>
          <w:rFonts w:ascii="Times New Roman" w:hAnsi="Times New Roman" w:cs="Times New Roman" w:eastAsia="Times New Roman"/>
          <w:b w:val="0"/>
          <w:sz w:val="24"/>
        </w:rPr>
        <w:t xml:space="preserve"> Sono espunti, con la solennità che il metodo prescrive: la voce Igor Caetani, artefatto di estrazione generato dall’adiacenza tipografica fra il nome del musicista e il cognome della consorte, che non designa persona alcuna nel corpus; gli omonimi Varone di procedimento campano, già espunti, restando aperta l’istruttoria sul Francesco Varone dell’anello calabrese; le voci grammaticali e i frammenti — fra cui un participio scambiato per cognome nell’anello della riunione bolognese — espunti d’ufficio; resta iscritta, quale avvertenza permanente, l’omonimia interna della banda già scolpita. Con queste espunzioni, il censimento dei due Anelli è chiuso: </w:t>
      </w:r>
      <w:r>
        <w:rPr>
          <w:rFonts w:ascii="Times New Roman" w:hAnsi="Times New Roman" w:cs="Times New Roman" w:eastAsia="Times New Roman"/>
          <w:b/>
          <w:sz w:val="24"/>
        </w:rPr>
        <w:t>ogni voce sopra soglia è iscritta, espunta o assegnata</w:t>
      </w:r>
      <w:r>
        <w:rPr>
          <w:rFonts w:ascii="Times New Roman" w:hAnsi="Times New Roman" w:cs="Times New Roman" w:eastAsia="Times New Roman"/>
          <w:b w:val="0"/>
          <w:sz w:val="24"/>
        </w:rPr>
        <w:t>, e la completezza è certificata.</w:t>
      </w:r>
    </w:p>
    <w:p>
      <w:pPr>
        <w:spacing w:line="276" w:lineRule="auto" w:after="80" w:before="200"/>
        <w:ind w:firstLine="0"/>
        <w:jc w:val="both"/>
      </w:pPr>
      <w:r>
        <w:rPr>
          <w:rFonts w:ascii="Times New Roman" w:hAnsi="Times New Roman" w:cs="Times New Roman" w:eastAsia="Times New Roman"/>
          <w:b/>
          <w:sz w:val="24"/>
        </w:rPr>
        <w:t>PARTE QUINDICESIMA — GLI ASSONI PERIFERICI: DOVE PUNTA LA RETE VERSO L’ESTERNO</w:t>
      </w:r>
    </w:p>
    <w:p>
      <w:pPr>
        <w:spacing w:line="276" w:lineRule="auto" w:after="60" w:before="0"/>
        <w:ind w:firstLine="425"/>
        <w:jc w:val="both"/>
      </w:pPr>
      <w:r>
        <w:rPr>
          <w:rFonts w:ascii="Times New Roman" w:hAnsi="Times New Roman" w:cs="Times New Roman" w:eastAsia="Times New Roman"/>
          <w:b w:val="0"/>
          <w:sz w:val="24"/>
        </w:rPr>
        <w:t xml:space="preserve">Il Registro chiama assoni le terminazioni periferiche del Secondo Anello: le direttrici lungo le quali la rete del caso, giunta al proprio margine, punta verso l’esterno — verso altri Paesi, altri casi, altri decenni. La registrazione degli assoni ha, nel nuovo statuto, funzione investigativa precisa: ciascun assone è una </w:t>
      </w:r>
      <w:r>
        <w:rPr>
          <w:rFonts w:ascii="Times New Roman" w:hAnsi="Times New Roman" w:cs="Times New Roman" w:eastAsia="Times New Roman"/>
          <w:b/>
          <w:sz w:val="24"/>
        </w:rPr>
        <w:t>direzione di istruttoria</w:t>
      </w:r>
      <w:r>
        <w:rPr>
          <w:rFonts w:ascii="Times New Roman" w:hAnsi="Times New Roman" w:cs="Times New Roman" w:eastAsia="Times New Roman"/>
          <w:b w:val="0"/>
          <w:sz w:val="24"/>
        </w:rPr>
        <w:t>, non una connessione; indica dove la Camera dovrà guardare, non che cosa troverà. Ogni assone è descritto con il nodo di uscita, la direzione e il livello del supporto.</w:t>
      </w:r>
    </w:p>
    <w:p>
      <w:pPr>
        <w:spacing w:line="276" w:lineRule="auto" w:after="60" w:before="0"/>
        <w:ind w:firstLine="425"/>
        <w:jc w:val="both"/>
      </w:pPr>
      <w:r>
        <w:rPr>
          <w:rFonts w:ascii="Times New Roman" w:hAnsi="Times New Roman" w:cs="Times New Roman" w:eastAsia="Times New Roman"/>
          <w:b/>
          <w:sz w:val="24"/>
        </w:rPr>
        <w:t>Assone germanico.</w:t>
      </w:r>
      <w:r>
        <w:rPr>
          <w:rFonts w:ascii="Times New Roman" w:hAnsi="Times New Roman" w:cs="Times New Roman" w:eastAsia="Times New Roman"/>
          <w:b w:val="0"/>
          <w:sz w:val="24"/>
        </w:rPr>
        <w:t xml:space="preserve"> Nodo di uscita: Mario Moretti; direzione: la Rote Armee Fraktion e il sequestro dell’industriale tedesco dell’autunno settantasette; supporto: le dichiarazioni del collaboratore sui viaggi del terrorista tedesco poi ucciso con addosso i documenti dei contatti — </w:t>
      </w:r>
      <w:r>
        <w:rPr>
          <w:rFonts w:ascii="Times New Roman" w:hAnsi="Times New Roman" w:cs="Times New Roman" w:eastAsia="Times New Roman"/>
          <w:b/>
          <w:sz w:val="24"/>
        </w:rPr>
        <w:t>Livello B</w:t>
      </w:r>
      <w:r>
        <w:rPr>
          <w:rFonts w:ascii="Times New Roman" w:hAnsi="Times New Roman" w:cs="Times New Roman" w:eastAsia="Times New Roman"/>
          <w:b w:val="0"/>
          <w:sz w:val="24"/>
        </w:rPr>
        <w:t>. È l’assone meglio documentato, e la sua istruttoria naturale è la comparazione strutturale fra i due sequestri, da condursi come isomorfismo e non come analogia.</w:t>
      </w:r>
    </w:p>
    <w:p>
      <w:pPr>
        <w:spacing w:line="276" w:lineRule="auto" w:after="60" w:before="0"/>
        <w:ind w:firstLine="425"/>
        <w:jc w:val="both"/>
      </w:pPr>
      <w:r>
        <w:rPr>
          <w:rFonts w:ascii="Times New Roman" w:hAnsi="Times New Roman" w:cs="Times New Roman" w:eastAsia="Times New Roman"/>
          <w:b/>
          <w:sz w:val="24"/>
        </w:rPr>
        <w:t>Assone francese.</w:t>
      </w:r>
      <w:r>
        <w:rPr>
          <w:rFonts w:ascii="Times New Roman" w:hAnsi="Times New Roman" w:cs="Times New Roman" w:eastAsia="Times New Roman"/>
          <w:b w:val="0"/>
          <w:sz w:val="24"/>
        </w:rPr>
        <w:t xml:space="preserve"> Nodi di uscita: i fondatori dell’istituto parigino e, per altra via, la latitanza parigina di militanti; direzione: la capitale francese quale retrovia dichiarata dalle fonti;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esistenze e le istruttorie,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funzione direttiva. Vi afferisce, per il suo margine, anche il documento informativo francese della conoscenza anticipata, già iscritto quale terza lacuna.</w:t>
      </w:r>
    </w:p>
    <w:p>
      <w:pPr>
        <w:spacing w:line="276" w:lineRule="auto" w:after="60" w:before="0"/>
        <w:ind w:firstLine="425"/>
        <w:jc w:val="both"/>
      </w:pPr>
      <w:r>
        <w:rPr>
          <w:rFonts w:ascii="Times New Roman" w:hAnsi="Times New Roman" w:cs="Times New Roman" w:eastAsia="Times New Roman"/>
          <w:b/>
          <w:sz w:val="24"/>
        </w:rPr>
        <w:t>Assone orientale.</w:t>
      </w:r>
      <w:r>
        <w:rPr>
          <w:rFonts w:ascii="Times New Roman" w:hAnsi="Times New Roman" w:cs="Times New Roman" w:eastAsia="Times New Roman"/>
          <w:b w:val="0"/>
          <w:sz w:val="24"/>
        </w:rPr>
        <w:t xml:space="preserve"> Nodi di uscita: il borsista segnalato dall’assistente della vittima, il padre della locataria di viale Giulio Cesare, e — sul piano materiale — l’arma dell’omicidio, di fabbricazione cecoslovacca; direzione: gli apparati d’oltrecortina;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circostanze riferite da fonte parlamentare,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il dato tecnico dell’arma,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inferenza di direzione. L’assone tocca inoltre, per il tramite delle origini dell’editore milanese, la Cecoslovacchia degli anni precedenti, quale contesto e non quale caso.</w:t>
      </w:r>
    </w:p>
    <w:p>
      <w:pPr>
        <w:spacing w:line="276" w:lineRule="auto" w:after="60" w:before="0"/>
        <w:ind w:firstLine="425"/>
        <w:jc w:val="both"/>
      </w:pPr>
      <w:r>
        <w:rPr>
          <w:rFonts w:ascii="Times New Roman" w:hAnsi="Times New Roman" w:cs="Times New Roman" w:eastAsia="Times New Roman"/>
          <w:b/>
          <w:sz w:val="24"/>
        </w:rPr>
        <w:t>Assone atlantico.</w:t>
      </w:r>
      <w:r>
        <w:rPr>
          <w:rFonts w:ascii="Times New Roman" w:hAnsi="Times New Roman" w:cs="Times New Roman" w:eastAsia="Times New Roman"/>
          <w:b w:val="0"/>
          <w:sz w:val="24"/>
        </w:rPr>
        <w:t xml:space="preserve"> Nodi di uscita: il consulente statunitense della struttura di crisi, la carta intestata del religioso statunitense fra i materiali dell’appartamento, il documento d’analisi sulle correnti democristiane; direzione: gli apparati e gli ambienti nordamericani;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presenza e il ruolo consultivo,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l’esistenza del documento d’analisi,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 autodichiarazioni tarde e ogni carta non risalita. È l’assone dove più netta è la forbice fra la solidità dei fatti minori e la fragilità delle affermazioni maggiori, e il vaglio investigativo deve tenerla aperta.</w:t>
      </w:r>
    </w:p>
    <w:p>
      <w:pPr>
        <w:spacing w:line="276" w:lineRule="auto" w:after="60" w:before="0"/>
        <w:ind w:firstLine="425"/>
        <w:jc w:val="both"/>
      </w:pPr>
      <w:r>
        <w:rPr>
          <w:rFonts w:ascii="Times New Roman" w:hAnsi="Times New Roman" w:cs="Times New Roman" w:eastAsia="Times New Roman"/>
          <w:b/>
          <w:sz w:val="24"/>
        </w:rPr>
        <w:t>Assone vaticano-finanziario.</w:t>
      </w:r>
      <w:r>
        <w:rPr>
          <w:rFonts w:ascii="Times New Roman" w:hAnsi="Times New Roman" w:cs="Times New Roman" w:eastAsia="Times New Roman"/>
          <w:b w:val="0"/>
          <w:sz w:val="24"/>
        </w:rPr>
        <w:t xml:space="preserve"> Nodi di uscita: il canale ecclesiastico di ritorno e l’anello che lo circonda; direzione: l’istituto finanziario della Santa Sede e il sistema bancario che vi si intrecciò;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canale,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il salto familiare ipotizzato nella Parte Tredicesima, che di questo assone è l’istruttoria nominata. Le vicende bancarie degli anni successivi restano derive dichiarate.</w:t>
      </w:r>
    </w:p>
    <w:p>
      <w:pPr>
        <w:spacing w:line="276" w:lineRule="auto" w:after="60" w:before="0"/>
        <w:ind w:firstLine="425"/>
        <w:jc w:val="both"/>
      </w:pPr>
      <w:r>
        <w:rPr>
          <w:rFonts w:ascii="Times New Roman" w:hAnsi="Times New Roman" w:cs="Times New Roman" w:eastAsia="Times New Roman"/>
          <w:b/>
          <w:sz w:val="24"/>
        </w:rPr>
        <w:t>Assone calabrese.</w:t>
      </w:r>
      <w:r>
        <w:rPr>
          <w:rFonts w:ascii="Times New Roman" w:hAnsi="Times New Roman" w:cs="Times New Roman" w:eastAsia="Times New Roman"/>
          <w:b w:val="0"/>
          <w:sz w:val="24"/>
        </w:rPr>
        <w:t xml:space="preserve"> Nodi di uscita: il boss accusato da un collaboratore, il collaboratore medesimo, il detenuto già della legione straniera; direzione: la ’ndrangheta del versante ionico e le sue proiezioni; supporto: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 presenze in via Fani,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catena parlamentare della telefonata e della fotografia mancante. Vi appartiene, sul piano rituale, la tradizione dei matrimoni di componimento delle faide, che è materia propria del Salto della Quaglia e la cui istruttoria richiede il salto di fonte verso i registri.</w:t>
      </w:r>
    </w:p>
    <w:p>
      <w:pPr>
        <w:spacing w:line="276" w:lineRule="auto" w:after="60" w:before="0"/>
        <w:ind w:firstLine="425"/>
        <w:jc w:val="both"/>
      </w:pPr>
      <w:r>
        <w:rPr>
          <w:rFonts w:ascii="Times New Roman" w:hAnsi="Times New Roman" w:cs="Times New Roman" w:eastAsia="Times New Roman"/>
          <w:b/>
          <w:sz w:val="24"/>
        </w:rPr>
        <w:t>Assone siciliano.</w:t>
      </w:r>
      <w:r>
        <w:rPr>
          <w:rFonts w:ascii="Times New Roman" w:hAnsi="Times New Roman" w:cs="Times New Roman" w:eastAsia="Times New Roman"/>
          <w:b w:val="0"/>
          <w:sz w:val="24"/>
        </w:rPr>
        <w:t xml:space="preserve"> Nodo di uscita: la dichiarazione sull’invito a incontrare uno dei capi; direzione: Cosa Nostra e i suoi tramiti d’affari;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la dichiarazione,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l’effettività. L’indicazione del luogo possibile — un ufficio della giurisdizione — fa di questo assone il più delicato sul piano istituzionale, e la sua istruttoria esige il massimo rigore della terza regola: canale di possibilità, non uso provato.</w:t>
      </w:r>
    </w:p>
    <w:p>
      <w:pPr>
        <w:spacing w:line="276" w:lineRule="auto" w:after="60" w:before="0"/>
        <w:ind w:firstLine="425"/>
        <w:jc w:val="both"/>
      </w:pPr>
      <w:r>
        <w:rPr>
          <w:rFonts w:ascii="Times New Roman" w:hAnsi="Times New Roman" w:cs="Times New Roman" w:eastAsia="Times New Roman"/>
          <w:b/>
          <w:sz w:val="24"/>
        </w:rPr>
        <w:t>Assone campano.</w:t>
      </w:r>
      <w:r>
        <w:rPr>
          <w:rFonts w:ascii="Times New Roman" w:hAnsi="Times New Roman" w:cs="Times New Roman" w:eastAsia="Times New Roman"/>
          <w:b w:val="0"/>
          <w:sz w:val="24"/>
        </w:rPr>
        <w:t xml:space="preserve"> Nodi di uscita: il capo della nuova organizzazione carceraria e il suo rapporto con l’esponente della banda romana; direzione: il sequestro dell’assessore del millenovecentottantuno e la trattativa che vi fu condotta;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È l’assone del confronto strutturale, e la sua istruttoria è già formulata: spiegare l’asimmetria fra le due gestioni.</w:t>
      </w:r>
    </w:p>
    <w:p>
      <w:pPr>
        <w:spacing w:line="276" w:lineRule="auto" w:after="60" w:before="0"/>
        <w:ind w:firstLine="425"/>
        <w:jc w:val="both"/>
      </w:pPr>
      <w:r>
        <w:rPr>
          <w:rFonts w:ascii="Times New Roman" w:hAnsi="Times New Roman" w:cs="Times New Roman" w:eastAsia="Times New Roman"/>
          <w:b/>
          <w:sz w:val="24"/>
        </w:rPr>
        <w:t>Assone nero.</w:t>
      </w:r>
      <w:r>
        <w:rPr>
          <w:rFonts w:ascii="Times New Roman" w:hAnsi="Times New Roman" w:cs="Times New Roman" w:eastAsia="Times New Roman"/>
          <w:b w:val="0"/>
          <w:sz w:val="24"/>
        </w:rPr>
        <w:t xml:space="preserve"> Nodi di uscita: la giunzione fra la banda e l’area armata di destra, la simmetria peritale, l’appunto sull’incontro del millenovecentottanta; direzione: le stragi della stagione — da piazza Fontana a Brescia alla stazione — e i loro depistaggi; supporto: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le giunzioni attestate,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ogni estensione. È l’assone che più direttamente si giunge con la materia dell’opera maggiore, e proprio qui il Registro ribadisce che la giunzione documentale non è conferma reciproca.</w:t>
      </w:r>
    </w:p>
    <w:p>
      <w:pPr>
        <w:spacing w:line="276" w:lineRule="auto" w:after="60" w:before="0"/>
        <w:ind w:firstLine="425"/>
        <w:jc w:val="both"/>
      </w:pPr>
      <w:r>
        <w:rPr>
          <w:rFonts w:ascii="Times New Roman" w:hAnsi="Times New Roman" w:cs="Times New Roman" w:eastAsia="Times New Roman"/>
          <w:b/>
          <w:sz w:val="24"/>
        </w:rPr>
        <w:t>Assone mediorientale.</w:t>
      </w:r>
      <w:r>
        <w:rPr>
          <w:rFonts w:ascii="Times New Roman" w:hAnsi="Times New Roman" w:cs="Times New Roman" w:eastAsia="Times New Roman"/>
          <w:b w:val="0"/>
          <w:sz w:val="24"/>
        </w:rPr>
        <w:t xml:space="preserve"> Nodi di uscita: l’accordo di non belligeranza noto con il nome della vittima, i nomi dei dirigenti dell’organizzazione palestinese ricorrenti negli anelli; direzione: il Mediterraneo orientale e i traffici che l’accordo governava; supporto: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allo stato del corpus, con la conversione del blocco stenografico quale condizione dichiarata dell’istruttoria.</w:t>
      </w:r>
    </w:p>
    <w:p>
      <w:pPr>
        <w:spacing w:line="276" w:lineRule="auto" w:after="60" w:before="0"/>
        <w:ind w:firstLine="425"/>
        <w:jc w:val="both"/>
      </w:pPr>
      <w:r>
        <w:rPr>
          <w:rFonts w:ascii="Times New Roman" w:hAnsi="Times New Roman" w:cs="Times New Roman" w:eastAsia="Times New Roman"/>
          <w:b/>
          <w:sz w:val="24"/>
        </w:rPr>
        <w:t>Assone elvetico e assone della cittadina vaticana.</w:t>
      </w:r>
      <w:r>
        <w:rPr>
          <w:rFonts w:ascii="Times New Roman" w:hAnsi="Times New Roman" w:cs="Times New Roman" w:eastAsia="Times New Roman"/>
          <w:b w:val="0"/>
          <w:sz w:val="24"/>
        </w:rPr>
        <w:t xml:space="preserve"> Il primo raccoglie le ricorrenze svizzere — i soggiorni della marchesa, i transiti dei militanti, il quotidiano ticinese dei materiali d’apparato —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quale direzione cumulativa da istruire sul piano patrimoniale, che è il suo piano naturale. Il secondo è il confine già dichiarato: la vicenda della cittadina scomparsa e della sua coetanea, toccata dagli anelli per il tramite dell’esponente della banda e dell’inventario presidenziale, resta fuori dal caso e dentro la mappa — il Registro ne fissa la giunzione e vi si arresta.</w:t>
      </w:r>
    </w:p>
    <w:p>
      <w:pPr>
        <w:spacing w:line="276" w:lineRule="auto" w:after="60" w:before="0"/>
        <w:ind w:firstLine="425"/>
        <w:jc w:val="both"/>
      </w:pPr>
      <w:r>
        <w:rPr>
          <w:rFonts w:ascii="Times New Roman" w:hAnsi="Times New Roman" w:cs="Times New Roman" w:eastAsia="Times New Roman"/>
          <w:b/>
          <w:sz w:val="24"/>
        </w:rPr>
        <w:t>Chiusura della Parte.</w:t>
      </w:r>
      <w:r>
        <w:rPr>
          <w:rFonts w:ascii="Times New Roman" w:hAnsi="Times New Roman" w:cs="Times New Roman" w:eastAsia="Times New Roman"/>
          <w:b w:val="0"/>
          <w:sz w:val="24"/>
        </w:rPr>
        <w:t xml:space="preserve"> Dodici assoni, dodici direzioni d’istruttoria: la rete del caso, censita fino al secondo grado, mostra di che cosa il caso è frontiera. Nessun assone è una prova; ciascuno è un mandato. E la loro carta complessiva consegna al vaglio investigativo la sua prima risultanza d’insieme: il sequestro non giace al centro di un cerchio vuoto, ma al punto di incrocio di direttrici che lo precedono e gli sopravvivono — il che non dimostra alcuna regia, e dimostra però che ogni ipotesi formulata come se il caso fosse un’isola parte da una geografia falsa.</w:t>
      </w:r>
    </w:p>
    <w:p>
      <w:pPr>
        <w:spacing w:line="276" w:lineRule="auto" w:after="80" w:before="200"/>
        <w:ind w:firstLine="0"/>
        <w:jc w:val="both"/>
      </w:pPr>
      <w:r>
        <w:rPr>
          <w:rFonts w:ascii="Times New Roman" w:hAnsi="Times New Roman" w:cs="Times New Roman" w:eastAsia="Times New Roman"/>
          <w:b/>
          <w:sz w:val="24"/>
        </w:rPr>
        <w:t>PARTE SEDICESIMA — IL VAGLIO INVESTIGATIVO: PRIME RISULTANZE E ISTRUTTORIE</w:t>
      </w:r>
    </w:p>
    <w:p>
      <w:pPr>
        <w:spacing w:line="276" w:lineRule="auto" w:after="60" w:before="0"/>
        <w:ind w:firstLine="425"/>
        <w:jc w:val="both"/>
      </w:pPr>
      <w:r>
        <w:rPr>
          <w:rFonts w:ascii="Times New Roman" w:hAnsi="Times New Roman" w:cs="Times New Roman" w:eastAsia="Times New Roman"/>
          <w:b w:val="0"/>
          <w:sz w:val="24"/>
        </w:rPr>
        <w:t xml:space="preserve">In applicazione del nuovo statuto, il Registro formula le prime risultanze del vaglio, nella forma che la codifica impone: canali di possibilità documentati, ipotesi con condizioni di falsificazione, istruttorie nominate — nessuna attribuzione di responsabilità. Primo: è documentato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un canale informativo fra l’officina del principale depistaggio e un reparto investigativo, per il tramite di un confidente; l’uso, il verso e i beneficiari del canale sono ignoti, e la loro determinazione è l’istruttoria prima. Secondo: è documentata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una dichiarazione secondo cui un tramite d’affari propose l’incontro fra un parlamentare e un capo mafioso indicando quale sede possibile un ufficio della giurisdizione; l’effettività è indimostrata, e la verifica della dichiarazione — riscontri, date, moventi del dichiarante — è l’istruttoria seconda. Terzo: è formulata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la simmetria dei due criminologi degli elenchi, l’uno presso la struttura di crisi e l’altro presso il sodalizio criminale; la sua elevazione o la sua caduta dipendono dalla lettura integrale delle rispettive posizioni, che è l’istruttoria terza. Quarto: è formulata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l’ipotesi del salto familiare nel canale vaticano; la verifica anagrafica è l’istruttoria quarta. Quinto: è iscritta al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la circostanza dell’Italicus, la cui elevazione richiede atto coevo ed è l’istruttoria quinta. Sesto: è iscritto al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il confronto strutturale con la gestione del sequestro campano, la cui spiegazione è l’istruttoria sesta, comune a tutte le ipotesi concorrenti della Parte Ottava. Restano ferme, sovraordinate, la conversione del blocco stenografico e le assegnazioni delle Parti precedenti, che questa Parte non sostituisce ma ordina.</w:t>
      </w:r>
    </w:p>
    <w:p>
      <w:pPr>
        <w:spacing w:line="276" w:lineRule="auto" w:after="80" w:before="200"/>
        <w:ind w:firstLine="0"/>
        <w:jc w:val="both"/>
      </w:pPr>
      <w:r>
        <w:rPr>
          <w:rFonts w:ascii="Times New Roman" w:hAnsi="Times New Roman" w:cs="Times New Roman" w:eastAsia="Times New Roman"/>
          <w:b/>
          <w:sz w:val="24"/>
        </w:rPr>
        <w:t>COLOPHON DELL’EDIZIONE QUARTA</w:t>
      </w:r>
    </w:p>
    <w:p>
      <w:pPr>
        <w:spacing w:line="276" w:lineRule="auto" w:after="60" w:before="0"/>
        <w:ind w:firstLine="425"/>
        <w:jc w:val="both"/>
      </w:pPr>
      <w:r>
        <w:rPr>
          <w:rFonts w:ascii="Times New Roman" w:hAnsi="Times New Roman" w:cs="Times New Roman" w:eastAsia="Times New Roman"/>
          <w:b w:val="0"/>
          <w:sz w:val="24"/>
        </w:rPr>
        <w:t>REGISTRO ANALITICO DEL CASO MORO, edizione quarta, definitiva quanto al censimento degli Anelli, con la Metodologia del Salto della Quaglia di Luigi De Michele, prodotta il due agosto duemilaventisei secondo il Protocollo Zero-Token e nello standard tipografico dell’opera: carattere Times New Roman di corpo dodici, formato A4, giustificazione integrale, rientro di prima riga, interlinea di uno virgola quindici, prosa continua, classificazione Savona in grassetto. Documento autonomo e autosufficiente, indipendente dal Registro Unico Federato di ITALIA NERA quanto a catena probatoria, apparato e istruttoria, con dichiarazione espressa del limite materiale di tale indipendenza. Le Parti dedicate agli Anelli sono tenute a fini investigativi secondo la codifica scolpita in frontespizio: istruttoria di ipotesi, mai attribuzione di responsabilità; la certificazione riguarda la completezza del censimento e mai i legami. Incorpora verbatim l’edizione terza e, per suo tramite, la seconda e la prima;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DICIASSETTESIMA — LA CLASSIFICAZIONE DI DESCARTES</w:t>
      </w:r>
    </w:p>
    <w:p>
      <w:pPr>
        <w:spacing w:line="276" w:lineRule="auto" w:after="60" w:before="0"/>
        <w:ind w:firstLine="425"/>
        <w:jc w:val="both"/>
      </w:pPr>
      <w:r>
        <w:rPr>
          <w:rFonts w:ascii="Times New Roman" w:hAnsi="Times New Roman" w:cs="Times New Roman" w:eastAsia="Times New Roman"/>
          <w:b w:val="0"/>
          <w:sz w:val="24"/>
        </w:rPr>
        <w:t>Metodologia di Luigi De Michele</w:t>
      </w:r>
    </w:p>
    <w:p>
      <w:pPr>
        <w:spacing w:line="276" w:lineRule="auto" w:after="80" w:before="200"/>
        <w:ind w:firstLine="0"/>
        <w:jc w:val="both"/>
      </w:pPr>
      <w:r>
        <w:rPr>
          <w:rFonts w:ascii="Times New Roman" w:hAnsi="Times New Roman" w:cs="Times New Roman" w:eastAsia="Times New Roman"/>
          <w:b/>
          <w:sz w:val="24"/>
        </w:rPr>
        <w:t>Definizione e principio</w:t>
      </w:r>
    </w:p>
    <w:p>
      <w:pPr>
        <w:spacing w:line="276" w:lineRule="auto" w:after="60" w:before="0"/>
        <w:ind w:firstLine="425"/>
        <w:jc w:val="both"/>
      </w:pPr>
      <w:r>
        <w:rPr>
          <w:rFonts w:ascii="Times New Roman" w:hAnsi="Times New Roman" w:cs="Times New Roman" w:eastAsia="Times New Roman"/>
          <w:b w:val="0"/>
          <w:sz w:val="24"/>
        </w:rPr>
        <w:t xml:space="preserve">La Classificazione di Descartes, elaborata dall’autore del presente Registro e qui formalizzata quale ordinamento probatorio unico dei Documenti Morotei, si enuncia in una proposizione sola: </w:t>
      </w:r>
      <w:r>
        <w:rPr>
          <w:rFonts w:ascii="Times New Roman" w:hAnsi="Times New Roman" w:cs="Times New Roman" w:eastAsia="Times New Roman"/>
          <w:b/>
          <w:sz w:val="24"/>
        </w:rPr>
        <w:t>tutto ciò che è un dubbio resta un dubbio, e non è classificabile, fintantoché non è sciolto</w:t>
      </w:r>
      <w:r>
        <w:rPr>
          <w:rFonts w:ascii="Times New Roman" w:hAnsi="Times New Roman" w:cs="Times New Roman" w:eastAsia="Times New Roman"/>
          <w:b w:val="0"/>
          <w:sz w:val="24"/>
        </w:rPr>
        <w:t xml:space="preserve">. Da questa proposizione discende l’intero ordinamento, che conosce tre stati e tre soltanto. Lo stato di </w:t>
      </w:r>
      <w:r>
        <w:rPr>
          <w:rFonts w:ascii="Times New Roman" w:hAnsi="Times New Roman" w:cs="Times New Roman" w:eastAsia="Times New Roman"/>
          <w:b/>
          <w:sz w:val="24"/>
        </w:rPr>
        <w:t>sciolto</w:t>
      </w:r>
      <w:r>
        <w:rPr>
          <w:rFonts w:ascii="Times New Roman" w:hAnsi="Times New Roman" w:cs="Times New Roman" w:eastAsia="Times New Roman"/>
          <w:b w:val="0"/>
          <w:sz w:val="24"/>
        </w:rPr>
        <w:t xml:space="preserve">: l’asserzione la cui evidenza è chiara e distinta — l’atto prodotto, il fatto accertato nella sede propria, il dato tecnico verificato — e che il Registro certifica. Lo stato di </w:t>
      </w:r>
      <w:r>
        <w:rPr>
          <w:rFonts w:ascii="Times New Roman" w:hAnsi="Times New Roman" w:cs="Times New Roman" w:eastAsia="Times New Roman"/>
          <w:b/>
          <w:sz w:val="24"/>
        </w:rPr>
        <w:t>dissolto</w:t>
      </w:r>
      <w:r>
        <w:rPr>
          <w:rFonts w:ascii="Times New Roman" w:hAnsi="Times New Roman" w:cs="Times New Roman" w:eastAsia="Times New Roman"/>
          <w:b w:val="0"/>
          <w:sz w:val="24"/>
        </w:rPr>
        <w:t xml:space="preserve">: il dubbio sciolto in senso negativo — l’artefatto smascherato, l’omonimia separata, la voce espunta con motivazione — che il Registro archivia nel registro delle espunzioni. E lo stato di </w:t>
      </w:r>
      <w:r>
        <w:rPr>
          <w:rFonts w:ascii="Times New Roman" w:hAnsi="Times New Roman" w:cs="Times New Roman" w:eastAsia="Times New Roman"/>
          <w:b/>
          <w:sz w:val="24"/>
        </w:rPr>
        <w:t>dubbio</w:t>
      </w:r>
      <w:r>
        <w:rPr>
          <w:rFonts w:ascii="Times New Roman" w:hAnsi="Times New Roman" w:cs="Times New Roman" w:eastAsia="Times New Roman"/>
          <w:b w:val="0"/>
          <w:sz w:val="24"/>
        </w:rPr>
        <w:t xml:space="preserve">: tutto il resto, senza eccezione e senza gradazione. Il dubbio è uno stato </w:t>
      </w:r>
      <w:r>
        <w:rPr>
          <w:rFonts w:ascii="Times New Roman" w:hAnsi="Times New Roman" w:cs="Times New Roman" w:eastAsia="Times New Roman"/>
          <w:b/>
          <w:sz w:val="24"/>
        </w:rPr>
        <w:t>unico e indiviso</w:t>
      </w:r>
      <w:r>
        <w:rPr>
          <w:rFonts w:ascii="Times New Roman" w:hAnsi="Times New Roman" w:cs="Times New Roman" w:eastAsia="Times New Roman"/>
          <w:b w:val="0"/>
          <w:sz w:val="24"/>
        </w:rPr>
        <w:t>: non esistono dubbi forti e dubbi deboli, dubbi probabili e dubbi remoti, dubbi di serie prima e di serie seconda — esistono dubbi pendenti, ciascuno con la propria condizione di scioglimento, tutti egualmente aperti dinanzi all’istruttoria. La differenza radicale rispetto all’ordinamento deposto sta qui: la classificazione previgente graduava il dubbio, e la graduazione — per quanto onesta — era essa stessa un giudizio, che pesava sul corso dell’indagine, orientava le priorità, e rischiava di trasformare un’etichetta provvisoria in un destino. Il nuovo ordinamento restituisce al dubbio la sua natura: non un voto, ma una domanda.</w:t>
      </w:r>
    </w:p>
    <w:p>
      <w:pPr>
        <w:spacing w:line="276" w:lineRule="auto" w:after="60" w:before="0"/>
        <w:ind w:firstLine="425"/>
        <w:jc w:val="both"/>
      </w:pPr>
      <w:r>
        <w:rPr>
          <w:rFonts w:ascii="Times New Roman" w:hAnsi="Times New Roman" w:cs="Times New Roman" w:eastAsia="Times New Roman"/>
          <w:b w:val="0"/>
          <w:sz w:val="24"/>
        </w:rPr>
        <w:t xml:space="preserve">Corollario primo: </w:t>
      </w:r>
      <w:r>
        <w:rPr>
          <w:rFonts w:ascii="Times New Roman" w:hAnsi="Times New Roman" w:cs="Times New Roman" w:eastAsia="Times New Roman"/>
          <w:b/>
          <w:sz w:val="24"/>
        </w:rPr>
        <w:t>il dubbio non decide</w:t>
      </w:r>
      <w:r>
        <w:rPr>
          <w:rFonts w:ascii="Times New Roman" w:hAnsi="Times New Roman" w:cs="Times New Roman" w:eastAsia="Times New Roman"/>
          <w:b w:val="0"/>
          <w:sz w:val="24"/>
        </w:rPr>
        <w:t xml:space="preserve">. Nessuna pista è chiusa, retrocessa o promossa in ragione del suo stato; l’istruttoria procede su ogni dubbio pendente secondo il proprio ordine, e lo stato di dubbio non interferisce mai sul corso della ricerca investigativa. Corollario secondo: </w:t>
      </w:r>
      <w:r>
        <w:rPr>
          <w:rFonts w:ascii="Times New Roman" w:hAnsi="Times New Roman" w:cs="Times New Roman" w:eastAsia="Times New Roman"/>
          <w:b/>
          <w:sz w:val="24"/>
        </w:rPr>
        <w:t>il dubbio non si eredita graduato</w:t>
      </w:r>
      <w:r>
        <w:rPr>
          <w:rFonts w:ascii="Times New Roman" w:hAnsi="Times New Roman" w:cs="Times New Roman" w:eastAsia="Times New Roman"/>
          <w:b w:val="0"/>
          <w:sz w:val="24"/>
        </w:rPr>
        <w:t xml:space="preserve">. Le catene di dubbi — che l’apparato conosceva come ipotesi al quadrato e al cubo — restano catene di domande: la loro lunghezza è un dato istruttorio, non un declassamento. Corollario terzo: </w:t>
      </w:r>
      <w:r>
        <w:rPr>
          <w:rFonts w:ascii="Times New Roman" w:hAnsi="Times New Roman" w:cs="Times New Roman" w:eastAsia="Times New Roman"/>
          <w:b/>
          <w:sz w:val="24"/>
        </w:rPr>
        <w:t>lo scioglimento è l’unico evento classificatorio</w:t>
      </w:r>
      <w:r>
        <w:rPr>
          <w:rFonts w:ascii="Times New Roman" w:hAnsi="Times New Roman" w:cs="Times New Roman" w:eastAsia="Times New Roman"/>
          <w:b w:val="0"/>
          <w:sz w:val="24"/>
        </w:rPr>
        <w:t>. Un dubbio muta stato in due soli modi: per evidenza chiara e distinta che lo scioglie in certificazione, o per dissoluzione che lo scioglie in espunzione; ogni altro movimento — l’accumulo di conferme, la ripetizione delle fonti, la suggestione convergente — lo lascia esattamente dov’era: pendente.</w:t>
      </w:r>
    </w:p>
    <w:p>
      <w:pPr>
        <w:spacing w:line="276" w:lineRule="auto" w:after="80" w:before="200"/>
        <w:ind w:firstLine="0"/>
        <w:jc w:val="both"/>
      </w:pPr>
      <w:r>
        <w:rPr>
          <w:rFonts w:ascii="Times New Roman" w:hAnsi="Times New Roman" w:cs="Times New Roman" w:eastAsia="Times New Roman"/>
          <w:b/>
          <w:sz w:val="24"/>
        </w:rPr>
        <w:t>Fondamento: le quattro regole del Metodo e il dubbio che lavora</w:t>
      </w:r>
    </w:p>
    <w:p>
      <w:pPr>
        <w:spacing w:line="276" w:lineRule="auto" w:after="60" w:before="0"/>
        <w:ind w:firstLine="425"/>
        <w:jc w:val="both"/>
      </w:pPr>
      <w:r>
        <w:rPr>
          <w:rFonts w:ascii="Times New Roman" w:hAnsi="Times New Roman" w:cs="Times New Roman" w:eastAsia="Times New Roman"/>
          <w:b w:val="0"/>
          <w:sz w:val="24"/>
        </w:rPr>
        <w:t xml:space="preserve">Il fondamento è cartesiano nel senso proprio e testuale. La prima regola del Discorso sul Metodo — non accogliere mai nulla per vero che non si conosca evidentemente essere tale, e non comprendere nei propri giudizi niente più di ciò che si presenti alla mente tanto chiaramente e distintamente da escludere ogni occasione di dubbio — è il criterio dello </w:t>
      </w:r>
      <w:r>
        <w:rPr>
          <w:rFonts w:ascii="Times New Roman" w:hAnsi="Times New Roman" w:cs="Times New Roman" w:eastAsia="Times New Roman"/>
          <w:b/>
          <w:sz w:val="24"/>
        </w:rPr>
        <w:t>scioglimento</w:t>
      </w:r>
      <w:r>
        <w:rPr>
          <w:rFonts w:ascii="Times New Roman" w:hAnsi="Times New Roman" w:cs="Times New Roman" w:eastAsia="Times New Roman"/>
          <w:b w:val="0"/>
          <w:sz w:val="24"/>
        </w:rPr>
        <w:t xml:space="preserve">: essa fissa l’asticella della certificazione, e la fissa più in alto di qualunque triangolazione, poiché tre fonti possono errare insieme e l’evidenza chiara e distinta no. La seconda regola — dividere ciascuna difficoltà in tante parti quante è possibile e necessario per meglio risolverla — è la norma della </w:t>
      </w:r>
      <w:r>
        <w:rPr>
          <w:rFonts w:ascii="Times New Roman" w:hAnsi="Times New Roman" w:cs="Times New Roman" w:eastAsia="Times New Roman"/>
          <w:b/>
          <w:sz w:val="24"/>
        </w:rPr>
        <w:t>scomposizione del dubbio</w:t>
      </w:r>
      <w:r>
        <w:rPr>
          <w:rFonts w:ascii="Times New Roman" w:hAnsi="Times New Roman" w:cs="Times New Roman" w:eastAsia="Times New Roman"/>
          <w:b w:val="0"/>
          <w:sz w:val="24"/>
        </w:rPr>
        <w:t>: il dubbio composto non si affronta intero, si scinde in dubbi semplici, ciascuno con la propria condizione di scioglimento; l’apparato la praticava già senza nominarla, ogni volta che separava il documento dall’inferenza, il canale dall’uso, il matrimonio dalla lettura. La terza regola — condurre con ordine i pensieri, cominciando dagli oggetti più semplici e più facili a conoscersi, per salire a poco a poco ai più composti — è la norma dell’</w:t>
      </w:r>
      <w:r>
        <w:rPr>
          <w:rFonts w:ascii="Times New Roman" w:hAnsi="Times New Roman" w:cs="Times New Roman" w:eastAsia="Times New Roman"/>
          <w:b/>
          <w:sz w:val="24"/>
        </w:rPr>
        <w:t>ordine di scioglimento</w:t>
      </w:r>
      <w:r>
        <w:rPr>
          <w:rFonts w:ascii="Times New Roman" w:hAnsi="Times New Roman" w:cs="Times New Roman" w:eastAsia="Times New Roman"/>
          <w:b w:val="0"/>
          <w:sz w:val="24"/>
        </w:rPr>
        <w:t xml:space="preserve">: l’istruttoria muove dai dubbi semplici, il cui scioglimento è a portata d’atto, verso i composti, che dai semplici dipendono; e questa, non un’etichetta, è la sola fonte legittima di priorità. La quarta regola — fare ovunque enumerazioni tanto complete e revisioni tanto generali da essere sicuri di non omettere nulla — è la norma del </w:t>
      </w:r>
      <w:r>
        <w:rPr>
          <w:rFonts w:ascii="Times New Roman" w:hAnsi="Times New Roman" w:cs="Times New Roman" w:eastAsia="Times New Roman"/>
          <w:b/>
          <w:sz w:val="24"/>
        </w:rPr>
        <w:t>censimento integrale</w:t>
      </w:r>
      <w:r>
        <w:rPr>
          <w:rFonts w:ascii="Times New Roman" w:hAnsi="Times New Roman" w:cs="Times New Roman" w:eastAsia="Times New Roman"/>
          <w:b w:val="0"/>
          <w:sz w:val="24"/>
        </w:rPr>
        <w:t>, che l’apparato già osserva come propria legge fondamentale.</w:t>
      </w:r>
    </w:p>
    <w:p>
      <w:pPr>
        <w:spacing w:line="276" w:lineRule="auto" w:after="60" w:before="0"/>
        <w:ind w:firstLine="425"/>
        <w:jc w:val="both"/>
      </w:pPr>
      <w:r>
        <w:rPr>
          <w:rFonts w:ascii="Times New Roman" w:hAnsi="Times New Roman" w:cs="Times New Roman" w:eastAsia="Times New Roman"/>
          <w:b w:val="0"/>
          <w:sz w:val="24"/>
        </w:rPr>
        <w:t xml:space="preserve">Due precisazioni cartesiane completano il fondamento. La prima: il dubbio adottato è il dubbio </w:t>
      </w:r>
      <w:r>
        <w:rPr>
          <w:rFonts w:ascii="Times New Roman" w:hAnsi="Times New Roman" w:cs="Times New Roman" w:eastAsia="Times New Roman"/>
          <w:b/>
          <w:sz w:val="24"/>
        </w:rPr>
        <w:t>metodico</w:t>
      </w:r>
      <w:r>
        <w:rPr>
          <w:rFonts w:ascii="Times New Roman" w:hAnsi="Times New Roman" w:cs="Times New Roman" w:eastAsia="Times New Roman"/>
          <w:b w:val="0"/>
          <w:sz w:val="24"/>
        </w:rPr>
        <w:t xml:space="preserve">, non l’iperbolico — l’apparato non finge che un genio maligno falsifichi ogni carta, non sospende il mondo: sospende il giudizio, che è cosa diversa, e lo sospende in vista dello scioglimento, non della paralisi. La seconda: dal Discorso l’apparato assume anche la </w:t>
      </w:r>
      <w:r>
        <w:rPr>
          <w:rFonts w:ascii="Times New Roman" w:hAnsi="Times New Roman" w:cs="Times New Roman" w:eastAsia="Times New Roman"/>
          <w:b/>
          <w:sz w:val="24"/>
        </w:rPr>
        <w:t>morale provvisoria</w:t>
      </w:r>
      <w:r>
        <w:rPr>
          <w:rFonts w:ascii="Times New Roman" w:hAnsi="Times New Roman" w:cs="Times New Roman" w:eastAsia="Times New Roman"/>
          <w:b w:val="0"/>
          <w:sz w:val="24"/>
        </w:rPr>
        <w:t xml:space="preserve"> — le massime che consentono di agire mentre si dubita — e la traduce in norma operativa: la pendenza del dubbio non sospende mai l’istruttoria; mentre il dubbio pende, la ricerca cammina secondo protocolli provvisori, e questo è precisamente il senso del comando che vieta alle classificazioni ogni interferenza sul corso investigativo.</w:t>
      </w:r>
    </w:p>
    <w:p>
      <w:pPr>
        <w:spacing w:line="276" w:lineRule="auto" w:after="80" w:before="200"/>
        <w:ind w:firstLine="0"/>
        <w:jc w:val="both"/>
      </w:pPr>
      <w:r>
        <w:rPr>
          <w:rFonts w:ascii="Times New Roman" w:hAnsi="Times New Roman" w:cs="Times New Roman" w:eastAsia="Times New Roman"/>
          <w:b/>
          <w:sz w:val="24"/>
        </w:rPr>
        <w:t>Arricchimenti: il dubbio che genera, il dubbio che si scioglie</w:t>
      </w:r>
    </w:p>
    <w:p>
      <w:pPr>
        <w:spacing w:line="276" w:lineRule="auto" w:after="60" w:before="0"/>
        <w:ind w:firstLine="425"/>
        <w:jc w:val="both"/>
      </w:pPr>
      <w:r>
        <w:rPr>
          <w:rFonts w:ascii="Times New Roman" w:hAnsi="Times New Roman" w:cs="Times New Roman" w:eastAsia="Times New Roman"/>
          <w:b w:val="0"/>
          <w:sz w:val="24"/>
        </w:rPr>
        <w:t xml:space="preserve">La metodologia si migliora, come prescritto, per innesto di tre tradizioni che il canone dell’opera già ospita, e che il fondamento cartesiano ordina in sistema. Da Peirce assume la fisiologia del dubbio: il dubbio è un’irritazione che spinge alla lotta per raggiungere la credenza — la celebre fissazione della credenza — e la sola lotta legittima è l’indagine; onde il dubbio pendente non è un difetto del Registro ma il suo </w:t>
      </w:r>
      <w:r>
        <w:rPr>
          <w:rFonts w:ascii="Times New Roman" w:hAnsi="Times New Roman" w:cs="Times New Roman" w:eastAsia="Times New Roman"/>
          <w:b/>
          <w:sz w:val="24"/>
        </w:rPr>
        <w:t>motore</w:t>
      </w:r>
      <w:r>
        <w:rPr>
          <w:rFonts w:ascii="Times New Roman" w:hAnsi="Times New Roman" w:cs="Times New Roman" w:eastAsia="Times New Roman"/>
          <w:b w:val="0"/>
          <w:sz w:val="24"/>
        </w:rPr>
        <w:t xml:space="preserve">, e l’abduzione peirceiana — l’inferenza alla spiegazione che, se vera, renderebbe il fatto ovvio — è la forma logica con cui il dubbio genera le ipotesi da istruire. Da Popper assume il meccanismo dello scioglimento in assenza d’atto: quando l’evidenza chiara e distinta non è disponibile, un dubbio può avviarsi allo scioglimento soltanto per </w:t>
      </w:r>
      <w:r>
        <w:rPr>
          <w:rFonts w:ascii="Times New Roman" w:hAnsi="Times New Roman" w:cs="Times New Roman" w:eastAsia="Times New Roman"/>
          <w:b/>
          <w:sz w:val="24"/>
        </w:rPr>
        <w:t>resistenza alla confutazione</w:t>
      </w:r>
      <w:r>
        <w:rPr>
          <w:rFonts w:ascii="Times New Roman" w:hAnsi="Times New Roman" w:cs="Times New Roman" w:eastAsia="Times New Roman"/>
          <w:b w:val="0"/>
          <w:sz w:val="24"/>
        </w:rPr>
        <w:t xml:space="preserve"> — sopravvivendo a tentativi seri e dichiarati di falsificazione — mai per accumulo di conferme, che lasciano il dubbio dov’era. Da Heuer assume la disciplina della competizione: il dubbio che ammette più spiegazioni si istruisce con la matrice delle ipotesi concorrenti, e si scioglie per eliminazione delle alternative, non per elezione della preferita. E dalla scuola storica — Bloch, Ginzburg — assume la via maestra dello scioglimento documentale: la risalita alla fonte primaria, la critica esterna dell’autenticità e interna dell’attendibilità, che restano le mani con cui il Registro scioglie ciò che scioglie. Così arricchita, la Classificazione di Descartes si enuncia per intero: </w:t>
      </w:r>
      <w:r>
        <w:rPr>
          <w:rFonts w:ascii="Times New Roman" w:hAnsi="Times New Roman" w:cs="Times New Roman" w:eastAsia="Times New Roman"/>
          <w:b/>
          <w:sz w:val="24"/>
        </w:rPr>
        <w:t>il dubbio è unico e non graduato; genera per abduzione; si istruisce per competizione; si scioglie per evidenza, per resistenza alla confutazione, o per dissoluzione; e mentre pende, non comanda</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Tavola di conversione dei marchi storici</w:t>
      </w:r>
    </w:p>
    <w:p>
      <w:pPr>
        <w:spacing w:line="276" w:lineRule="auto" w:after="60" w:before="0"/>
        <w:ind w:firstLine="425"/>
        <w:jc w:val="both"/>
      </w:pPr>
      <w:r>
        <w:rPr>
          <w:rFonts w:ascii="Times New Roman" w:hAnsi="Times New Roman" w:cs="Times New Roman" w:eastAsia="Times New Roman"/>
          <w:b w:val="0"/>
          <w:sz w:val="24"/>
        </w:rPr>
        <w:t xml:space="preserve">Le edizioni incorporate recano i marchi dell’ordinamento deposto, che restano intangibili quale testo storico e si rileggono così. Il marchio di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designa un’asserzione che l’ordinamento previgente riteneva documentata per convergenza di fonti: essa è candidata allo stato di </w:t>
      </w:r>
      <w:r>
        <w:rPr>
          <w:rFonts w:ascii="Times New Roman" w:hAnsi="Times New Roman" w:cs="Times New Roman" w:eastAsia="Times New Roman"/>
          <w:b/>
          <w:sz w:val="24"/>
        </w:rPr>
        <w:t>sciolto</w:t>
      </w:r>
      <w:r>
        <w:rPr>
          <w:rFonts w:ascii="Times New Roman" w:hAnsi="Times New Roman" w:cs="Times New Roman" w:eastAsia="Times New Roman"/>
          <w:b w:val="0"/>
          <w:sz w:val="24"/>
        </w:rPr>
        <w:t xml:space="preserve">, ma la candidatura non è automatica — la conversione esige la verifica che l’evidenza sia chiara e distinta nel senso della prima regola, e fino a quella verifica l’asserzione è un dubbio pendente ad alta priorità di scioglimento. I marchi di </w:t>
      </w:r>
      <w:r>
        <w:rPr>
          <w:rFonts w:ascii="Times New Roman" w:hAnsi="Times New Roman" w:cs="Times New Roman" w:eastAsia="Times New Roman"/>
          <w:b/>
          <w:sz w:val="24"/>
        </w:rPr>
        <w:t>Livello B</w:t>
      </w:r>
      <w:r>
        <w:rPr>
          <w:rFonts w:ascii="Times New Roman" w:hAnsi="Times New Roman" w:cs="Times New Roman" w:eastAsia="Times New Roman"/>
          <w:b w:val="0"/>
          <w:sz w:val="24"/>
        </w:rPr>
        <w:t xml:space="preserve"> e di </w:t>
      </w:r>
      <w:r>
        <w:rPr>
          <w:rFonts w:ascii="Times New Roman" w:hAnsi="Times New Roman" w:cs="Times New Roman" w:eastAsia="Times New Roman"/>
          <w:b/>
          <w:sz w:val="24"/>
        </w:rPr>
        <w:t>Livello C</w:t>
      </w:r>
      <w:r>
        <w:rPr>
          <w:rFonts w:ascii="Times New Roman" w:hAnsi="Times New Roman" w:cs="Times New Roman" w:eastAsia="Times New Roman"/>
          <w:b w:val="0"/>
          <w:sz w:val="24"/>
        </w:rPr>
        <w:t xml:space="preserve"> designavano gradazioni del dubbio: la gradazione è abolita, ed entrambi si convertono nello stato unico di </w:t>
      </w:r>
      <w:r>
        <w:rPr>
          <w:rFonts w:ascii="Times New Roman" w:hAnsi="Times New Roman" w:cs="Times New Roman" w:eastAsia="Times New Roman"/>
          <w:b/>
          <w:sz w:val="24"/>
        </w:rPr>
        <w:t>dubbio pendente</w:t>
      </w:r>
      <w:r>
        <w:rPr>
          <w:rFonts w:ascii="Times New Roman" w:hAnsi="Times New Roman" w:cs="Times New Roman" w:eastAsia="Times New Roman"/>
          <w:b w:val="0"/>
          <w:sz w:val="24"/>
        </w:rPr>
        <w:t xml:space="preserve">, senza che la vecchia lettera conservi alcun peso — la distinzione fra ciò che era B e ciò che era C sopravvive soltanto come informazione consultiva, per chi voglia interrogare il Decalogo. Le espunzioni motivate delle edizioni precedenti si convertono nello stato di </w:t>
      </w:r>
      <w:r>
        <w:rPr>
          <w:rFonts w:ascii="Times New Roman" w:hAnsi="Times New Roman" w:cs="Times New Roman" w:eastAsia="Times New Roman"/>
          <w:b/>
          <w:sz w:val="24"/>
        </w:rPr>
        <w:t>dissolto</w:t>
      </w:r>
      <w:r>
        <w:rPr>
          <w:rFonts w:ascii="Times New Roman" w:hAnsi="Times New Roman" w:cs="Times New Roman" w:eastAsia="Times New Roman"/>
          <w:b w:val="0"/>
          <w:sz w:val="24"/>
        </w:rPr>
        <w:t xml:space="preserve"> e non si riaprono se non per fatto nuovo. Questa tavola governa ogni citazione interna: da oggi, chi cita un’edizione incorporata cita il testo storico e legge lo stato con gli occhi del nuovo ordinamento.</w:t>
      </w:r>
    </w:p>
    <w:p>
      <w:pPr>
        <w:spacing w:line="276" w:lineRule="auto" w:after="80" w:before="200"/>
        <w:ind w:firstLine="0"/>
        <w:jc w:val="both"/>
      </w:pPr>
      <w:r>
        <w:rPr>
          <w:rFonts w:ascii="Times New Roman" w:hAnsi="Times New Roman" w:cs="Times New Roman" w:eastAsia="Times New Roman"/>
          <w:b/>
          <w:sz w:val="24"/>
        </w:rPr>
        <w:t>PARTE DICIOTTESIMA — IL DECALOGO DELLE CLASSIFICAZIONI CONSULTIVE</w:t>
      </w:r>
    </w:p>
    <w:p>
      <w:pPr>
        <w:spacing w:line="276" w:lineRule="auto" w:after="60" w:before="0"/>
        <w:ind w:firstLine="425"/>
        <w:jc w:val="both"/>
      </w:pPr>
      <w:r>
        <w:rPr>
          <w:rFonts w:ascii="Times New Roman" w:hAnsi="Times New Roman" w:cs="Times New Roman" w:eastAsia="Times New Roman"/>
          <w:b w:val="0"/>
          <w:sz w:val="24"/>
        </w:rPr>
        <w:t xml:space="preserve">Il comando prescrive che le classificazioni esistano senza potere: non una, ma le dieci più importanti e riconosciute al mondo, custodite a scopo esclusivamente conoscitivo e informativo, accessibili soltanto quando l’autore decida di propria iniziativa di consultarle. Il Registro le istituisce quale </w:t>
      </w:r>
      <w:r>
        <w:rPr>
          <w:rFonts w:ascii="Times New Roman" w:hAnsi="Times New Roman" w:cs="Times New Roman" w:eastAsia="Times New Roman"/>
          <w:b/>
          <w:sz w:val="24"/>
        </w:rPr>
        <w:t>Decalogo delle Classificazioni Consultive</w:t>
      </w:r>
      <w:r>
        <w:rPr>
          <w:rFonts w:ascii="Times New Roman" w:hAnsi="Times New Roman" w:cs="Times New Roman" w:eastAsia="Times New Roman"/>
          <w:b w:val="0"/>
          <w:sz w:val="24"/>
        </w:rPr>
        <w:t>, con due clausole scolpite in apertura. Clausola di impotenza: nessuna voce del Decalogo ha potere decisionale, non ammette né respinge né gradua alcunché ai fini del Registro, e nessun atto istruttorio può motivarsi con una sua risultanza. Clausola di accesso: il Decalogo tace per difetto; si apre soltanto su richiesta espressa dell’autore, voce per voce, e ogni consultazione è annotata come tale — un’informazione presa, mai un giudizio reso.</w:t>
      </w:r>
    </w:p>
    <w:p>
      <w:pPr>
        <w:spacing w:line="276" w:lineRule="auto" w:after="60" w:before="0"/>
        <w:ind w:firstLine="425"/>
        <w:jc w:val="both"/>
      </w:pPr>
      <w:r>
        <w:rPr>
          <w:rFonts w:ascii="Times New Roman" w:hAnsi="Times New Roman" w:cs="Times New Roman" w:eastAsia="Times New Roman"/>
          <w:b/>
          <w:sz w:val="24"/>
        </w:rPr>
        <w:t>Prima voce — la Classificazione Savona.</w:t>
      </w:r>
      <w:r>
        <w:rPr>
          <w:rFonts w:ascii="Times New Roman" w:hAnsi="Times New Roman" w:cs="Times New Roman" w:eastAsia="Times New Roman"/>
          <w:b w:val="0"/>
          <w:sz w:val="24"/>
        </w:rPr>
        <w:t xml:space="preserve"> La triangolazione delle fonti della criminologia analitica, già ordinamento del Registro: tre fonti indipendenti di natura diversa per la connessione documentata, due per l’indiziaria, una per l’ipotetica. Deposta dal trono, resta la più affine alla materia e la prima da consultare quando si voglia sapere quanta convergenza di fonti sorregga un’asserzione. </w:t>
      </w:r>
      <w:r>
        <w:rPr>
          <w:rFonts w:ascii="Times New Roman" w:hAnsi="Times New Roman" w:cs="Times New Roman" w:eastAsia="Times New Roman"/>
          <w:b/>
          <w:sz w:val="24"/>
        </w:rPr>
        <w:t>Seconda voce — il sistema alfanumerico dell’Alleanza atlantica</w:t>
      </w:r>
      <w:r>
        <w:rPr>
          <w:rFonts w:ascii="Times New Roman" w:hAnsi="Times New Roman" w:cs="Times New Roman" w:eastAsia="Times New Roman"/>
          <w:b w:val="0"/>
          <w:sz w:val="24"/>
        </w:rPr>
        <w:t xml:space="preserve">, detto dell’Ammiragliato: la doppia scala che incrocia l’affidabilità della fonte, dalla completamente affidabile alla inattendibile, con la credibilità dell’informazione, dalla confermata da altre fonti alla non giudicabile — lo standard degli apparati informativi occidentali, utile a distinguere ciò che la fonte è da ciò che la fonte dice. </w:t>
      </w:r>
      <w:r>
        <w:rPr>
          <w:rFonts w:ascii="Times New Roman" w:hAnsi="Times New Roman" w:cs="Times New Roman" w:eastAsia="Times New Roman"/>
          <w:b/>
          <w:sz w:val="24"/>
        </w:rPr>
        <w:t>Terza voce — gli standard analitici della comunità d’intelligence statunitense</w:t>
      </w:r>
      <w:r>
        <w:rPr>
          <w:rFonts w:ascii="Times New Roman" w:hAnsi="Times New Roman" w:cs="Times New Roman" w:eastAsia="Times New Roman"/>
          <w:b w:val="0"/>
          <w:sz w:val="24"/>
        </w:rPr>
        <w:t xml:space="preserve">: il linguaggio estimativo delle probabilità verbali, nella tradizione di Sherman Kent — dal quasi certo al remoto — accoppiato ai gradi di fiducia dell’analista, alto, moderato, basso; utile a chi voglia esprimere, senza numeri, quanto un’analisi si fidi di sé stessa. </w:t>
      </w:r>
      <w:r>
        <w:rPr>
          <w:rFonts w:ascii="Times New Roman" w:hAnsi="Times New Roman" w:cs="Times New Roman" w:eastAsia="Times New Roman"/>
          <w:b/>
          <w:sz w:val="24"/>
        </w:rPr>
        <w:t>Quarta voce — il metro probabilistico dell’assessment britannico</w:t>
      </w:r>
      <w:r>
        <w:rPr>
          <w:rFonts w:ascii="Times New Roman" w:hAnsi="Times New Roman" w:cs="Times New Roman" w:eastAsia="Times New Roman"/>
          <w:b w:val="0"/>
          <w:sz w:val="24"/>
        </w:rPr>
        <w:t xml:space="preserve">: le fasce percentuali standardizzate che ancorano le parole ai numeri, dalla possibilità remota sotto il cinque per cento al quasi certo sopra il novantacinque; utile quando il linguaggio verbale rischia l’ambiguità. </w:t>
      </w:r>
      <w:r>
        <w:rPr>
          <w:rFonts w:ascii="Times New Roman" w:hAnsi="Times New Roman" w:cs="Times New Roman" w:eastAsia="Times New Roman"/>
          <w:b/>
          <w:sz w:val="24"/>
        </w:rPr>
        <w:t>Quinta voce — gli standard giudiziari della prova</w:t>
      </w:r>
      <w:r>
        <w:rPr>
          <w:rFonts w:ascii="Times New Roman" w:hAnsi="Times New Roman" w:cs="Times New Roman" w:eastAsia="Times New Roman"/>
          <w:b w:val="0"/>
          <w:sz w:val="24"/>
        </w:rPr>
        <w:t>: la scala processuale che va dall’oltre ogni ragionevole dubbio del penale al più probabile che non del civile, con la disciplina italiana degli indizi che debbono essere gravi, precisi e concordanti; è la voce da consultare quando ci si chieda che cosa reggerebbe in un’aula.</w:t>
      </w:r>
    </w:p>
    <w:p>
      <w:pPr>
        <w:spacing w:line="276" w:lineRule="auto" w:after="60" w:before="0"/>
        <w:ind w:firstLine="425"/>
        <w:jc w:val="both"/>
      </w:pPr>
      <w:r>
        <w:rPr>
          <w:rFonts w:ascii="Times New Roman" w:hAnsi="Times New Roman" w:cs="Times New Roman" w:eastAsia="Times New Roman"/>
          <w:b/>
          <w:sz w:val="24"/>
        </w:rPr>
        <w:t>Sesta voce — il sistema di valutazione dell’evidenza scientifica</w:t>
      </w:r>
      <w:r>
        <w:rPr>
          <w:rFonts w:ascii="Times New Roman" w:hAnsi="Times New Roman" w:cs="Times New Roman" w:eastAsia="Times New Roman"/>
          <w:b w:val="0"/>
          <w:sz w:val="24"/>
        </w:rPr>
        <w:t xml:space="preserve">, nella forma consolidata dalla comunità internazionale della medicina delle prove: qualità dell’evidenza alta, moderata, bassa, molto bassa, secondo il disegno degli studi e i rischi di distorsione; utile come specchio metodologico quando il Registro maneggi dati seriali o statistici. </w:t>
      </w:r>
      <w:r>
        <w:rPr>
          <w:rFonts w:ascii="Times New Roman" w:hAnsi="Times New Roman" w:cs="Times New Roman" w:eastAsia="Times New Roman"/>
          <w:b/>
          <w:sz w:val="24"/>
        </w:rPr>
        <w:t>Settima voce — la critica storica delle fonti</w:t>
      </w:r>
      <w:r>
        <w:rPr>
          <w:rFonts w:ascii="Times New Roman" w:hAnsi="Times New Roman" w:cs="Times New Roman" w:eastAsia="Times New Roman"/>
          <w:b w:val="0"/>
          <w:sz w:val="24"/>
        </w:rPr>
        <w:t xml:space="preserve">: la tradizione che da Langlois e Seignobos giunge a Bloch — critica esterna dell’autenticità, critica interna dell’attendibilità, gerarchia delle fonti primarie, secondarie e terziarie; è la voce più antica del Decalogo e quella che il Registro pratica comunque, per formazione, in ogni risalita. </w:t>
      </w:r>
      <w:r>
        <w:rPr>
          <w:rFonts w:ascii="Times New Roman" w:hAnsi="Times New Roman" w:cs="Times New Roman" w:eastAsia="Times New Roman"/>
          <w:b/>
          <w:sz w:val="24"/>
        </w:rPr>
        <w:t>Ottava voce — i sistemi di valutazione delle polizie europee</w:t>
      </w:r>
      <w:r>
        <w:rPr>
          <w:rFonts w:ascii="Times New Roman" w:hAnsi="Times New Roman" w:cs="Times New Roman" w:eastAsia="Times New Roman"/>
          <w:b w:val="0"/>
          <w:sz w:val="24"/>
        </w:rPr>
        <w:t xml:space="preserve">, nelle forme a doppia e tripla matrice: valutazione della fonte, valutazione dell’informazione, codici di trattamento; utile a chi voglia sapere come un’informazione circolerebbe negli apparati investigativi. </w:t>
      </w:r>
      <w:r>
        <w:rPr>
          <w:rFonts w:ascii="Times New Roman" w:hAnsi="Times New Roman" w:cs="Times New Roman" w:eastAsia="Times New Roman"/>
          <w:b/>
          <w:sz w:val="24"/>
        </w:rPr>
        <w:t>Nona voce — l’analisi strutturata della prova</w:t>
      </w:r>
      <w:r>
        <w:rPr>
          <w:rFonts w:ascii="Times New Roman" w:hAnsi="Times New Roman" w:cs="Times New Roman" w:eastAsia="Times New Roman"/>
          <w:b w:val="0"/>
          <w:sz w:val="24"/>
        </w:rPr>
        <w:t xml:space="preserve">, da Wigmore alle tecniche analitiche strutturate contemporanee: la scomposizione della prova in catene inferenziali esplicite, di cui la matrice delle ipotesi concorrenti è la discendente operativa; utile quando un dubbio composto vada disegnato prima che istruito. </w:t>
      </w:r>
      <w:r>
        <w:rPr>
          <w:rFonts w:ascii="Times New Roman" w:hAnsi="Times New Roman" w:cs="Times New Roman" w:eastAsia="Times New Roman"/>
          <w:b/>
          <w:sz w:val="24"/>
        </w:rPr>
        <w:t>Decima voce — la probabilità bayesiana</w:t>
      </w:r>
      <w:r>
        <w:rPr>
          <w:rFonts w:ascii="Times New Roman" w:hAnsi="Times New Roman" w:cs="Times New Roman" w:eastAsia="Times New Roman"/>
          <w:b w:val="0"/>
          <w:sz w:val="24"/>
        </w:rPr>
        <w:t>: la quantificazione del grado di credenza e il suo aggiornamento all’arrivo di ogni evidenza, nella tradizione che da Bayes e Laplace giunge a de Finetti; è la voce formale del Decalogo, da consultare quando si voglia sapere non che cosa credere, ma quanto coerentemente si stia credendo. Dieci voci, dieci tradizioni, nessun potere: il Decalogo è una biblioteca, non un tribunale.</w:t>
      </w:r>
    </w:p>
    <w:p>
      <w:pPr>
        <w:spacing w:line="276" w:lineRule="auto" w:after="80" w:before="200"/>
        <w:ind w:firstLine="0"/>
        <w:jc w:val="both"/>
      </w:pPr>
      <w:r>
        <w:rPr>
          <w:rFonts w:ascii="Times New Roman" w:hAnsi="Times New Roman" w:cs="Times New Roman" w:eastAsia="Times New Roman"/>
          <w:b/>
          <w:sz w:val="24"/>
        </w:rPr>
        <w:t>PARTE DICIANNOVESIMA — LA RICLASSIFICAZIONE CARTESIANA DEL REGISTRO</w:t>
      </w:r>
    </w:p>
    <w:p>
      <w:pPr>
        <w:spacing w:line="276" w:lineRule="auto" w:after="60" w:before="0"/>
        <w:ind w:firstLine="425"/>
        <w:jc w:val="both"/>
      </w:pPr>
      <w:r>
        <w:rPr>
          <w:rFonts w:ascii="Times New Roman" w:hAnsi="Times New Roman" w:cs="Times New Roman" w:eastAsia="Times New Roman"/>
          <w:b w:val="0"/>
          <w:sz w:val="24"/>
        </w:rPr>
        <w:t xml:space="preserve">In applicazione del nuovo ordinamento, il Registro riclassifica il proprio intero contenuto nei tre stati. La riclassificazione è integrale quanto al metodo e sintetica quanto alla forma: essa non riscrive le Parti incorporate — che restano testo storico — ma dichiara lo stato attuale di ciascun capitolo della conoscenza, e istituisce il </w:t>
      </w:r>
      <w:r>
        <w:rPr>
          <w:rFonts w:ascii="Times New Roman" w:hAnsi="Times New Roman" w:cs="Times New Roman" w:eastAsia="Times New Roman"/>
          <w:b/>
          <w:sz w:val="24"/>
        </w:rPr>
        <w:t>Registro dei Dubbi Pendenti</w:t>
      </w:r>
      <w:r>
        <w:rPr>
          <w:rFonts w:ascii="Times New Roman" w:hAnsi="Times New Roman" w:cs="Times New Roman" w:eastAsia="Times New Roman"/>
          <w:b w:val="0"/>
          <w:sz w:val="24"/>
        </w:rPr>
        <w:t>, che del rinnovamento è il frutto operativo.</w:t>
      </w:r>
    </w:p>
    <w:p>
      <w:pPr>
        <w:spacing w:line="276" w:lineRule="auto" w:after="60" w:before="0"/>
        <w:ind w:firstLine="425"/>
        <w:jc w:val="both"/>
      </w:pPr>
      <w:r>
        <w:rPr>
          <w:rFonts w:ascii="Times New Roman" w:hAnsi="Times New Roman" w:cs="Times New Roman" w:eastAsia="Times New Roman"/>
          <w:b/>
          <w:sz w:val="24"/>
        </w:rPr>
        <w:t>Il registro degli sciolti.</w:t>
      </w:r>
      <w:r>
        <w:rPr>
          <w:rFonts w:ascii="Times New Roman" w:hAnsi="Times New Roman" w:cs="Times New Roman" w:eastAsia="Times New Roman"/>
          <w:b w:val="0"/>
          <w:sz w:val="24"/>
        </w:rPr>
        <w:t xml:space="preserve"> Sono nello stato di sciolto, per evidenza chiara e distinta: la dinamica materiale dell’agguato del sedici marzo quale evento — il luogo, l’ora, le vittime della scorta, il rapimento; la morte del prigioniero e il ritrovamento del nove maggio; le condanne definitive pronunciate nelle sedi proprie a carico degli esecutori accertati, quali atti; l’arresto del ventinove maggio settantanove in viale Giulio Cesare e il rinvenimento dell’arma, quali atti di polizia giudiziaria documentati; l’esistenza, le date e il tenore testuale degli atti parlamentari, delle ordinanze e delle sentenze citate, in quanto testi; le funzioni istituzionali coeve con le loro date, ove attestate da fonte inventariale o normativa; il furto di Ponte Brolla quale accertamento tecnico binazionale; il documento del volo dirottato quale testo riprodotto. Lo stato di sciolto certifica il fatto o l’atto, mai la sua interpretazione: che cosa gli atti significhino resta, dove resta, dubbio.</w:t>
      </w:r>
    </w:p>
    <w:p>
      <w:pPr>
        <w:spacing w:line="276" w:lineRule="auto" w:after="60" w:before="0"/>
        <w:ind w:firstLine="425"/>
        <w:jc w:val="both"/>
      </w:pPr>
      <w:r>
        <w:rPr>
          <w:rFonts w:ascii="Times New Roman" w:hAnsi="Times New Roman" w:cs="Times New Roman" w:eastAsia="Times New Roman"/>
          <w:b/>
          <w:sz w:val="24"/>
        </w:rPr>
        <w:t>Il registro dei dissolti.</w:t>
      </w:r>
      <w:r>
        <w:rPr>
          <w:rFonts w:ascii="Times New Roman" w:hAnsi="Times New Roman" w:cs="Times New Roman" w:eastAsia="Times New Roman"/>
          <w:b w:val="0"/>
          <w:sz w:val="24"/>
        </w:rPr>
        <w:t xml:space="preserve"> Sono nello stato di dissolto, e non si riaprono se non per fatto nuovo: la voce Igor Caetani, artefatto di adiacenza tipografica; gli omonimi Varone di procedimento estraneo; il participio scambiato per cognome; la serie inferenziale di coloro che videro le carte e morirono, respinta per selezione dei morti; la conflazione fra l’esponente della banda e il dirigente dell’organizzazione, separata per omonimia; la conflazione fra i due Malagugini, padre e figlio, separata per omonimia; gli archi computazionali caduti al test di prossimità nelle istruttorie delle edizioni precedenti.</w:t>
      </w:r>
    </w:p>
    <w:p>
      <w:pPr>
        <w:spacing w:line="276" w:lineRule="auto" w:after="60" w:before="0"/>
        <w:ind w:firstLine="425"/>
        <w:jc w:val="both"/>
      </w:pPr>
      <w:r>
        <w:rPr>
          <w:rFonts w:ascii="Times New Roman" w:hAnsi="Times New Roman" w:cs="Times New Roman" w:eastAsia="Times New Roman"/>
          <w:b/>
          <w:sz w:val="24"/>
        </w:rPr>
        <w:t>Il Registro dei Dubbi Pendenti.</w:t>
      </w:r>
      <w:r>
        <w:rPr>
          <w:rFonts w:ascii="Times New Roman" w:hAnsi="Times New Roman" w:cs="Times New Roman" w:eastAsia="Times New Roman"/>
          <w:b w:val="0"/>
          <w:sz w:val="24"/>
        </w:rPr>
        <w:t xml:space="preserve"> Segue l’enumerazione — nel senso della quarta regola: completa quanto ai dubbi maggiori, generale quanto alla revisione — dei dubbi che il Registro tiene aperti, ciascuno con la propria condizione di scioglimento. Nessun ordine di importanza è implicato dall’ordine di elenco, che è ordine di materia; la priorità istruttoria discende dalla terza regola, dai semplici ai composti, e da nient’altro. Dubbio primo: se e che cosa il canale di Beirut abbia trasmesso, prima e durante i cinquantacinque giorni, oltre il documento del diciassette febbraio; si scioglie con la risalita integrale agli atti della seconda Commissione. Dubbio secondo: quale uso, verso e beneficiari abbia avuto il canale fra il falsario, il confidente e il maresciallo; si scioglie con la lettura integrale dell’ordinanza e dei fascicoli del nucleo. Dubbio terzo: se l’incontro proposto dal tramite d’affari sia mai avvenuto, e perché fu indicato un ufficio della Procura generale; si scioglie con i riscontri della dichiarazione. Dubbio quarto: che cosa spieghi la convergenza di due piste indipendenti sul medesimo ufficio; è dubbio composto, che si scioglie dopo il secondo e il terzo. Dubbio quinto: se fra il religioso del canale di ritorno e la dirigenza dell’istituto finanziario sussista parentela diretta; si scioglie in anagrafe. Dubbio sesto: se la simmetria dei due criminologi degli elenchi sia struttura o coincidenza; si scioglie con la lettura integrale delle due posizioni. Dubbio settimo: se il musicista abbia avuto un ruolo qualsiasi oltre il matrimonio; si scioglie, se si scioglie, solo per atto nuovo. Dubbio ottavo: quale ruolo abbia avuto il padre della locataria; si scioglie con le carte dei servizi dell’Est, ove accessibili. Dubbio nono: quanto delle autodichiarazioni tarde del consulente straniero sia riscontrabile; si scioglie per confronto con gli atti coevi della struttura di crisi. Dubbio decimo: se la discesa dal treno dell’agosto settantaquattro sia attestabile da atto coevo; si scioglie in archivio ferroviario o di scorta. Dubbio undicesimo: quale sia la posizione processuale integrale del terzo esecutore sotto la giurisdizione elvetica; si scioglie con gli atti di quella giurisdizione. Dubbio dodicesimo: perché il nome del consigliere istruttore ricorra presso il palazzo; si scioglie con la lettura della finestra e degli atti immobiliari. Dubbio tredicesimo: perché la società di trasporto valori ricorra presso il collaboratore politico; si scioglie con la lettura delle finestre e degli atti societari. Dubbio quattordicesimo: quale fosse, funzione per funzione, l’organigramma coevo integrale dei cinquantacinque giorni; si scioglie per compilazione documentale, contro la trappola dei due organigrammi. Dubbio quindicesimo: che cosa accadde nella riunione bolognese del due aprile; resta dubbio, e la sua condizione di scioglimento — un partecipante che dica, un atto che emerga — è dichiarata improbabile ma non impossibile. Dubbio sedicesimo: chi nominò mediatore l’uomo del boss milanese, e se la dichiarazione sui servizi sia riscontrata; si scioglie con la risalita alle fonti processuali delle dichiarazioni. Dubbio diciassettesimo: quali anni, forme e consapevolezza abbia avuto la protezione parigina del gruppo; si scioglie con gli atti dell’istruttoria veneziana e le fonti francesi. Dubbio diciottesimo: a quale ordigno si riferisca l’accertamento elvetico, e quali altri ritrovamenti appartengano allo stock; si scioglie con la lettura integrale dell’elaborato. Dubbio diciannovesimo: che cosa contenga il blocco stenografico non ancora convertito; è il dubbio strumentale sovraordinato, condizione di scioglimento di molti altri, e si scioglie con la conversione, che resta la priorità assoluta dell’apparato. Dubbio ventesimo, e ultimo dell’enumerazione presente: se il perimetro degli esecutori sia oggi completo; la serie a tre termini insegna che questo dubbio non si presume mai sciolto, e la sua condizione è negativa — resta pendente finché ogni nuova emersione non sia esclusa.</w:t>
      </w:r>
    </w:p>
    <w:p>
      <w:pPr>
        <w:spacing w:line="276" w:lineRule="auto" w:after="60" w:before="0"/>
        <w:ind w:firstLine="425"/>
        <w:jc w:val="both"/>
      </w:pPr>
      <w:r>
        <w:rPr>
          <w:rFonts w:ascii="Times New Roman" w:hAnsi="Times New Roman" w:cs="Times New Roman" w:eastAsia="Times New Roman"/>
          <w:b/>
          <w:sz w:val="24"/>
        </w:rPr>
        <w:t>Chiusura della Parte.</w:t>
      </w:r>
      <w:r>
        <w:rPr>
          <w:rFonts w:ascii="Times New Roman" w:hAnsi="Times New Roman" w:cs="Times New Roman" w:eastAsia="Times New Roman"/>
          <w:b w:val="0"/>
          <w:sz w:val="24"/>
        </w:rPr>
        <w:t xml:space="preserve"> Venti dubbi enumerati, tre stati, nessuna gradazione: il Registro, riclassificato, mostra il proprio volto cartesiano — poche certezze scolpite, un registro di errori dissolti che nessuno riaprirà per distrazione, e un motore di venti domande, ciascuna con la propria chiave. Chi cercasse in questa Parte la vecchia gerarchia delle etichette non la troverà: troverà, al suo posto, l’ordine delle cose da fare.</w:t>
      </w:r>
    </w:p>
    <w:p>
      <w:pPr>
        <w:spacing w:line="276" w:lineRule="auto" w:after="80" w:before="200"/>
        <w:ind w:firstLine="0"/>
        <w:jc w:val="both"/>
      </w:pPr>
      <w:r>
        <w:rPr>
          <w:rFonts w:ascii="Times New Roman" w:hAnsi="Times New Roman" w:cs="Times New Roman" w:eastAsia="Times New Roman"/>
          <w:b/>
          <w:sz w:val="24"/>
        </w:rPr>
        <w:t>COLOPHON DELL’EDIZIONE QUINTA</w:t>
      </w:r>
    </w:p>
    <w:p>
      <w:pPr>
        <w:spacing w:line="276" w:lineRule="auto" w:after="60" w:before="0"/>
        <w:ind w:firstLine="425"/>
        <w:jc w:val="both"/>
      </w:pPr>
      <w:r>
        <w:rPr>
          <w:rFonts w:ascii="Times New Roman" w:hAnsi="Times New Roman" w:cs="Times New Roman" w:eastAsia="Times New Roman"/>
          <w:b w:val="0"/>
          <w:sz w:val="24"/>
        </w:rPr>
        <w:t>REGISTRO ANALITICO DEL CASO MORO, edizione quinta, il Rinnovamento Cartesiano, primo dei Tre Documenti Morotei, con la Classificazione di Descartes di Luigi De Michele e il Decalogo delle Classificazioni Consultive,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è la Classificazione di Descartes: tre stati — sciolto, dubbio, dissolto — nessuna gradazione del dubbio, nessun potere decisionale delle classificazioni consultive, che si aprono soltanto su richiesta espressa dell’autore. Incorpora verbatim l’edizione quarta e, per suo tramite, la terza, la seconda e la prima, i cui marchi storici si leggono secondo la tavola di conversione;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VENTESIMA — L’APPORTO KUHNIANO</w:t>
      </w:r>
    </w:p>
    <w:p>
      <w:pPr>
        <w:spacing w:line="276" w:lineRule="auto" w:after="80" w:before="200"/>
        <w:ind w:firstLine="0"/>
        <w:jc w:val="both"/>
      </w:pPr>
      <w:r>
        <w:rPr>
          <w:rFonts w:ascii="Times New Roman" w:hAnsi="Times New Roman" w:cs="Times New Roman" w:eastAsia="Times New Roman"/>
          <w:b/>
          <w:sz w:val="24"/>
        </w:rPr>
        <w:t>Premessa: perché Kuhn dopo Descartes</w:t>
      </w:r>
    </w:p>
    <w:p>
      <w:pPr>
        <w:spacing w:line="276" w:lineRule="auto" w:after="60" w:before="0"/>
        <w:ind w:firstLine="425"/>
        <w:jc w:val="both"/>
      </w:pPr>
      <w:r>
        <w:rPr>
          <w:rFonts w:ascii="Times New Roman" w:hAnsi="Times New Roman" w:cs="Times New Roman" w:eastAsia="Times New Roman"/>
          <w:b w:val="0"/>
          <w:sz w:val="24"/>
        </w:rPr>
        <w:t xml:space="preserve">La Classificazione di Descartes ha restituito al dubbio la sua unità e alla certificazione la sua severità; ma essa opera, per costruzione, sul piano del giudizio — su ciò che l’analista accoglie o sospende. Thomas Kuhn, nella Struttura delle rivoluzioni scientifiche del millenovecentosessantadue, ha mostrato che sotto il piano del giudizio corre un piano più profondo e meno visibile: quello del </w:t>
      </w:r>
      <w:r>
        <w:rPr>
          <w:rFonts w:ascii="Times New Roman" w:hAnsi="Times New Roman" w:cs="Times New Roman" w:eastAsia="Times New Roman"/>
          <w:b/>
          <w:sz w:val="24"/>
        </w:rPr>
        <w:t>paradigma</w:t>
      </w:r>
      <w:r>
        <w:rPr>
          <w:rFonts w:ascii="Times New Roman" w:hAnsi="Times New Roman" w:cs="Times New Roman" w:eastAsia="Times New Roman"/>
          <w:b w:val="0"/>
          <w:sz w:val="24"/>
        </w:rPr>
        <w:t xml:space="preserve"> — la costellazione di assunti, esemplari, tecniche e lessici entro cui una comunità di ricerca vede i propri oggetti — e che l’osservazione stessa è </w:t>
      </w:r>
      <w:r>
        <w:rPr>
          <w:rFonts w:ascii="Times New Roman" w:hAnsi="Times New Roman" w:cs="Times New Roman" w:eastAsia="Times New Roman"/>
          <w:b/>
          <w:sz w:val="24"/>
        </w:rPr>
        <w:t>carica di teoria</w:t>
      </w:r>
      <w:r>
        <w:rPr>
          <w:rFonts w:ascii="Times New Roman" w:hAnsi="Times New Roman" w:cs="Times New Roman" w:eastAsia="Times New Roman"/>
          <w:b w:val="0"/>
          <w:sz w:val="24"/>
        </w:rPr>
        <w:t>: non esiste un occhio neutro, perché ciò che si vede dipende da ciò che lo strumento e la tradizione hanno reso visibile. Per un apparato che ha appena vietato alle classificazioni ogni potere sul corso dell’indagine, la lezione è obbligata: dopo aver disarmato le etichette, occorre disarmare — o almeno dichiarare — gli occhiali. L’apporto kuhniano compie questo secondo disarmo in due movimenti: la Metafora del Microscopio, che dichiara la parzialità costitutiva di ogni strumento dell’apparato, e la teoria dell’incommensurabilità, che dichiara la parzialità costitutiva di ogni lettura del caso.</w:t>
      </w:r>
    </w:p>
    <w:p>
      <w:pPr>
        <w:spacing w:line="276" w:lineRule="auto" w:after="80" w:before="200"/>
        <w:ind w:firstLine="0"/>
        <w:jc w:val="both"/>
      </w:pPr>
      <w:r>
        <w:rPr>
          <w:rFonts w:ascii="Times New Roman" w:hAnsi="Times New Roman" w:cs="Times New Roman" w:eastAsia="Times New Roman"/>
          <w:b/>
          <w:sz w:val="24"/>
        </w:rPr>
        <w:t>La Metafora del Microscopio</w:t>
      </w:r>
    </w:p>
    <w:p>
      <w:pPr>
        <w:spacing w:line="276" w:lineRule="auto" w:after="60" w:before="0"/>
        <w:ind w:firstLine="425"/>
        <w:jc w:val="both"/>
      </w:pPr>
      <w:r>
        <w:rPr>
          <w:rFonts w:ascii="Times New Roman" w:hAnsi="Times New Roman" w:cs="Times New Roman" w:eastAsia="Times New Roman"/>
          <w:b w:val="0"/>
          <w:sz w:val="24"/>
        </w:rPr>
        <w:t xml:space="preserve">La Metafora del Microscopio, elaborata dall’autore quale sintesi operativa delle teorie kuhniane sullo strumento, si enuncia così: </w:t>
      </w:r>
      <w:r>
        <w:rPr>
          <w:rFonts w:ascii="Times New Roman" w:hAnsi="Times New Roman" w:cs="Times New Roman" w:eastAsia="Times New Roman"/>
          <w:b/>
          <w:sz w:val="24"/>
        </w:rPr>
        <w:t>ogni metodologia dell’apparato è un microscopio — rivela ciò che l’occhio non vede, e insieme vede soltanto ciò che il proprio modo di vedere le consente</w:t>
      </w:r>
      <w:r>
        <w:rPr>
          <w:rFonts w:ascii="Times New Roman" w:hAnsi="Times New Roman" w:cs="Times New Roman" w:eastAsia="Times New Roman"/>
          <w:b w:val="0"/>
          <w:sz w:val="24"/>
        </w:rPr>
        <w:t xml:space="preserve">. Il microscopio, che è lo strumento principe della rivelazione scientifica, è anche il più onesto dei maestri di parzialità, perché i suoi limiti sono cinque, dichiarati, e ineliminabili. Primo, il </w:t>
      </w:r>
      <w:r>
        <w:rPr>
          <w:rFonts w:ascii="Times New Roman" w:hAnsi="Times New Roman" w:cs="Times New Roman" w:eastAsia="Times New Roman"/>
          <w:b/>
          <w:sz w:val="24"/>
        </w:rPr>
        <w:t>campo</w:t>
      </w:r>
      <w:r>
        <w:rPr>
          <w:rFonts w:ascii="Times New Roman" w:hAnsi="Times New Roman" w:cs="Times New Roman" w:eastAsia="Times New Roman"/>
          <w:b w:val="0"/>
          <w:sz w:val="24"/>
        </w:rPr>
        <w:t xml:space="preserve">: il microscopio inquadra il vetrino, non il mondo — ciò che sta fuori dal preparato non esiste per lo strumento, e nessuna perfezione ottica lo farà apparire. Secondo, la </w:t>
      </w:r>
      <w:r>
        <w:rPr>
          <w:rFonts w:ascii="Times New Roman" w:hAnsi="Times New Roman" w:cs="Times New Roman" w:eastAsia="Times New Roman"/>
          <w:b/>
          <w:sz w:val="24"/>
        </w:rPr>
        <w:t>preparazione</w:t>
      </w:r>
      <w:r>
        <w:rPr>
          <w:rFonts w:ascii="Times New Roman" w:hAnsi="Times New Roman" w:cs="Times New Roman" w:eastAsia="Times New Roman"/>
          <w:b w:val="0"/>
          <w:sz w:val="24"/>
        </w:rPr>
        <w:t>: il campione, per essere osservato, deve essere trasformato — sezionato, fissato, colorato — sicché lo strumento non osserva mai l’oggetto ma sempre l’oggetto-preparato, e una parte di ciò che mostra appartiene alla preparazione e non alla cosa. Terzo, l’</w:t>
      </w:r>
      <w:r>
        <w:rPr>
          <w:rFonts w:ascii="Times New Roman" w:hAnsi="Times New Roman" w:cs="Times New Roman" w:eastAsia="Times New Roman"/>
          <w:b/>
          <w:sz w:val="24"/>
        </w:rPr>
        <w:t>ingrandimento e la risoluzione</w:t>
      </w:r>
      <w:r>
        <w:rPr>
          <w:rFonts w:ascii="Times New Roman" w:hAnsi="Times New Roman" w:cs="Times New Roman" w:eastAsia="Times New Roman"/>
          <w:b w:val="0"/>
          <w:sz w:val="24"/>
        </w:rPr>
        <w:t xml:space="preserve">: a un ingrandimento si vede la cellula e non l’organello, a un altro l’organello e non la cellula, mai entrambi insieme — la scala di osservazione decide la classe degli oggetti visibili. Quarto, il </w:t>
      </w:r>
      <w:r>
        <w:rPr>
          <w:rFonts w:ascii="Times New Roman" w:hAnsi="Times New Roman" w:cs="Times New Roman" w:eastAsia="Times New Roman"/>
          <w:b/>
          <w:sz w:val="24"/>
        </w:rPr>
        <w:t>piano di fuoco</w:t>
      </w:r>
      <w:r>
        <w:rPr>
          <w:rFonts w:ascii="Times New Roman" w:hAnsi="Times New Roman" w:cs="Times New Roman" w:eastAsia="Times New Roman"/>
          <w:b w:val="0"/>
          <w:sz w:val="24"/>
        </w:rPr>
        <w:t xml:space="preserve">: la messa a fuoco su un piano sfoca tutti gli altri, e la nitidezza è sempre nitidezza di qualcosa a spese di qualcos’altro. Quinto, gli </w:t>
      </w:r>
      <w:r>
        <w:rPr>
          <w:rFonts w:ascii="Times New Roman" w:hAnsi="Times New Roman" w:cs="Times New Roman" w:eastAsia="Times New Roman"/>
          <w:b/>
          <w:sz w:val="24"/>
        </w:rPr>
        <w:t>artefatti di preparazione</w:t>
      </w:r>
      <w:r>
        <w:rPr>
          <w:rFonts w:ascii="Times New Roman" w:hAnsi="Times New Roman" w:cs="Times New Roman" w:eastAsia="Times New Roman"/>
          <w:b w:val="0"/>
          <w:sz w:val="24"/>
        </w:rPr>
        <w:t>: le bolle nel vetrino, le pieghe della sezione, i precipitati del colorante — figure che appartengono allo strumento e che l’osservatore inesperto scambia per strutture della cosa.</w:t>
      </w:r>
    </w:p>
    <w:p>
      <w:pPr>
        <w:spacing w:line="276" w:lineRule="auto" w:after="60" w:before="0"/>
        <w:ind w:firstLine="425"/>
        <w:jc w:val="both"/>
      </w:pPr>
      <w:r>
        <w:rPr>
          <w:rFonts w:ascii="Times New Roman" w:hAnsi="Times New Roman" w:cs="Times New Roman" w:eastAsia="Times New Roman"/>
          <w:b w:val="0"/>
          <w:sz w:val="24"/>
        </w:rPr>
        <w:t xml:space="preserve">La traduzione operativa è immediata, e il Registro la compie strumento per strumento. L’estrazione computazionale delle prossimità è un microscopio: il suo campo è il corpus e nulla fuori di esso; la sua preparazione è la normalizzazione del testo, che trasforma la pagina in stringa; il suo ingrandimento è la finestra di caratteri, che decide quali coppie possano apparire; il suo piano di fuoco è la soglia di frequenza; e i suoi artefatti caratteristici sono noti per censimento — le adiacenze tipografiche scambiate per persone, i participi scambiati per cognomi, le omonimie conflate. La lettura di pagina è un altro microscopio, a ingrandimento minore e campo maggiore: vede il contesto che il calcolo non vede, e non vede le regolarità di corpus che solo il calcolo vede. Il Salto della Quaglia è un microscopio a contrasto laterale, che rende visibili i piani rituali e patrimoniali invisibili agli altri; il Triplo Salto Carpiato è un microscopio a grande profondità di campo, che vede i cicli e paga la visione con la deriva. Nessuno di questi strumenti vede la Realtà: ciascuno vede una </w:t>
      </w:r>
      <w:r>
        <w:rPr>
          <w:rFonts w:ascii="Times New Roman" w:hAnsi="Times New Roman" w:cs="Times New Roman" w:eastAsia="Times New Roman"/>
          <w:b/>
          <w:sz w:val="24"/>
        </w:rPr>
        <w:t>sezione colorata</w:t>
      </w:r>
      <w:r>
        <w:rPr>
          <w:rFonts w:ascii="Times New Roman" w:hAnsi="Times New Roman" w:cs="Times New Roman" w:eastAsia="Times New Roman"/>
          <w:b w:val="0"/>
          <w:sz w:val="24"/>
        </w:rPr>
        <w:t xml:space="preserve"> della realtà, preparata dallo strumento medesimo — e le immagini di microscopi diversi </w:t>
      </w:r>
      <w:r>
        <w:rPr>
          <w:rFonts w:ascii="Times New Roman" w:hAnsi="Times New Roman" w:cs="Times New Roman" w:eastAsia="Times New Roman"/>
          <w:b/>
          <w:sz w:val="24"/>
        </w:rPr>
        <w:t>non si sovrappongono in una fotografia unica: si affiancano</w:t>
      </w:r>
      <w:r>
        <w:rPr>
          <w:rFonts w:ascii="Times New Roman" w:hAnsi="Times New Roman" w:cs="Times New Roman" w:eastAsia="Times New Roman"/>
          <w:b w:val="0"/>
          <w:sz w:val="24"/>
        </w:rPr>
        <w:t>, ed è già incommensurabilità, prima ancora della teoria.</w:t>
      </w:r>
    </w:p>
    <w:p>
      <w:pPr>
        <w:spacing w:line="276" w:lineRule="auto" w:after="60" w:before="0"/>
        <w:ind w:firstLine="425"/>
        <w:jc w:val="both"/>
      </w:pPr>
      <w:r>
        <w:rPr>
          <w:rFonts w:ascii="Times New Roman" w:hAnsi="Times New Roman" w:cs="Times New Roman" w:eastAsia="Times New Roman"/>
          <w:b w:val="0"/>
          <w:sz w:val="24"/>
        </w:rPr>
        <w:t xml:space="preserve">Dalla metafora discendono tre regole, che il Registro iscrive quali norme permanenti. Regola della </w:t>
      </w:r>
      <w:r>
        <w:rPr>
          <w:rFonts w:ascii="Times New Roman" w:hAnsi="Times New Roman" w:cs="Times New Roman" w:eastAsia="Times New Roman"/>
          <w:b/>
          <w:sz w:val="24"/>
        </w:rPr>
        <w:t>dichiarazione dello strumento</w:t>
      </w:r>
      <w:r>
        <w:rPr>
          <w:rFonts w:ascii="Times New Roman" w:hAnsi="Times New Roman" w:cs="Times New Roman" w:eastAsia="Times New Roman"/>
          <w:b w:val="0"/>
          <w:sz w:val="24"/>
        </w:rPr>
        <w:t xml:space="preserve">: ogni risultanza dell’apparato dichiara con quale microscopio è stata ottenuta — quale campo, quale preparazione, quale scala — e nessuna risultanza circola mai separata dal nome del proprio strumento. Regola del </w:t>
      </w:r>
      <w:r>
        <w:rPr>
          <w:rFonts w:ascii="Times New Roman" w:hAnsi="Times New Roman" w:cs="Times New Roman" w:eastAsia="Times New Roman"/>
          <w:b/>
          <w:sz w:val="24"/>
        </w:rPr>
        <w:t>censimento degli artefatti caratteristici</w:t>
      </w:r>
      <w:r>
        <w:rPr>
          <w:rFonts w:ascii="Times New Roman" w:hAnsi="Times New Roman" w:cs="Times New Roman" w:eastAsia="Times New Roman"/>
          <w:b w:val="0"/>
          <w:sz w:val="24"/>
        </w:rPr>
        <w:t xml:space="preserve">: ogni strumento ha la propria classe di artefatti, che va censita in anticipo e aggiornata a ogni caduta — il registro degli artefatti, che l’apparato già tiene, è da oggi organizzato per strumento, poiché l’artefatto non è un errore dell’osservatore ma un prodotto del microscopio, e conoscere i vizi di ciascun vetro è metà della perizia. Regola della </w:t>
      </w:r>
      <w:r>
        <w:rPr>
          <w:rFonts w:ascii="Times New Roman" w:hAnsi="Times New Roman" w:cs="Times New Roman" w:eastAsia="Times New Roman"/>
          <w:b/>
          <w:sz w:val="24"/>
        </w:rPr>
        <w:t>convergenza strumentale</w:t>
      </w:r>
      <w:r>
        <w:rPr>
          <w:rFonts w:ascii="Times New Roman" w:hAnsi="Times New Roman" w:cs="Times New Roman" w:eastAsia="Times New Roman"/>
          <w:b w:val="0"/>
          <w:sz w:val="24"/>
        </w:rPr>
        <w:t>: quando due strumenti a fisica diversa — il calcolo e la lettura, la via lunga e l’arco diretto, la fonte parlamentare e l’atto anagrafico — mostrano la medesima struttura, la struttura è candidata alla realtà; è l’argomento che la filosofia dello strumento ha formulato per i microscopi ottici ed elettronici — se apparecchi che non condividono nulla della propria fisica mostrano lo stesso corpo, il corpo non è un artefatto — ed è la forma strumentale della consilienza che l’apparato già pratica come ingresso in acqua: la Metafora del Microscopio le dà il fondamento, e la salda al criterio di scioglimento.</w:t>
      </w:r>
    </w:p>
    <w:p>
      <w:pPr>
        <w:spacing w:line="276" w:lineRule="auto" w:after="80" w:before="200"/>
        <w:ind w:firstLine="0"/>
        <w:jc w:val="both"/>
      </w:pPr>
      <w:r>
        <w:rPr>
          <w:rFonts w:ascii="Times New Roman" w:hAnsi="Times New Roman" w:cs="Times New Roman" w:eastAsia="Times New Roman"/>
          <w:b/>
          <w:sz w:val="24"/>
        </w:rPr>
        <w:t>I Paradigmi Incommensurabili e le letture del caso</w:t>
      </w:r>
    </w:p>
    <w:p>
      <w:pPr>
        <w:spacing w:line="276" w:lineRule="auto" w:after="60" w:before="0"/>
        <w:ind w:firstLine="425"/>
        <w:jc w:val="both"/>
      </w:pPr>
      <w:r>
        <w:rPr>
          <w:rFonts w:ascii="Times New Roman" w:hAnsi="Times New Roman" w:cs="Times New Roman" w:eastAsia="Times New Roman"/>
          <w:b w:val="0"/>
          <w:sz w:val="24"/>
        </w:rPr>
        <w:t>La seconda colonna dell’apporto è la teoria kuhniana dell’</w:t>
      </w:r>
      <w:r>
        <w:rPr>
          <w:rFonts w:ascii="Times New Roman" w:hAnsi="Times New Roman" w:cs="Times New Roman" w:eastAsia="Times New Roman"/>
          <w:b/>
          <w:sz w:val="24"/>
        </w:rPr>
        <w:t>incommensurabilità</w:t>
      </w:r>
      <w:r>
        <w:rPr>
          <w:rFonts w:ascii="Times New Roman" w:hAnsi="Times New Roman" w:cs="Times New Roman" w:eastAsia="Times New Roman"/>
          <w:b w:val="0"/>
          <w:sz w:val="24"/>
        </w:rPr>
        <w:t xml:space="preserve">: due paradigmi rivali non si confrontano punto per punto, perché non condividono un linguaggio osservativo neutro — i termini medesimi mutano significato attraversando il confine, e chi lavora in paradigmi diversi lavora, in un senso preciso, in mondi diversi. Il Registro applica la teoria al proprio oggetto con una mossa che le Parti precedenti avevano preparato senza nominarla: le cinque ipotesi concorrenti sul caso — l’autosufficienza dell’organizzazione, l’eterodirezione, il non impedimento, la convergenza di interessi, il primato endogeno con contorno — </w:t>
      </w:r>
      <w:r>
        <w:rPr>
          <w:rFonts w:ascii="Times New Roman" w:hAnsi="Times New Roman" w:cs="Times New Roman" w:eastAsia="Times New Roman"/>
          <w:b/>
          <w:sz w:val="24"/>
        </w:rPr>
        <w:t>non sono cinque risposte alla stessa domanda: sono cinque paradigmi</w:t>
      </w:r>
      <w:r>
        <w:rPr>
          <w:rFonts w:ascii="Times New Roman" w:hAnsi="Times New Roman" w:cs="Times New Roman" w:eastAsia="Times New Roman"/>
          <w:b w:val="0"/>
          <w:sz w:val="24"/>
        </w:rPr>
        <w:t>, ciascuno con il proprio lessico, i propri esemplari, la propria distribuzione di ciò che conta come fatto e di ciò che conta come rumore.</w:t>
      </w:r>
    </w:p>
    <w:p>
      <w:pPr>
        <w:spacing w:line="276" w:lineRule="auto" w:after="60" w:before="0"/>
        <w:ind w:firstLine="425"/>
        <w:jc w:val="both"/>
      </w:pPr>
      <w:r>
        <w:rPr>
          <w:rFonts w:ascii="Times New Roman" w:hAnsi="Times New Roman" w:cs="Times New Roman" w:eastAsia="Times New Roman"/>
          <w:b w:val="0"/>
          <w:sz w:val="24"/>
        </w:rPr>
        <w:t xml:space="preserve">L’incommensurabilità, sul caso, non è una tesi astratta: è verificabile enunciato per enunciato. Il comunicato del falso ritrovamento nel lago è, nel primo paradigma, un depistaggio criminale esterno all’organizzazione; nel secondo, un’operazione di apparato dentro la gestione del sequestro; nel terzo, un episodio dell’inerzia sapiente; nel quarto, il punto in cui interessi diversi si toccarono; nel quinto, un corpo estraneo ai margini di un fatto endogeno — </w:t>
      </w:r>
      <w:r>
        <w:rPr>
          <w:rFonts w:ascii="Times New Roman" w:hAnsi="Times New Roman" w:cs="Times New Roman" w:eastAsia="Times New Roman"/>
          <w:b/>
          <w:sz w:val="24"/>
        </w:rPr>
        <w:t>la stessa carta, cinque oggetti diversi</w:t>
      </w:r>
      <w:r>
        <w:rPr>
          <w:rFonts w:ascii="Times New Roman" w:hAnsi="Times New Roman" w:cs="Times New Roman" w:eastAsia="Times New Roman"/>
          <w:b w:val="0"/>
          <w:sz w:val="24"/>
        </w:rPr>
        <w:t xml:space="preserve">. La riunione bolognese del due aprile è, secondo il paradigma, un aneddoto imbarazzante, la copertura di una fonte, un segnale lasciato cadere, una coincidenza sfruttata, un enigma residuo. La parola stessa </w:t>
      </w:r>
      <w:r>
        <w:rPr>
          <w:rFonts w:ascii="Times New Roman" w:hAnsi="Times New Roman" w:cs="Times New Roman" w:eastAsia="Times New Roman"/>
          <w:b/>
          <w:sz w:val="24"/>
        </w:rPr>
        <w:t>trattativa</w:t>
      </w:r>
      <w:r>
        <w:rPr>
          <w:rFonts w:ascii="Times New Roman" w:hAnsi="Times New Roman" w:cs="Times New Roman" w:eastAsia="Times New Roman"/>
          <w:b w:val="0"/>
          <w:sz w:val="24"/>
        </w:rPr>
        <w:t xml:space="preserve"> — e la sua gemella, fermezza — non attraversa i confini intatta: in un paradigma designa un’opzione rifiutata, in un altro una condotta occultata, in un terzo una categoria male posta. Chi non vede l’incommensurabilità crede di discutere dei fatti mentre discute dei lessici; e mezzo secolo di controversia sul caso è, in parte misurabile, controversia fra mondi che si scambiano parole senza scambiarsi significati.</w:t>
      </w:r>
    </w:p>
    <w:p>
      <w:pPr>
        <w:spacing w:line="276" w:lineRule="auto" w:after="60" w:before="0"/>
        <w:ind w:firstLine="425"/>
        <w:jc w:val="both"/>
      </w:pPr>
      <w:r>
        <w:rPr>
          <w:rFonts w:ascii="Times New Roman" w:hAnsi="Times New Roman" w:cs="Times New Roman" w:eastAsia="Times New Roman"/>
          <w:b w:val="0"/>
          <w:sz w:val="24"/>
        </w:rPr>
        <w:t>Il Registro adotta peraltro la versione matura della teoria — l’</w:t>
      </w:r>
      <w:r>
        <w:rPr>
          <w:rFonts w:ascii="Times New Roman" w:hAnsi="Times New Roman" w:cs="Times New Roman" w:eastAsia="Times New Roman"/>
          <w:b/>
          <w:sz w:val="24"/>
        </w:rPr>
        <w:t>incommensurabilità locale</w:t>
      </w:r>
      <w:r>
        <w:rPr>
          <w:rFonts w:ascii="Times New Roman" w:hAnsi="Times New Roman" w:cs="Times New Roman" w:eastAsia="Times New Roman"/>
          <w:b w:val="0"/>
          <w:sz w:val="24"/>
        </w:rPr>
        <w:t>, quale lo stesso Kuhn la circoscrisse negli scritti successivi: i paradigmi rivali non divergono su tutto; condividono ampie regioni di enunciati — le date, i luoghi, i testi in quanto testi, gli atti in quanto atti — e divergono sui termini teorici che organizzano quelle regioni. Questa circoscrizione salva l’apparato dal relativismo, in cui l’apporto kuhniano non deve mai scivolare: l’incommensurabilità locale non dice che tutte le letture si equivalgono — dice che il loro confronto richiede una traduzione esplicita, e che esiste una regione franca di enunciati su cui tutti i paradigmi convergono. Quella regione franca ha, nel nuovo ordinamento, un nome: è il registro degli sciolti.</w:t>
      </w:r>
    </w:p>
    <w:p>
      <w:pPr>
        <w:spacing w:line="276" w:lineRule="auto" w:after="80" w:before="200"/>
        <w:ind w:firstLine="0"/>
        <w:jc w:val="both"/>
      </w:pPr>
      <w:r>
        <w:rPr>
          <w:rFonts w:ascii="Times New Roman" w:hAnsi="Times New Roman" w:cs="Times New Roman" w:eastAsia="Times New Roman"/>
          <w:b/>
          <w:sz w:val="24"/>
        </w:rPr>
        <w:t>Le conseguenze sull’ordinamento</w:t>
      </w:r>
    </w:p>
    <w:p>
      <w:pPr>
        <w:spacing w:line="276" w:lineRule="auto" w:after="60" w:before="0"/>
        <w:ind w:firstLine="425"/>
        <w:jc w:val="both"/>
      </w:pPr>
      <w:r>
        <w:rPr>
          <w:rFonts w:ascii="Times New Roman" w:hAnsi="Times New Roman" w:cs="Times New Roman" w:eastAsia="Times New Roman"/>
          <w:b w:val="0"/>
          <w:sz w:val="24"/>
        </w:rPr>
        <w:t xml:space="preserve">L’apporto kuhniano produce quattro conseguenze operative, che questa edizione scolpisce. Prima: il criterio di scioglimento è </w:t>
      </w:r>
      <w:r>
        <w:rPr>
          <w:rFonts w:ascii="Times New Roman" w:hAnsi="Times New Roman" w:cs="Times New Roman" w:eastAsia="Times New Roman"/>
          <w:b/>
          <w:sz w:val="24"/>
        </w:rPr>
        <w:t>raffinato in invarianza trans-paradigmatica</w:t>
      </w:r>
      <w:r>
        <w:rPr>
          <w:rFonts w:ascii="Times New Roman" w:hAnsi="Times New Roman" w:cs="Times New Roman" w:eastAsia="Times New Roman"/>
          <w:b w:val="0"/>
          <w:sz w:val="24"/>
        </w:rPr>
        <w:t xml:space="preserve">. Un’asserzione è sciolta non soltanto quando la sua evidenza è chiara e distinta per l’analista, ma quando è descritta </w:t>
      </w:r>
      <w:r>
        <w:rPr>
          <w:rFonts w:ascii="Times New Roman" w:hAnsi="Times New Roman" w:cs="Times New Roman" w:eastAsia="Times New Roman"/>
          <w:b/>
          <w:sz w:val="24"/>
        </w:rPr>
        <w:t>negli stessi termini da tutti i paradigmi rivali</w:t>
      </w:r>
      <w:r>
        <w:rPr>
          <w:rFonts w:ascii="Times New Roman" w:hAnsi="Times New Roman" w:cs="Times New Roman" w:eastAsia="Times New Roman"/>
          <w:b w:val="0"/>
          <w:sz w:val="24"/>
        </w:rPr>
        <w:t>: la morte, le date, i luoghi, i testi, gli atti sono sciolti perché nessun paradigma li descrive diversamente; tutto ciò che muta descrizione attraversando un confine paradigmatico — ogni regia, ogni autonomia, ogni depistaggio in quanto qualificazione — è, per ciò stesso, dubbio. L’invarianza è il test kuhniano della prima regola cartesiana, e le due si saldano senza residuo.</w:t>
      </w:r>
    </w:p>
    <w:p>
      <w:pPr>
        <w:spacing w:line="276" w:lineRule="auto" w:after="60" w:before="0"/>
        <w:ind w:firstLine="425"/>
        <w:jc w:val="both"/>
      </w:pPr>
      <w:r>
        <w:rPr>
          <w:rFonts w:ascii="Times New Roman" w:hAnsi="Times New Roman" w:cs="Times New Roman" w:eastAsia="Times New Roman"/>
          <w:b w:val="0"/>
          <w:sz w:val="24"/>
        </w:rPr>
        <w:t xml:space="preserve">Seconda: è istituito il </w:t>
      </w:r>
      <w:r>
        <w:rPr>
          <w:rFonts w:ascii="Times New Roman" w:hAnsi="Times New Roman" w:cs="Times New Roman" w:eastAsia="Times New Roman"/>
          <w:b/>
          <w:sz w:val="24"/>
        </w:rPr>
        <w:t>protocollo di traduzione</w:t>
      </w:r>
      <w:r>
        <w:rPr>
          <w:rFonts w:ascii="Times New Roman" w:hAnsi="Times New Roman" w:cs="Times New Roman" w:eastAsia="Times New Roman"/>
          <w:b w:val="0"/>
          <w:sz w:val="24"/>
        </w:rPr>
        <w:t xml:space="preserve">. Ogni evidenza maggiore, prima di entrare in una matrice di ipotesi concorrenti, è descritta nel lessico di ciascun paradigma — cinque descrizioni dichiarate per un solo documento — poiché la matrice presuppone un linguaggio comune che, Kuhn insegna, non è dato ma va costruito; e la costruzione dichiarata delle cinque descrizioni è l’unico modo onesto di costruirlo. La condizione di falsificazione di un’ipotesi, per la stessa ragione, è valida soltanto se formulata in enunciati invarianti: una falsificazione scritta nel lessico di un paradigma falsifica dentro quel paradigma, e non decide fra i mondi. Terza: il Registro dei Dubbi Pendenti riceve la sua lettura kuhniana — esso è il </w:t>
      </w:r>
      <w:r>
        <w:rPr>
          <w:rFonts w:ascii="Times New Roman" w:hAnsi="Times New Roman" w:cs="Times New Roman" w:eastAsia="Times New Roman"/>
          <w:b/>
          <w:sz w:val="24"/>
        </w:rPr>
        <w:t>registro delle anomalie</w:t>
      </w:r>
      <w:r>
        <w:rPr>
          <w:rFonts w:ascii="Times New Roman" w:hAnsi="Times New Roman" w:cs="Times New Roman" w:eastAsia="Times New Roman"/>
          <w:b w:val="0"/>
          <w:sz w:val="24"/>
        </w:rPr>
        <w:t xml:space="preserve">: dei fatti che il paradigma dominante di ciascuna stagione non ha assimilato. Kuhn insegna che le anomalie non rovesciano un paradigma alla prima comparsa, e insegna insieme che il loro accumulo, oltre una soglia, apre la crisi; il Registro non ignora le anomalie come fa la scienza normale stanca, e non salta al paradigma nuovo alla prima anomalia come fa il rivoluzionarismo affrettato — le enumera, le tiene aperte, e ne misura la pressione. Quarta: la </w:t>
      </w:r>
      <w:r>
        <w:rPr>
          <w:rFonts w:ascii="Times New Roman" w:hAnsi="Times New Roman" w:cs="Times New Roman" w:eastAsia="Times New Roman"/>
          <w:b/>
          <w:sz w:val="24"/>
        </w:rPr>
        <w:t>tensione essenziale</w:t>
      </w:r>
      <w:r>
        <w:rPr>
          <w:rFonts w:ascii="Times New Roman" w:hAnsi="Times New Roman" w:cs="Times New Roman" w:eastAsia="Times New Roman"/>
          <w:b w:val="0"/>
          <w:sz w:val="24"/>
        </w:rPr>
        <w:t xml:space="preserve"> — il titolo kuhniano per la coesistenza necessaria di tradizione e innovazione — riceve nell’apparato la sua incarnazione esatta: la cumulatività preservativa è la tradizione, che nulla riscrive; i rinnovamenti metodologici sono l’innovazione, che nulla dimentica; e l’edizione presente, che aggiunge Kuhn senza togliere Descartes, ne è l’esercizio.</w:t>
      </w:r>
    </w:p>
    <w:p>
      <w:pPr>
        <w:spacing w:line="276" w:lineRule="auto" w:after="60" w:before="0"/>
        <w:ind w:firstLine="425"/>
        <w:jc w:val="both"/>
      </w:pPr>
      <w:r>
        <w:rPr>
          <w:rFonts w:ascii="Times New Roman" w:hAnsi="Times New Roman" w:cs="Times New Roman" w:eastAsia="Times New Roman"/>
          <w:b w:val="0"/>
          <w:sz w:val="24"/>
        </w:rPr>
        <w:t xml:space="preserve">Resta da dichiarare, per lealtà verso il canone, il rapporto con Popper, che dell’apparato è colonna. La controversia fra il falsificazionismo e la teoria dei paradigmi è nota, e il Registro non la decide: la usa. Da Popper conserva il dovere della confutazione — nessuna ipotesi vive protetta; da Kuhn accoglie l’avvertenza che la confutazione decisiva fra paradigmi esige enunciati invarianti, che sono rari e preziosi. Il risultato è una falsificazione </w:t>
      </w:r>
      <w:r>
        <w:rPr>
          <w:rFonts w:ascii="Times New Roman" w:hAnsi="Times New Roman" w:cs="Times New Roman" w:eastAsia="Times New Roman"/>
          <w:b/>
          <w:sz w:val="24"/>
        </w:rPr>
        <w:t>disciplinata dall’invarianza</w:t>
      </w:r>
      <w:r>
        <w:rPr>
          <w:rFonts w:ascii="Times New Roman" w:hAnsi="Times New Roman" w:cs="Times New Roman" w:eastAsia="Times New Roman"/>
          <w:b w:val="0"/>
          <w:sz w:val="24"/>
        </w:rPr>
        <w:t>: più difficile da ottenere, e per questo, quando ottenuta, definitiva.</w:t>
      </w:r>
    </w:p>
    <w:p>
      <w:pPr>
        <w:spacing w:line="276" w:lineRule="auto" w:after="80" w:before="200"/>
        <w:ind w:firstLine="0"/>
        <w:jc w:val="both"/>
      </w:pPr>
      <w:r>
        <w:rPr>
          <w:rFonts w:ascii="Times New Roman" w:hAnsi="Times New Roman" w:cs="Times New Roman" w:eastAsia="Times New Roman"/>
          <w:b/>
          <w:sz w:val="24"/>
        </w:rPr>
        <w:t>Applicazione dimostrativa: una carta, cinque mondi</w:t>
      </w:r>
    </w:p>
    <w:p>
      <w:pPr>
        <w:spacing w:line="276" w:lineRule="auto" w:after="60" w:before="0"/>
        <w:ind w:firstLine="425"/>
        <w:jc w:val="both"/>
      </w:pPr>
      <w:r>
        <w:rPr>
          <w:rFonts w:ascii="Times New Roman" w:hAnsi="Times New Roman" w:cs="Times New Roman" w:eastAsia="Times New Roman"/>
          <w:b w:val="0"/>
          <w:sz w:val="24"/>
        </w:rPr>
        <w:t xml:space="preserve">A dimostrazione del protocollo di traduzione, il Registro esegue l’esercizio sul documento della fonte cifrata di Beirut del diciassette febbraio millenovecentosettantotto, iscritto quale dubbio primo. Enunciati invarianti, identici in ogni paradigma: esiste un documento con quella data; proviene dal capocentro; riferisce il vivo consiglio dell’interlocutore del Fronte di non allontanarsi da Beirut; l’identità della fonte è stata sciolta dopo trentotto anni. Descrizioni paradigmatiche, dichiarate e non decise: nel paradigma dell’autosufficienza, il documento è rumore di fondo del Levante, privo di nesso col sequestro imminente; in quello dell’eterodirezione, è la traccia di un canale che sapeva; in quello del non impedimento, è un segnale disponibile e non raccolto; in quello della convergenza, è un frammento del prezzo di un equilibrio; in quello del primato endogeno, è un contesto che nulla aggiunge alla decisione interna. Cinque descrizioni, un solo testo: l’istruttoria prima — la risalita agli atti — dovrà cercare non la descrizione più suggestiva, ma </w:t>
      </w:r>
      <w:r>
        <w:rPr>
          <w:rFonts w:ascii="Times New Roman" w:hAnsi="Times New Roman" w:cs="Times New Roman" w:eastAsia="Times New Roman"/>
          <w:b/>
          <w:sz w:val="24"/>
        </w:rPr>
        <w:t>nuovi enunciati invarianti</w:t>
      </w:r>
      <w:r>
        <w:rPr>
          <w:rFonts w:ascii="Times New Roman" w:hAnsi="Times New Roman" w:cs="Times New Roman" w:eastAsia="Times New Roman"/>
          <w:b w:val="0"/>
          <w:sz w:val="24"/>
        </w:rPr>
        <w:t>: date, destinatari, protocolli, seguiti. Perché è così, e soltanto così, che un dubbio si scioglie fra mondi che non condividono i lessici: allargando, atto dopo atto, la regione franca su cui tutti i mondi sono costretti a dire le stesse parole.</w:t>
      </w:r>
    </w:p>
    <w:p>
      <w:pPr>
        <w:spacing w:line="276" w:lineRule="auto" w:after="80" w:before="200"/>
        <w:ind w:firstLine="0"/>
        <w:jc w:val="both"/>
      </w:pPr>
      <w:r>
        <w:rPr>
          <w:rFonts w:ascii="Times New Roman" w:hAnsi="Times New Roman" w:cs="Times New Roman" w:eastAsia="Times New Roman"/>
          <w:b/>
          <w:sz w:val="24"/>
        </w:rPr>
        <w:t>COLOPHON DELL’EDIZIONE SESTA</w:t>
      </w:r>
    </w:p>
    <w:p>
      <w:pPr>
        <w:spacing w:line="276" w:lineRule="auto" w:after="60" w:before="0"/>
        <w:ind w:firstLine="425"/>
        <w:jc w:val="both"/>
      </w:pPr>
      <w:r>
        <w:rPr>
          <w:rFonts w:ascii="Times New Roman" w:hAnsi="Times New Roman" w:cs="Times New Roman" w:eastAsia="Times New Roman"/>
          <w:b w:val="0"/>
          <w:sz w:val="24"/>
        </w:rPr>
        <w:t>REGISTRO ANALITICO DEL CASO MORO, edizione sesta, l’Apporto Kuhniano — la Metafora del Microscopio e i Paradigmi Incommensurabili — primo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resta la Classificazione di Descartes, raffinata dall’invarianza trans-paradigmatica quale test di scioglimento; il Decalogo resta consultivo e impotente; sono istituiti la dichiarazione dello strumento, il censimento degli artefatti per strumento, la convergenza strumentale e il protocollo di traduzione. Incorpora verbatim l’edizione quinta e, per suo tramite, le quattro precedenti;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VENTUNESIMA — L’APPORTO WITTGENSTEINIANO</w:t>
      </w:r>
    </w:p>
    <w:p>
      <w:pPr>
        <w:spacing w:line="276" w:lineRule="auto" w:after="80" w:before="200"/>
        <w:ind w:firstLine="0"/>
        <w:jc w:val="both"/>
      </w:pPr>
      <w:r>
        <w:rPr>
          <w:rFonts w:ascii="Times New Roman" w:hAnsi="Times New Roman" w:cs="Times New Roman" w:eastAsia="Times New Roman"/>
          <w:b/>
          <w:sz w:val="24"/>
        </w:rPr>
        <w:t>Le due lezioni</w:t>
      </w:r>
    </w:p>
    <w:p>
      <w:pPr>
        <w:spacing w:line="276" w:lineRule="auto" w:after="60" w:before="0"/>
        <w:ind w:firstLine="425"/>
        <w:jc w:val="both"/>
      </w:pPr>
      <w:r>
        <w:rPr>
          <w:rFonts w:ascii="Times New Roman" w:hAnsi="Times New Roman" w:cs="Times New Roman" w:eastAsia="Times New Roman"/>
          <w:b w:val="0"/>
          <w:sz w:val="24"/>
        </w:rPr>
        <w:t xml:space="preserve">Da Wittgenstein il Registro assume due lezioni, che appartengono alle due stagioni del suo pensiero e che l’apparato salda in una. La prima è del Tractatus: i limiti del linguaggio sono i limiti del mondo, e su ciò di cui non si può parlare si deve tacere. Il Registro vi riconosce il fondamento filosofico della propria legge fondamentale: la Regola di Ferro — dove la fonte documenta, l’opera certifica; dove la fonte tace, l’opera indaga e non afferma — è la settima proposizione del Tractatus fatta metodo, con una differenza che è tutta dell’apparato: il silenzio del Registro non è rinuncia, è </w:t>
      </w:r>
      <w:r>
        <w:rPr>
          <w:rFonts w:ascii="Times New Roman" w:hAnsi="Times New Roman" w:cs="Times New Roman" w:eastAsia="Times New Roman"/>
          <w:b/>
          <w:sz w:val="24"/>
        </w:rPr>
        <w:t>rigore in attesa</w:t>
      </w:r>
      <w:r>
        <w:rPr>
          <w:rFonts w:ascii="Times New Roman" w:hAnsi="Times New Roman" w:cs="Times New Roman" w:eastAsia="Times New Roman"/>
          <w:b w:val="0"/>
          <w:sz w:val="24"/>
        </w:rPr>
        <w:t xml:space="preserve"> — si tace e si indaga, perché ciò che oggi è indicibile nel linguaggio disponibile può diventare dicibile domani in un linguaggio nuovo: un atto, un registro, una carta desecretata. E il corpus stesso obbedisce alla proposizione: la lacuna stenografica non convertita è, alla lettera, </w:t>
      </w:r>
      <w:r>
        <w:rPr>
          <w:rFonts w:ascii="Times New Roman" w:hAnsi="Times New Roman" w:cs="Times New Roman" w:eastAsia="Times New Roman"/>
          <w:b/>
          <w:sz w:val="24"/>
        </w:rPr>
        <w:t>mondo non ancora entrato nel linguaggio disponibile</w:t>
      </w:r>
      <w:r>
        <w:rPr>
          <w:rFonts w:ascii="Times New Roman" w:hAnsi="Times New Roman" w:cs="Times New Roman" w:eastAsia="Times New Roman"/>
          <w:b w:val="0"/>
          <w:sz w:val="24"/>
        </w:rPr>
        <w:t xml:space="preserve"> — e la sua conversione, priorità assoluta dell’apparato, è un allargamento dei limiti del mondo.</w:t>
      </w:r>
    </w:p>
    <w:p>
      <w:pPr>
        <w:spacing w:line="276" w:lineRule="auto" w:after="60" w:before="0"/>
        <w:ind w:firstLine="425"/>
        <w:jc w:val="both"/>
      </w:pPr>
      <w:r>
        <w:rPr>
          <w:rFonts w:ascii="Times New Roman" w:hAnsi="Times New Roman" w:cs="Times New Roman" w:eastAsia="Times New Roman"/>
          <w:b w:val="0"/>
          <w:sz w:val="24"/>
        </w:rPr>
        <w:t xml:space="preserve">La seconda lezione è delle Ricerche filosofiche: </w:t>
      </w:r>
      <w:r>
        <w:rPr>
          <w:rFonts w:ascii="Times New Roman" w:hAnsi="Times New Roman" w:cs="Times New Roman" w:eastAsia="Times New Roman"/>
          <w:b/>
          <w:sz w:val="24"/>
        </w:rPr>
        <w:t>il significato di una parola è il suo uso nel linguaggio</w:t>
      </w:r>
      <w:r>
        <w:rPr>
          <w:rFonts w:ascii="Times New Roman" w:hAnsi="Times New Roman" w:cs="Times New Roman" w:eastAsia="Times New Roman"/>
          <w:b w:val="0"/>
          <w:sz w:val="24"/>
        </w:rPr>
        <w:t xml:space="preserve">, e il linguaggio non è uno ma è una moltitudine di </w:t>
      </w:r>
      <w:r>
        <w:rPr>
          <w:rFonts w:ascii="Times New Roman" w:hAnsi="Times New Roman" w:cs="Times New Roman" w:eastAsia="Times New Roman"/>
          <w:b/>
          <w:sz w:val="24"/>
        </w:rPr>
        <w:t>giochi linguistici</w:t>
      </w:r>
      <w:r>
        <w:rPr>
          <w:rFonts w:ascii="Times New Roman" w:hAnsi="Times New Roman" w:cs="Times New Roman" w:eastAsia="Times New Roman"/>
          <w:b w:val="0"/>
          <w:sz w:val="24"/>
        </w:rPr>
        <w:t xml:space="preserve">, ciascuno radicato in una forma di vita, ciascuno con le proprie regole d’uso. Da questa lezione discende l’intera Parte: le fonti del corpus non parlano una lingua sola — parlano giochi diversi, e ogni parola estratta dal proprio gioco e trattata come se avesse significato assoluto è già un errore, prima di ogni valutazione. Con essa il Registro assume anche il teorema delle </w:t>
      </w:r>
      <w:r>
        <w:rPr>
          <w:rFonts w:ascii="Times New Roman" w:hAnsi="Times New Roman" w:cs="Times New Roman" w:eastAsia="Times New Roman"/>
          <w:b/>
          <w:sz w:val="24"/>
        </w:rPr>
        <w:t>somiglianze di famiglia</w:t>
      </w:r>
      <w:r>
        <w:rPr>
          <w:rFonts w:ascii="Times New Roman" w:hAnsi="Times New Roman" w:cs="Times New Roman" w:eastAsia="Times New Roman"/>
          <w:b w:val="0"/>
          <w:sz w:val="24"/>
        </w:rPr>
        <w:t xml:space="preserve"> — i concetti non hanno essenze, hanno reti di somiglianze parziali — e l’avvertenza sul </w:t>
      </w:r>
      <w:r>
        <w:rPr>
          <w:rFonts w:ascii="Times New Roman" w:hAnsi="Times New Roman" w:cs="Times New Roman" w:eastAsia="Times New Roman"/>
          <w:b/>
          <w:sz w:val="24"/>
        </w:rPr>
        <w:t>seguire una regola</w:t>
      </w:r>
      <w:r>
        <w:rPr>
          <w:rFonts w:ascii="Times New Roman" w:hAnsi="Times New Roman" w:cs="Times New Roman" w:eastAsia="Times New Roman"/>
          <w:b w:val="0"/>
          <w:sz w:val="24"/>
        </w:rPr>
        <w:t>: nessun protocollo si applica da sé, l’applicazione è una pratica; onde nessuna norma dell’apparato, incluse le presenti, dispensa dalla perizia di chi la esercita.</w:t>
      </w:r>
    </w:p>
    <w:p>
      <w:pPr>
        <w:spacing w:line="276" w:lineRule="auto" w:after="80" w:before="200"/>
        <w:ind w:firstLine="0"/>
        <w:jc w:val="both"/>
      </w:pPr>
      <w:r>
        <w:rPr>
          <w:rFonts w:ascii="Times New Roman" w:hAnsi="Times New Roman" w:cs="Times New Roman" w:eastAsia="Times New Roman"/>
          <w:b/>
          <w:sz w:val="24"/>
        </w:rPr>
        <w:t>I giochi linguistici del corpus</w:t>
      </w:r>
    </w:p>
    <w:p>
      <w:pPr>
        <w:spacing w:line="276" w:lineRule="auto" w:after="60" w:before="0"/>
        <w:ind w:firstLine="425"/>
        <w:jc w:val="both"/>
      </w:pPr>
      <w:r>
        <w:rPr>
          <w:rFonts w:ascii="Times New Roman" w:hAnsi="Times New Roman" w:cs="Times New Roman" w:eastAsia="Times New Roman"/>
          <w:b w:val="0"/>
          <w:sz w:val="24"/>
        </w:rPr>
        <w:t xml:space="preserve">Il Registro censisce i giochi linguistici delle proprie fonti, perché la dichiarazione del gioco è, per il linguaggio, ciò che la dichiarazione dello strumento è per il microscopio. Il gioco della </w:t>
      </w:r>
      <w:r>
        <w:rPr>
          <w:rFonts w:ascii="Times New Roman" w:hAnsi="Times New Roman" w:cs="Times New Roman" w:eastAsia="Times New Roman"/>
          <w:b/>
          <w:sz w:val="24"/>
        </w:rPr>
        <w:t>sentenza</w:t>
      </w:r>
      <w:r>
        <w:rPr>
          <w:rFonts w:ascii="Times New Roman" w:hAnsi="Times New Roman" w:cs="Times New Roman" w:eastAsia="Times New Roman"/>
          <w:b w:val="0"/>
          <w:sz w:val="24"/>
        </w:rPr>
        <w:t>, dove accertato, concorso, dolo hanno usi tecnico-processuali che non coincidono con gli usi comuni delle stesse parole. Il gioco dell’</w:t>
      </w:r>
      <w:r>
        <w:rPr>
          <w:rFonts w:ascii="Times New Roman" w:hAnsi="Times New Roman" w:cs="Times New Roman" w:eastAsia="Times New Roman"/>
          <w:b/>
          <w:sz w:val="24"/>
        </w:rPr>
        <w:t>elaborato parlamentare</w:t>
      </w:r>
      <w:r>
        <w:rPr>
          <w:rFonts w:ascii="Times New Roman" w:hAnsi="Times New Roman" w:cs="Times New Roman" w:eastAsia="Times New Roman"/>
          <w:b w:val="0"/>
          <w:sz w:val="24"/>
        </w:rPr>
        <w:t xml:space="preserve">, che possiede una grammatica propria della cautela — risulterebbe, presunti, suggestive riletture — i cui usi il Registro ha già imparato a leggere come marcature interne di distanza. Il gioco del </w:t>
      </w:r>
      <w:r>
        <w:rPr>
          <w:rFonts w:ascii="Times New Roman" w:hAnsi="Times New Roman" w:cs="Times New Roman" w:eastAsia="Times New Roman"/>
          <w:b/>
          <w:sz w:val="24"/>
        </w:rPr>
        <w:t>comunicato dell’organizzazione</w:t>
      </w:r>
      <w:r>
        <w:rPr>
          <w:rFonts w:ascii="Times New Roman" w:hAnsi="Times New Roman" w:cs="Times New Roman" w:eastAsia="Times New Roman"/>
          <w:b w:val="0"/>
          <w:sz w:val="24"/>
        </w:rPr>
        <w:t xml:space="preserve">, il cui lessico — prigione del popolo, processo, esecuzione — è un uso rivoluzionario che risemantizza deliberatamente le parole dello Stato: tradurlo nell’uso comune senza nota è già interpretare. Il gioco del </w:t>
      </w:r>
      <w:r>
        <w:rPr>
          <w:rFonts w:ascii="Times New Roman" w:hAnsi="Times New Roman" w:cs="Times New Roman" w:eastAsia="Times New Roman"/>
          <w:b/>
          <w:sz w:val="24"/>
        </w:rPr>
        <w:t>telegramma cifrato d’apparato</w:t>
      </w:r>
      <w:r>
        <w:rPr>
          <w:rFonts w:ascii="Times New Roman" w:hAnsi="Times New Roman" w:cs="Times New Roman" w:eastAsia="Times New Roman"/>
          <w:b w:val="0"/>
          <w:sz w:val="24"/>
        </w:rPr>
        <w:t>, con il suo latinismo burocratico — l’habet della fonte di Beirut — che è forma di vita di un corpo e di un’epoca, e che va letto nelle sue convenzioni. Il gioco dell’</w:t>
      </w:r>
      <w:r>
        <w:rPr>
          <w:rFonts w:ascii="Times New Roman" w:hAnsi="Times New Roman" w:cs="Times New Roman" w:eastAsia="Times New Roman"/>
          <w:b/>
          <w:sz w:val="24"/>
        </w:rPr>
        <w:t>audizione a decenni di distanza</w:t>
      </w:r>
      <w:r>
        <w:rPr>
          <w:rFonts w:ascii="Times New Roman" w:hAnsi="Times New Roman" w:cs="Times New Roman" w:eastAsia="Times New Roman"/>
          <w:b w:val="0"/>
          <w:sz w:val="24"/>
        </w:rPr>
        <w:t xml:space="preserve">, dove la memoria parla con gli usi del presente su fatti che avevano gli usi di allora. Il gioco della </w:t>
      </w:r>
      <w:r>
        <w:rPr>
          <w:rFonts w:ascii="Times New Roman" w:hAnsi="Times New Roman" w:cs="Times New Roman" w:eastAsia="Times New Roman"/>
          <w:b/>
          <w:sz w:val="24"/>
        </w:rPr>
        <w:t>voce enciclopedica</w:t>
      </w:r>
      <w:r>
        <w:rPr>
          <w:rFonts w:ascii="Times New Roman" w:hAnsi="Times New Roman" w:cs="Times New Roman" w:eastAsia="Times New Roman"/>
          <w:b w:val="0"/>
          <w:sz w:val="24"/>
        </w:rPr>
        <w:t xml:space="preserve">, che compila usi altrui livellandoli. E, sopra tutti per delicatezza, il gioco delle </w:t>
      </w:r>
      <w:r>
        <w:rPr>
          <w:rFonts w:ascii="Times New Roman" w:hAnsi="Times New Roman" w:cs="Times New Roman" w:eastAsia="Times New Roman"/>
          <w:b/>
          <w:sz w:val="24"/>
        </w:rPr>
        <w:t>lettere dalla prigionia</w:t>
      </w:r>
      <w:r>
        <w:rPr>
          <w:rFonts w:ascii="Times New Roman" w:hAnsi="Times New Roman" w:cs="Times New Roman" w:eastAsia="Times New Roman"/>
          <w:b w:val="0"/>
          <w:sz w:val="24"/>
        </w:rPr>
        <w:t xml:space="preserve">: enunciati scritti da un uomo che sapeva di avere due pubblici — i carcerieri che leggevano prima e i destinatari che leggevano poi — e che dunque non sono mai enunciati liberi ma </w:t>
      </w:r>
      <w:r>
        <w:rPr>
          <w:rFonts w:ascii="Times New Roman" w:hAnsi="Times New Roman" w:cs="Times New Roman" w:eastAsia="Times New Roman"/>
          <w:b/>
          <w:sz w:val="24"/>
        </w:rPr>
        <w:t>mosse in un gioco a doppio destinatario</w:t>
      </w:r>
      <w:r>
        <w:rPr>
          <w:rFonts w:ascii="Times New Roman" w:hAnsi="Times New Roman" w:cs="Times New Roman" w:eastAsia="Times New Roman"/>
          <w:b w:val="0"/>
          <w:sz w:val="24"/>
        </w:rPr>
        <w:t xml:space="preserve">, vincolate, calibrate, stratificate. Il Registro scolpisce la conseguenza: nessuna riga della prigionia si cita come si citerebbe una riga libera; ogni sua parola è un uso sotto vincolo, e il vincolo è parte del significato. L’analisi delle parole sentinella, che l’opera pratica quale pattern operativo, riceve qui il suo fondamento: se il significato è l’uso, le variazioni minime d’uso — una grafia, una formula, un’abbreviazione che compare o scompare — sono variazioni di condizione, di giocatore o di gioco, e sono perciò </w:t>
      </w:r>
      <w:r>
        <w:rPr>
          <w:rFonts w:ascii="Times New Roman" w:hAnsi="Times New Roman" w:cs="Times New Roman" w:eastAsia="Times New Roman"/>
          <w:b/>
          <w:sz w:val="24"/>
        </w:rPr>
        <w:t>impronte</w:t>
      </w:r>
      <w:r>
        <w:rPr>
          <w:rFonts w:ascii="Times New Roman" w:hAnsi="Times New Roman" w:cs="Times New Roman" w:eastAsia="Times New Roman"/>
          <w:b w:val="0"/>
          <w:sz w:val="24"/>
        </w:rPr>
        <w:t>.</w:t>
      </w:r>
    </w:p>
    <w:p>
      <w:pPr>
        <w:spacing w:line="276" w:lineRule="auto" w:after="80" w:before="200"/>
        <w:ind w:firstLine="0"/>
        <w:jc w:val="both"/>
      </w:pPr>
      <w:r>
        <w:rPr>
          <w:rFonts w:ascii="Times New Roman" w:hAnsi="Times New Roman" w:cs="Times New Roman" w:eastAsia="Times New Roman"/>
          <w:b/>
          <w:sz w:val="24"/>
        </w:rPr>
        <w:t>Somiglianze di famiglia e mappe d’uso</w:t>
      </w:r>
    </w:p>
    <w:p>
      <w:pPr>
        <w:spacing w:line="276" w:lineRule="auto" w:after="60" w:before="0"/>
        <w:ind w:firstLine="425"/>
        <w:jc w:val="both"/>
      </w:pPr>
      <w:r>
        <w:rPr>
          <w:rFonts w:ascii="Times New Roman" w:hAnsi="Times New Roman" w:cs="Times New Roman" w:eastAsia="Times New Roman"/>
          <w:b w:val="0"/>
          <w:sz w:val="24"/>
        </w:rPr>
        <w:t xml:space="preserve">I termini maggiori della controversia sul caso — trattativa, fermezza, depistaggio, covo, pentito, servizi deviati — non hanno definizioni essenziali: sono </w:t>
      </w:r>
      <w:r>
        <w:rPr>
          <w:rFonts w:ascii="Times New Roman" w:hAnsi="Times New Roman" w:cs="Times New Roman" w:eastAsia="Times New Roman"/>
          <w:b/>
          <w:sz w:val="24"/>
        </w:rPr>
        <w:t>famiglie di usi</w:t>
      </w:r>
      <w:r>
        <w:rPr>
          <w:rFonts w:ascii="Times New Roman" w:hAnsi="Times New Roman" w:cs="Times New Roman" w:eastAsia="Times New Roman"/>
          <w:b w:val="0"/>
          <w:sz w:val="24"/>
        </w:rPr>
        <w:t xml:space="preserve">, e gran parte della disputa cinquantennale è disputa fra parlanti che usano la stessa parola per membri diversi della famiglia. Trattativa copre, negli usi attestati dal corpus, condotte che vanno dal sondaggio esplorativo al canale attivato, dalla disponibilità dichiarata allo scambio compiuto: chi afferma o nega la trattativa senza dire quale membro della famiglia intende, non afferma e non nega nulla di determinato. L’incommensurabilità dei paradigmi, iscritta nella Parte Ventesima, trova qui la sua radice linguistica: i paradigmi non condividono gli usi, e credono di contendersi i fatti mentre si contendono le parole. Il Registro ne trae l’istituto conseguente: per i termini maggiori esso non adotta definizioni — che sarebbero la vittoria arbitraria di un uso sugli altri — ma tiene </w:t>
      </w:r>
      <w:r>
        <w:rPr>
          <w:rFonts w:ascii="Times New Roman" w:hAnsi="Times New Roman" w:cs="Times New Roman" w:eastAsia="Times New Roman"/>
          <w:b/>
          <w:sz w:val="24"/>
        </w:rPr>
        <w:t>mappe d’uso</w:t>
      </w:r>
      <w:r>
        <w:rPr>
          <w:rFonts w:ascii="Times New Roman" w:hAnsi="Times New Roman" w:cs="Times New Roman" w:eastAsia="Times New Roman"/>
          <w:b w:val="0"/>
          <w:sz w:val="24"/>
        </w:rPr>
        <w:t>: censimenti degli usi attestati, fonte per fonte e gioco per gioco, cosicché ogni impiego del termine nel Registro possa dichiarare quale uso sta usando.</w:t>
      </w:r>
    </w:p>
    <w:p>
      <w:pPr>
        <w:spacing w:line="276" w:lineRule="auto" w:after="80" w:before="200"/>
        <w:ind w:firstLine="0"/>
        <w:jc w:val="both"/>
      </w:pPr>
      <w:r>
        <w:rPr>
          <w:rFonts w:ascii="Times New Roman" w:hAnsi="Times New Roman" w:cs="Times New Roman" w:eastAsia="Times New Roman"/>
          <w:b/>
          <w:sz w:val="24"/>
        </w:rPr>
        <w:t>La terapia: le ipostasi linguistiche</w:t>
      </w:r>
    </w:p>
    <w:p>
      <w:pPr>
        <w:spacing w:line="276" w:lineRule="auto" w:after="60" w:before="0"/>
        <w:ind w:firstLine="425"/>
        <w:jc w:val="both"/>
      </w:pPr>
      <w:r>
        <w:rPr>
          <w:rFonts w:ascii="Times New Roman" w:hAnsi="Times New Roman" w:cs="Times New Roman" w:eastAsia="Times New Roman"/>
          <w:b w:val="0"/>
          <w:sz w:val="24"/>
        </w:rPr>
        <w:t xml:space="preserve">Le Ricerche insegnano infine che la filosofia è una battaglia contro l’incantamento dell’intelletto da parte del linguaggio, e che un’immagine può tenerci prigionieri. Il Registro assume la lezione come </w:t>
      </w:r>
      <w:r>
        <w:rPr>
          <w:rFonts w:ascii="Times New Roman" w:hAnsi="Times New Roman" w:cs="Times New Roman" w:eastAsia="Times New Roman"/>
          <w:b/>
          <w:sz w:val="24"/>
        </w:rPr>
        <w:t>terapia</w:t>
      </w:r>
      <w:r>
        <w:rPr>
          <w:rFonts w:ascii="Times New Roman" w:hAnsi="Times New Roman" w:cs="Times New Roman" w:eastAsia="Times New Roman"/>
          <w:b w:val="0"/>
          <w:sz w:val="24"/>
        </w:rPr>
        <w:t xml:space="preserve"> e istituisce il censimento delle </w:t>
      </w:r>
      <w:r>
        <w:rPr>
          <w:rFonts w:ascii="Times New Roman" w:hAnsi="Times New Roman" w:cs="Times New Roman" w:eastAsia="Times New Roman"/>
          <w:b/>
          <w:sz w:val="24"/>
        </w:rPr>
        <w:t>ipostasi linguistiche</w:t>
      </w:r>
      <w:r>
        <w:rPr>
          <w:rFonts w:ascii="Times New Roman" w:hAnsi="Times New Roman" w:cs="Times New Roman" w:eastAsia="Times New Roman"/>
          <w:b w:val="0"/>
          <w:sz w:val="24"/>
        </w:rPr>
        <w:t>: le espressioni il cui uso prolungato ha generato l’illusione di un referente. L’esemplare del caso è il Grande Vecchio: un’espressione nata come figura, divenuta per uso un quasi-nome, e per quasi-nome una quasi-persona che intere stagioni hanno cercato — quando ciò che l’uso designava era, a rigore, una domanda sulla struttura e non un individuo. Il Registro non decide se dietro l’espressione vi sia o non vi sia alcunché: registra che l’espressione, in quanto tale, è un’immagine che ha tenuto prigionieri, e che ogni suo impiego non sorvegliato riproduce la prigionia. Alle ipostasi censite — il Grande Vecchio, la regia in quanto sostantivo assoluto, il livello superiore in quanto luogo — si applica la disciplina della mappa d’uso: si citano come usi, mai come referenti.</w:t>
      </w:r>
    </w:p>
    <w:p>
      <w:pPr>
        <w:spacing w:line="276" w:lineRule="auto" w:after="80" w:before="200"/>
        <w:ind w:firstLine="0"/>
        <w:jc w:val="both"/>
      </w:pPr>
      <w:r>
        <w:rPr>
          <w:rFonts w:ascii="Times New Roman" w:hAnsi="Times New Roman" w:cs="Times New Roman" w:eastAsia="Times New Roman"/>
          <w:b/>
          <w:sz w:val="24"/>
        </w:rPr>
        <w:t>Le regole istituite</w:t>
      </w:r>
    </w:p>
    <w:p>
      <w:pPr>
        <w:spacing w:line="276" w:lineRule="auto" w:after="60" w:before="0"/>
        <w:ind w:firstLine="425"/>
        <w:jc w:val="both"/>
      </w:pPr>
      <w:r>
        <w:rPr>
          <w:rFonts w:ascii="Times New Roman" w:hAnsi="Times New Roman" w:cs="Times New Roman" w:eastAsia="Times New Roman"/>
          <w:b w:val="0"/>
          <w:sz w:val="24"/>
        </w:rPr>
        <w:t xml:space="preserve">Quattro regole, e basta. Regola del </w:t>
      </w:r>
      <w:r>
        <w:rPr>
          <w:rFonts w:ascii="Times New Roman" w:hAnsi="Times New Roman" w:cs="Times New Roman" w:eastAsia="Times New Roman"/>
          <w:b/>
          <w:sz w:val="24"/>
        </w:rPr>
        <w:t>gioco dichiarato</w:t>
      </w:r>
      <w:r>
        <w:rPr>
          <w:rFonts w:ascii="Times New Roman" w:hAnsi="Times New Roman" w:cs="Times New Roman" w:eastAsia="Times New Roman"/>
          <w:b w:val="0"/>
          <w:sz w:val="24"/>
        </w:rPr>
        <w:t xml:space="preserve">: ogni citazione dichiara il gioco linguistico di provenienza, e nessuna parola migra da un gioco all’altro senza nota di traduzione. Regola della </w:t>
      </w:r>
      <w:r>
        <w:rPr>
          <w:rFonts w:ascii="Times New Roman" w:hAnsi="Times New Roman" w:cs="Times New Roman" w:eastAsia="Times New Roman"/>
          <w:b/>
          <w:sz w:val="24"/>
        </w:rPr>
        <w:t>mappa d’uso</w:t>
      </w:r>
      <w:r>
        <w:rPr>
          <w:rFonts w:ascii="Times New Roman" w:hAnsi="Times New Roman" w:cs="Times New Roman" w:eastAsia="Times New Roman"/>
          <w:b w:val="0"/>
          <w:sz w:val="24"/>
        </w:rPr>
        <w:t xml:space="preserve">: i termini maggiori non si definiscono, si mappano; e ogni loro impiego dichiara l’uso impiegato. Regola del </w:t>
      </w:r>
      <w:r>
        <w:rPr>
          <w:rFonts w:ascii="Times New Roman" w:hAnsi="Times New Roman" w:cs="Times New Roman" w:eastAsia="Times New Roman"/>
          <w:b/>
          <w:sz w:val="24"/>
        </w:rPr>
        <w:t>doppio destinatario</w:t>
      </w:r>
      <w:r>
        <w:rPr>
          <w:rFonts w:ascii="Times New Roman" w:hAnsi="Times New Roman" w:cs="Times New Roman" w:eastAsia="Times New Roman"/>
          <w:b w:val="0"/>
          <w:sz w:val="24"/>
        </w:rPr>
        <w:t xml:space="preserve">: gli enunciati prodotti sotto vincolo — le lettere della prigionia in primo luogo — si leggono come mosse del loro gioco, mai come enunciati liberi, e il vincolo è parte del significato. Regola del </w:t>
      </w:r>
      <w:r>
        <w:rPr>
          <w:rFonts w:ascii="Times New Roman" w:hAnsi="Times New Roman" w:cs="Times New Roman" w:eastAsia="Times New Roman"/>
          <w:b/>
          <w:sz w:val="24"/>
        </w:rPr>
        <w:t>silenzio operoso</w:t>
      </w:r>
      <w:r>
        <w:rPr>
          <w:rFonts w:ascii="Times New Roman" w:hAnsi="Times New Roman" w:cs="Times New Roman" w:eastAsia="Times New Roman"/>
          <w:b w:val="0"/>
          <w:sz w:val="24"/>
        </w:rPr>
        <w:t>: dove il linguaggio disponibile non arriva, il Registro tace e cerca il gioco in cui la cosa diventi dicibile — l’atto, il registro, la carta — poiché il confine del dicibile non è una parete ma un fronte, e il lavoro dell’apparato è spostarlo.</w:t>
      </w:r>
    </w:p>
    <w:p>
      <w:pPr>
        <w:spacing w:line="276" w:lineRule="auto" w:after="80" w:before="200"/>
        <w:ind w:firstLine="0"/>
        <w:jc w:val="both"/>
      </w:pPr>
      <w:r>
        <w:rPr>
          <w:rFonts w:ascii="Times New Roman" w:hAnsi="Times New Roman" w:cs="Times New Roman" w:eastAsia="Times New Roman"/>
          <w:b/>
          <w:sz w:val="24"/>
        </w:rPr>
        <w:t>COLOPHON DELL’EDIZIONE SETTIMA</w:t>
      </w:r>
    </w:p>
    <w:p>
      <w:pPr>
        <w:spacing w:line="276" w:lineRule="auto" w:after="60" w:before="0"/>
        <w:ind w:firstLine="425"/>
        <w:jc w:val="both"/>
      </w:pPr>
      <w:r>
        <w:rPr>
          <w:rFonts w:ascii="Times New Roman" w:hAnsi="Times New Roman" w:cs="Times New Roman" w:eastAsia="Times New Roman"/>
          <w:b w:val="0"/>
          <w:sz w:val="24"/>
        </w:rPr>
        <w:t>REGISTRO ANALITICO DEL CASO MORO, edizione settima, l’Apporto Wittgensteiniano, primo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probatorio resta la Classificazione di Descartes con l’invarianza trans-paradigmatica; il Decalogo resta consultivo e impotente; sono istituite le regole del gioco dichiarato, della mappa d’uso, del doppio destinatario e del silenzio operoso. Incorpora verbatim l’edizione sesta e, per suo tramite, le cinque precedenti; ogni edizione successiva conterrà verbatim la presente. Resta sovrana la Regola di Ferro — dove la fonte documenta, l’opera certifica; dove la fonte tace, l’opera indaga e non afferma — che in questa edizione riceve il proprio fondamento.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VENTIDUESIMA — L’APPORTO ISRAELIANO</w:t>
      </w:r>
    </w:p>
    <w:p>
      <w:pPr>
        <w:spacing w:line="276" w:lineRule="auto" w:after="80" w:before="200"/>
        <w:ind w:firstLine="0"/>
        <w:jc w:val="both"/>
      </w:pPr>
      <w:r>
        <w:rPr>
          <w:rFonts w:ascii="Times New Roman" w:hAnsi="Times New Roman" w:cs="Times New Roman" w:eastAsia="Times New Roman"/>
          <w:b/>
          <w:sz w:val="24"/>
        </w:rPr>
        <w:t>Il polo di Norimberga: il caso fondato sui documenti</w:t>
      </w:r>
    </w:p>
    <w:p>
      <w:pPr>
        <w:spacing w:line="276" w:lineRule="auto" w:after="60" w:before="0"/>
        <w:ind w:firstLine="425"/>
        <w:jc w:val="both"/>
      </w:pPr>
      <w:r>
        <w:rPr>
          <w:rFonts w:ascii="Times New Roman" w:hAnsi="Times New Roman" w:cs="Times New Roman" w:eastAsia="Times New Roman"/>
          <w:b w:val="0"/>
          <w:sz w:val="24"/>
        </w:rPr>
        <w:t xml:space="preserve">Il primo polo dell’apporto porta il nome della città del processo. L’accusa di Norimberga compì una scelta metodologica che fondò la giustizia internazionale e che il Registro assume quale stella fissa: costruire il caso non sulle testimonianze di amici o nemici, ma sui </w:t>
      </w:r>
      <w:r>
        <w:rPr>
          <w:rFonts w:ascii="Times New Roman" w:hAnsi="Times New Roman" w:cs="Times New Roman" w:eastAsia="Times New Roman"/>
          <w:b/>
          <w:sz w:val="24"/>
        </w:rPr>
        <w:t>documenti prodotti dagli imputati stessi</w:t>
      </w:r>
      <w:r>
        <w:rPr>
          <w:rFonts w:ascii="Times New Roman" w:hAnsi="Times New Roman" w:cs="Times New Roman" w:eastAsia="Times New Roman"/>
          <w:b w:val="0"/>
          <w:sz w:val="24"/>
        </w:rPr>
        <w:t xml:space="preserve"> — gli ordini, i verbali, i registri, la contabilità dello sterminio — poiché la burocrazia del male si autodocumenta, e nessuna difesa può ricusare la propria firma. La traduzione per il Registro è immediata e già parzialmente praticata senza nome: il potere informale, per operare, </w:t>
      </w:r>
      <w:r>
        <w:rPr>
          <w:rFonts w:ascii="Times New Roman" w:hAnsi="Times New Roman" w:cs="Times New Roman" w:eastAsia="Times New Roman"/>
          <w:b/>
          <w:sz w:val="24"/>
        </w:rPr>
        <w:t>produce carte</w:t>
      </w:r>
      <w:r>
        <w:rPr>
          <w:rFonts w:ascii="Times New Roman" w:hAnsi="Times New Roman" w:cs="Times New Roman" w:eastAsia="Times New Roman"/>
          <w:b w:val="0"/>
          <w:sz w:val="24"/>
        </w:rPr>
        <w:t xml:space="preserve"> — elenchi di loggia, telegrammi cifrati, appunti manoscritti, contratti, verbali di comitato — e la classe probatoria suprema è quella dei documenti autoprodotti dal sistema indagato, che valgono più di ogni ricostruzione perché sono il sistema che parla di sé. Dal medesimo polo il Registro assume altri due principi. La </w:t>
      </w:r>
      <w:r>
        <w:rPr>
          <w:rFonts w:ascii="Times New Roman" w:hAnsi="Times New Roman" w:cs="Times New Roman" w:eastAsia="Times New Roman"/>
          <w:b/>
          <w:sz w:val="24"/>
        </w:rPr>
        <w:t>destinazione giudiziaria</w:t>
      </w:r>
      <w:r>
        <w:rPr>
          <w:rFonts w:ascii="Times New Roman" w:hAnsi="Times New Roman" w:cs="Times New Roman" w:eastAsia="Times New Roman"/>
          <w:b w:val="0"/>
          <w:sz w:val="24"/>
        </w:rPr>
        <w:t>: la ricerca che eccede la storia consegna alle sedi competenti — principio già scolpito nella codifica investigativa, che qui riceve il suo archetipo. E l’</w:t>
      </w:r>
      <w:r>
        <w:rPr>
          <w:rFonts w:ascii="Times New Roman" w:hAnsi="Times New Roman" w:cs="Times New Roman" w:eastAsia="Times New Roman"/>
          <w:b/>
          <w:sz w:val="24"/>
        </w:rPr>
        <w:t>imputazione individuale</w:t>
      </w:r>
      <w:r>
        <w:rPr>
          <w:rFonts w:ascii="Times New Roman" w:hAnsi="Times New Roman" w:cs="Times New Roman" w:eastAsia="Times New Roman"/>
          <w:b w:val="0"/>
          <w:sz w:val="24"/>
        </w:rPr>
        <w:t>: Norimberga giudicò persone per atti provati, non popoli per appartenenza; il Registro, che censisce reti, non dimentica mai che la rete descrive e non imputa, e che la responsabilità — dove mai fosse — è di condotte individuali provate nella sede propria.</w:t>
      </w:r>
    </w:p>
    <w:p>
      <w:pPr>
        <w:spacing w:line="276" w:lineRule="auto" w:after="80" w:before="200"/>
        <w:ind w:firstLine="0"/>
        <w:jc w:val="both"/>
      </w:pPr>
      <w:r>
        <w:rPr>
          <w:rFonts w:ascii="Times New Roman" w:hAnsi="Times New Roman" w:cs="Times New Roman" w:eastAsia="Times New Roman"/>
          <w:b/>
          <w:sz w:val="24"/>
        </w:rPr>
        <w:t>Il polo di Tel Aviv: i metodi della ricerca lunga</w:t>
      </w:r>
    </w:p>
    <w:p>
      <w:pPr>
        <w:spacing w:line="276" w:lineRule="auto" w:after="60" w:before="0"/>
        <w:ind w:firstLine="425"/>
        <w:jc w:val="both"/>
      </w:pPr>
      <w:r>
        <w:rPr>
          <w:rFonts w:ascii="Times New Roman" w:hAnsi="Times New Roman" w:cs="Times New Roman" w:eastAsia="Times New Roman"/>
          <w:b w:val="0"/>
          <w:sz w:val="24"/>
        </w:rPr>
        <w:t xml:space="preserve">Il secondo polo porta il nome della città del servizio, e raccoglie i metodi che la letteratura aperta documenta — dalle memorie dei protagonisti dell’operazione argentina del millenovecentosessanta agli archivi dei centri di documentazione — assunti quali ispirazioni operative, mai quali norme. Primo metodo: la </w:t>
      </w:r>
      <w:r>
        <w:rPr>
          <w:rFonts w:ascii="Times New Roman" w:hAnsi="Times New Roman" w:cs="Times New Roman" w:eastAsia="Times New Roman"/>
          <w:b/>
          <w:sz w:val="24"/>
        </w:rPr>
        <w:t>rete distribuita dei sensori civili</w:t>
      </w:r>
      <w:r>
        <w:rPr>
          <w:rFonts w:ascii="Times New Roman" w:hAnsi="Times New Roman" w:cs="Times New Roman" w:eastAsia="Times New Roman"/>
          <w:b w:val="0"/>
          <w:sz w:val="24"/>
        </w:rPr>
        <w:t>. Il criminale più cercato del mondo non fu trovato da un apparato, ma da un sopravvissuto cieco e da sua figlia, che frequentava un giovane il quale portava, per incoscienza o vanità, il vero cognome del padre; e per decenni il cacciatore di Vienna operò attraverso una rete mondiale di corrispondenti volontari — sopravvissuti, emigrati, lettori di giornali locali — che segnalavano nomi, necrologi, annunci. La lezione: la periferia vede ciò che il centro non vede, e un archivio che riceve dalla periferia vale una centrale.</w:t>
      </w:r>
    </w:p>
    <w:p>
      <w:pPr>
        <w:spacing w:line="276" w:lineRule="auto" w:after="60" w:before="0"/>
        <w:ind w:firstLine="425"/>
        <w:jc w:val="both"/>
      </w:pPr>
      <w:r>
        <w:rPr>
          <w:rFonts w:ascii="Times New Roman" w:hAnsi="Times New Roman" w:cs="Times New Roman" w:eastAsia="Times New Roman"/>
          <w:b w:val="0"/>
          <w:sz w:val="24"/>
        </w:rPr>
        <w:t xml:space="preserve">Secondo metodo: il </w:t>
      </w:r>
      <w:r>
        <w:rPr>
          <w:rFonts w:ascii="Times New Roman" w:hAnsi="Times New Roman" w:cs="Times New Roman" w:eastAsia="Times New Roman"/>
          <w:b/>
          <w:sz w:val="24"/>
        </w:rPr>
        <w:t>salto generazionale</w:t>
      </w:r>
      <w:r>
        <w:rPr>
          <w:rFonts w:ascii="Times New Roman" w:hAnsi="Times New Roman" w:cs="Times New Roman" w:eastAsia="Times New Roman"/>
          <w:b w:val="0"/>
          <w:sz w:val="24"/>
        </w:rPr>
        <w:t xml:space="preserve">. La copertura dell’uomo era perfetta; quella del figlio no — la seconda generazione porta il nome, celebra le date, si vanta, si fidanza, e attraverso di essa la prima si lascia raggiungere. Il Registro riconosce in questo metodo la conferma storica più alta della propria Metodologia del Salto della Quaglia: il piano familiare e rituale come piano di salto attraverso cui la rete occultata torna visibile. Terzo metodo: gli </w:t>
      </w:r>
      <w:r>
        <w:rPr>
          <w:rFonts w:ascii="Times New Roman" w:hAnsi="Times New Roman" w:cs="Times New Roman" w:eastAsia="Times New Roman"/>
          <w:b/>
          <w:sz w:val="24"/>
        </w:rPr>
        <w:t>invarianti personali</w:t>
      </w:r>
      <w:r>
        <w:rPr>
          <w:rFonts w:ascii="Times New Roman" w:hAnsi="Times New Roman" w:cs="Times New Roman" w:eastAsia="Times New Roman"/>
          <w:b w:val="0"/>
          <w:sz w:val="24"/>
        </w:rPr>
        <w:t>. L’uomo che si faceva chiamare con altro nome negò di essere sé stesso; fu tradito da ciò che non si può o non si vuole cambiare — la data che continuava a celebrare, i fiori portati a casa nel giorno dell’anniversario di nozze, e i tratti che la fotografia comparata fissò, primo fra tutti il padiglione dell’orecchio. Il Registro scolpisce qui una convergenza che appartiene al suo canone: l’identificazione per l’orecchio è, alla lettera, il metodo morelliano da cui Ginzburg trasse il paradigma indiziario — il perito che attribuisce i quadri dalle orecchie e il cacciatore che identifica il fuggitivo dall’orecchio praticano la stessa scienza dei dettagli involontari; e l’anniversario celebrato sotto falso nome è la prova rituale, il piano della Quaglia che nemmeno la clandestinità perfetta sa abbandonare.</w:t>
      </w:r>
    </w:p>
    <w:p>
      <w:pPr>
        <w:spacing w:line="276" w:lineRule="auto" w:after="60" w:before="0"/>
        <w:ind w:firstLine="425"/>
        <w:jc w:val="both"/>
      </w:pPr>
      <w:r>
        <w:rPr>
          <w:rFonts w:ascii="Times New Roman" w:hAnsi="Times New Roman" w:cs="Times New Roman" w:eastAsia="Times New Roman"/>
          <w:b w:val="0"/>
          <w:sz w:val="24"/>
        </w:rPr>
        <w:t xml:space="preserve">Quarto metodo: il </w:t>
      </w:r>
      <w:r>
        <w:rPr>
          <w:rFonts w:ascii="Times New Roman" w:hAnsi="Times New Roman" w:cs="Times New Roman" w:eastAsia="Times New Roman"/>
          <w:b/>
          <w:sz w:val="24"/>
        </w:rPr>
        <w:t>canale fidato</w:t>
      </w:r>
      <w:r>
        <w:rPr>
          <w:rFonts w:ascii="Times New Roman" w:hAnsi="Times New Roman" w:cs="Times New Roman" w:eastAsia="Times New Roman"/>
          <w:b w:val="0"/>
          <w:sz w:val="24"/>
        </w:rPr>
        <w:t xml:space="preserve">. Il magistrato tedesco che deteneva l’informazione decisiva non la affidò agli apparati del proprio Paese, che non stimava sicuri, ma la portò direttamente al servizio dello Stato ebraico: la scelta del canale è parte dell’informazione, e un dato consegnato al canale sbagliato muore. Quinto metodo: la </w:t>
      </w:r>
      <w:r>
        <w:rPr>
          <w:rFonts w:ascii="Times New Roman" w:hAnsi="Times New Roman" w:cs="Times New Roman" w:eastAsia="Times New Roman"/>
          <w:b/>
          <w:sz w:val="24"/>
        </w:rPr>
        <w:t>doppia conferma prima dell’azione</w:t>
      </w:r>
      <w:r>
        <w:rPr>
          <w:rFonts w:ascii="Times New Roman" w:hAnsi="Times New Roman" w:cs="Times New Roman" w:eastAsia="Times New Roman"/>
          <w:b w:val="0"/>
          <w:sz w:val="24"/>
        </w:rPr>
        <w:t xml:space="preserve">. La regola dell’operazione argentina fu di non muovere finché due linee indipendenti non avessero confermato l’identità; e la storia del servizio conserva anche il controesempio che rende la regola sacra — l’operazione norvegese del millenovecentosettantatré, in cui un’identificazione insufficiente costò la vita a un innocente scambiato per il ricercato. Il Registro iscrive il controesempio quale </w:t>
      </w:r>
      <w:r>
        <w:rPr>
          <w:rFonts w:ascii="Times New Roman" w:hAnsi="Times New Roman" w:cs="Times New Roman" w:eastAsia="Times New Roman"/>
          <w:b/>
          <w:sz w:val="24"/>
        </w:rPr>
        <w:t>monito permanente</w:t>
      </w:r>
      <w:r>
        <w:rPr>
          <w:rFonts w:ascii="Times New Roman" w:hAnsi="Times New Roman" w:cs="Times New Roman" w:eastAsia="Times New Roman"/>
          <w:b w:val="0"/>
          <w:sz w:val="24"/>
        </w:rPr>
        <w:t xml:space="preserve">: l’identificazione insufficiente non è un errore minore, è l’errore capitale; e la propria regola — nessun cognome è un nodo, il nodo è la persona, la persona esiste solo dopo la lettura — riceve qui la sua sanzione storica. Sesto metodo: il </w:t>
      </w:r>
      <w:r>
        <w:rPr>
          <w:rFonts w:ascii="Times New Roman" w:hAnsi="Times New Roman" w:cs="Times New Roman" w:eastAsia="Times New Roman"/>
          <w:b/>
          <w:sz w:val="24"/>
        </w:rPr>
        <w:t>fascicolo mai chiuso</w:t>
      </w:r>
      <w:r>
        <w:rPr>
          <w:rFonts w:ascii="Times New Roman" w:hAnsi="Times New Roman" w:cs="Times New Roman" w:eastAsia="Times New Roman"/>
          <w:b w:val="0"/>
          <w:sz w:val="24"/>
        </w:rPr>
        <w:t xml:space="preserve">. Quando la vedova del fuggitivo tentò di farlo dichiarare morto, producendo un testimone che risultò essere il cognato, il cacciatore di Vienna si oppose e impedì la chiusura anagrafica del caso: senza quell’opposizione, la caccia sarebbe finita per decreto. La lezione è già legge del Registro — il dubbio ventesimo, il perimetro mai presunto completo — e qui riceve il suo precedente: i casi non si chiudono per stanchezza, per decreto o per presunzione; si chiudono per scioglimento. Settimo metodo, che governa tutti: </w:t>
      </w:r>
      <w:r>
        <w:rPr>
          <w:rFonts w:ascii="Times New Roman" w:hAnsi="Times New Roman" w:cs="Times New Roman" w:eastAsia="Times New Roman"/>
          <w:b/>
          <w:sz w:val="24"/>
        </w:rPr>
        <w:t>giustizia, non vendetta</w:t>
      </w:r>
      <w:r>
        <w:rPr>
          <w:rFonts w:ascii="Times New Roman" w:hAnsi="Times New Roman" w:cs="Times New Roman" w:eastAsia="Times New Roman"/>
          <w:b w:val="0"/>
          <w:sz w:val="24"/>
        </w:rPr>
        <w:t xml:space="preserve"> — la formula del cacciatore di Vienna: la ricerca consegna ai tribunali, non si fa tribunale; ed è, ancora, la codifica investigativa del Registro, che vi riconosce il proprio archetipo morale.</w:t>
      </w:r>
    </w:p>
    <w:p>
      <w:pPr>
        <w:spacing w:line="276" w:lineRule="auto" w:after="80" w:before="200"/>
        <w:ind w:firstLine="0"/>
        <w:jc w:val="both"/>
      </w:pPr>
      <w:r>
        <w:rPr>
          <w:rFonts w:ascii="Times New Roman" w:hAnsi="Times New Roman" w:cs="Times New Roman" w:eastAsia="Times New Roman"/>
          <w:b/>
          <w:sz w:val="24"/>
        </w:rPr>
        <w:t>Le ispirazioni assunte, mai vincolanti</w:t>
      </w:r>
    </w:p>
    <w:p>
      <w:pPr>
        <w:spacing w:line="276" w:lineRule="auto" w:after="60" w:before="0"/>
        <w:ind w:firstLine="425"/>
        <w:jc w:val="both"/>
      </w:pPr>
      <w:r>
        <w:rPr>
          <w:rFonts w:ascii="Times New Roman" w:hAnsi="Times New Roman" w:cs="Times New Roman" w:eastAsia="Times New Roman"/>
          <w:b w:val="0"/>
          <w:sz w:val="24"/>
        </w:rPr>
        <w:t xml:space="preserve">Le sette ispirazioni — i documenti autoprodotti, la rete dei sensori civili, il salto generazionale, gli invarianti personali, il canale fidato, la doppia conferma con il monito norvegese, il fascicolo mai chiuso sotto la formula della giustizia e non della vendetta — sono iscritte nell’apparato con lo statuto che il comando prescrive: </w:t>
      </w:r>
      <w:r>
        <w:rPr>
          <w:rFonts w:ascii="Times New Roman" w:hAnsi="Times New Roman" w:cs="Times New Roman" w:eastAsia="Times New Roman"/>
          <w:b/>
          <w:sz w:val="24"/>
        </w:rPr>
        <w:t>mai vincolanti</w:t>
      </w:r>
      <w:r>
        <w:rPr>
          <w:rFonts w:ascii="Times New Roman" w:hAnsi="Times New Roman" w:cs="Times New Roman" w:eastAsia="Times New Roman"/>
          <w:b w:val="0"/>
          <w:sz w:val="24"/>
        </w:rPr>
        <w:t>. Nessuna di esse ha potere decisionale; nessuna chiude o apre una pista per propria autorità; ciascuna è disponibile all’istruttoria come una lampada è disponibile a chi legge — la si accende quando serve, e la lettura resta di chi legge. La loro collocazione è accanto al Decalogo: non dentro, perché non sono classificazioni; accanto, perché ne condividono la natura consultiva e la clausola di accesso.</w:t>
      </w:r>
    </w:p>
    <w:p>
      <w:pPr>
        <w:spacing w:line="276" w:lineRule="auto" w:after="80" w:before="200"/>
        <w:ind w:firstLine="0"/>
        <w:jc w:val="both"/>
      </w:pPr>
      <w:r>
        <w:rPr>
          <w:rFonts w:ascii="Times New Roman" w:hAnsi="Times New Roman" w:cs="Times New Roman" w:eastAsia="Times New Roman"/>
          <w:b/>
          <w:sz w:val="24"/>
        </w:rPr>
        <w:t>LA CONSACRAZIONE — LA METODOLOGIA NORIMAVIV</w:t>
      </w:r>
    </w:p>
    <w:p>
      <w:pPr>
        <w:spacing w:line="276" w:lineRule="auto" w:after="60" w:before="0"/>
        <w:ind w:firstLine="425"/>
        <w:jc w:val="both"/>
      </w:pPr>
      <w:r>
        <w:rPr>
          <w:rFonts w:ascii="Times New Roman" w:hAnsi="Times New Roman" w:cs="Times New Roman" w:eastAsia="Times New Roman"/>
          <w:b w:val="0"/>
          <w:sz w:val="24"/>
        </w:rPr>
        <w:t>Metodologia complessiva di Luigi De Michele</w:t>
      </w:r>
    </w:p>
    <w:p>
      <w:pPr>
        <w:spacing w:line="276" w:lineRule="auto" w:after="60" w:before="0"/>
        <w:ind w:firstLine="425"/>
        <w:jc w:val="both"/>
      </w:pPr>
      <w:r>
        <w:rPr>
          <w:rFonts w:ascii="Times New Roman" w:hAnsi="Times New Roman" w:cs="Times New Roman" w:eastAsia="Times New Roman"/>
          <w:b w:val="0"/>
          <w:sz w:val="24"/>
        </w:rPr>
        <w:t xml:space="preserve">Con l’ultimo apporto, l’edificio metodologico eretto attraverso le edizioni è compiuto, e riceve il proprio nome complessivo: </w:t>
      </w:r>
      <w:r>
        <w:rPr>
          <w:rFonts w:ascii="Times New Roman" w:hAnsi="Times New Roman" w:cs="Times New Roman" w:eastAsia="Times New Roman"/>
          <w:b/>
          <w:sz w:val="24"/>
        </w:rPr>
        <w:t>la Metodologia Norimaviv</w:t>
      </w:r>
      <w:r>
        <w:rPr>
          <w:rFonts w:ascii="Times New Roman" w:hAnsi="Times New Roman" w:cs="Times New Roman" w:eastAsia="Times New Roman"/>
          <w:b w:val="0"/>
          <w:sz w:val="24"/>
        </w:rPr>
        <w:t xml:space="preserve"> — da Norimberga e Tel Aviv — metodologia di Luigi De Michele. Il nome dichiara i due poli fra cui l’intero apparato si tende, e la formula che li unisce è la definizione stessa della metodologia: </w:t>
      </w:r>
      <w:r>
        <w:rPr>
          <w:rFonts w:ascii="Times New Roman" w:hAnsi="Times New Roman" w:cs="Times New Roman" w:eastAsia="Times New Roman"/>
          <w:b/>
          <w:sz w:val="24"/>
        </w:rPr>
        <w:t>si cerca alla maniera di Tel Aviv, si prova alla maniera di Norimberga</w:t>
      </w:r>
      <w:r>
        <w:rPr>
          <w:rFonts w:ascii="Times New Roman" w:hAnsi="Times New Roman" w:cs="Times New Roman" w:eastAsia="Times New Roman"/>
          <w:b w:val="0"/>
          <w:sz w:val="24"/>
        </w:rPr>
        <w:t>. Si cerca con la pazienza dei decenni, con la rete dei sensori, sui piani laterali e nelle profondità, seguendo gli invarianti e i salti generazionali, senza mai chiudere un fascicolo per presunzione; e si prova con i documenti — possibilmente autoprodotti dal sistema indagato — con l’identificazione doppiamente confermata, con l’imputazione individuale, con la destinazione alle sedi proprie.</w:t>
      </w:r>
    </w:p>
    <w:p>
      <w:pPr>
        <w:spacing w:line="276" w:lineRule="auto" w:after="60" w:before="0"/>
        <w:ind w:firstLine="425"/>
        <w:jc w:val="both"/>
      </w:pPr>
      <w:r>
        <w:rPr>
          <w:rFonts w:ascii="Times New Roman" w:hAnsi="Times New Roman" w:cs="Times New Roman" w:eastAsia="Times New Roman"/>
          <w:b w:val="0"/>
          <w:sz w:val="24"/>
        </w:rPr>
        <w:t xml:space="preserve">L’architettura della Metodologia Norimaviv è a strati, e la consacrazione li enumera nell’ordine della loro edificazione, ciascuno con la propria funzione, nessuno con potere sugli altri. Fondamento: la </w:t>
      </w:r>
      <w:r>
        <w:rPr>
          <w:rFonts w:ascii="Times New Roman" w:hAnsi="Times New Roman" w:cs="Times New Roman" w:eastAsia="Times New Roman"/>
          <w:b/>
          <w:sz w:val="24"/>
        </w:rPr>
        <w:t>Regola di Ferro</w:t>
      </w:r>
      <w:r>
        <w:rPr>
          <w:rFonts w:ascii="Times New Roman" w:hAnsi="Times New Roman" w:cs="Times New Roman" w:eastAsia="Times New Roman"/>
          <w:b w:val="0"/>
          <w:sz w:val="24"/>
        </w:rPr>
        <w:t xml:space="preserve"> — dove la fonte documenta, l’opera certifica; dove la fonte tace, l’opera indaga e non afferma — con il suo fondamento wittgensteiniano. Ordinamento: la </w:t>
      </w:r>
      <w:r>
        <w:rPr>
          <w:rFonts w:ascii="Times New Roman" w:hAnsi="Times New Roman" w:cs="Times New Roman" w:eastAsia="Times New Roman"/>
          <w:b/>
          <w:sz w:val="24"/>
        </w:rPr>
        <w:t>Classificazione di Descartes</w:t>
      </w:r>
      <w:r>
        <w:rPr>
          <w:rFonts w:ascii="Times New Roman" w:hAnsi="Times New Roman" w:cs="Times New Roman" w:eastAsia="Times New Roman"/>
          <w:b w:val="0"/>
          <w:sz w:val="24"/>
        </w:rPr>
        <w:t xml:space="preserve"> — tre stati, sciolto, dubbio, dissolto; il dubbio unico e non graduato che non decide — raffinata dall’invarianza trans-paradigmatica. Biblioteca: il </w:t>
      </w:r>
      <w:r>
        <w:rPr>
          <w:rFonts w:ascii="Times New Roman" w:hAnsi="Times New Roman" w:cs="Times New Roman" w:eastAsia="Times New Roman"/>
          <w:b/>
          <w:sz w:val="24"/>
        </w:rPr>
        <w:t>Decalogo delle Classificazioni Consultive</w:t>
      </w:r>
      <w:r>
        <w:rPr>
          <w:rFonts w:ascii="Times New Roman" w:hAnsi="Times New Roman" w:cs="Times New Roman" w:eastAsia="Times New Roman"/>
          <w:b w:val="0"/>
          <w:sz w:val="24"/>
        </w:rPr>
        <w:t>, dieci tradizioni senza potere, aperte solo su richiesta. Consapevolezza strumentale: l’</w:t>
      </w:r>
      <w:r>
        <w:rPr>
          <w:rFonts w:ascii="Times New Roman" w:hAnsi="Times New Roman" w:cs="Times New Roman" w:eastAsia="Times New Roman"/>
          <w:b/>
          <w:sz w:val="24"/>
        </w:rPr>
        <w:t>apporto kuhniano</w:t>
      </w:r>
      <w:r>
        <w:rPr>
          <w:rFonts w:ascii="Times New Roman" w:hAnsi="Times New Roman" w:cs="Times New Roman" w:eastAsia="Times New Roman"/>
          <w:b w:val="0"/>
          <w:sz w:val="24"/>
        </w:rPr>
        <w:t xml:space="preserve"> — la Metafora del Microscopio, la dichiarazione dello strumento, il censimento degli artefatti, la convergenza strumentale, il protocollo di traduzione fra paradigmi incommensurabili. Consapevolezza linguistica: l’</w:t>
      </w:r>
      <w:r>
        <w:rPr>
          <w:rFonts w:ascii="Times New Roman" w:hAnsi="Times New Roman" w:cs="Times New Roman" w:eastAsia="Times New Roman"/>
          <w:b/>
          <w:sz w:val="24"/>
        </w:rPr>
        <w:t>apporto wittgensteiniano</w:t>
      </w:r>
      <w:r>
        <w:rPr>
          <w:rFonts w:ascii="Times New Roman" w:hAnsi="Times New Roman" w:cs="Times New Roman" w:eastAsia="Times New Roman"/>
          <w:b w:val="0"/>
          <w:sz w:val="24"/>
        </w:rPr>
        <w:t xml:space="preserve"> — il gioco dichiarato, la mappa d’uso, il doppio destinatario, il silenzio operoso, la terapia delle ipostasi. Arte dei piani laterali: la </w:t>
      </w:r>
      <w:r>
        <w:rPr>
          <w:rFonts w:ascii="Times New Roman" w:hAnsi="Times New Roman" w:cs="Times New Roman" w:eastAsia="Times New Roman"/>
          <w:b/>
          <w:sz w:val="24"/>
        </w:rPr>
        <w:t>Metodologia del Salto della Quaglia</w:t>
      </w:r>
      <w:r>
        <w:rPr>
          <w:rFonts w:ascii="Times New Roman" w:hAnsi="Times New Roman" w:cs="Times New Roman" w:eastAsia="Times New Roman"/>
          <w:b w:val="0"/>
          <w:sz w:val="24"/>
        </w:rPr>
        <w:t xml:space="preserve"> — i cinque piani, le cinque regole, il salto dell’analista. Arte della profondità: la </w:t>
      </w:r>
      <w:r>
        <w:rPr>
          <w:rFonts w:ascii="Times New Roman" w:hAnsi="Times New Roman" w:cs="Times New Roman" w:eastAsia="Times New Roman"/>
          <w:b/>
          <w:sz w:val="24"/>
        </w:rPr>
        <w:t>Metodologia del Triplo Salto Carpiato</w:t>
      </w:r>
      <w:r>
        <w:rPr>
          <w:rFonts w:ascii="Times New Roman" w:hAnsi="Times New Roman" w:cs="Times New Roman" w:eastAsia="Times New Roman"/>
          <w:b w:val="0"/>
          <w:sz w:val="24"/>
        </w:rPr>
        <w:t xml:space="preserve"> — le tre rotazioni, la carpiatura, l’ingresso in acqua, lo spruzzo dichiarato. E ispirazione operativa: l’</w:t>
      </w:r>
      <w:r>
        <w:rPr>
          <w:rFonts w:ascii="Times New Roman" w:hAnsi="Times New Roman" w:cs="Times New Roman" w:eastAsia="Times New Roman"/>
          <w:b/>
          <w:sz w:val="24"/>
        </w:rPr>
        <w:t>apporto israeliano</w:t>
      </w:r>
      <w:r>
        <w:rPr>
          <w:rFonts w:ascii="Times New Roman" w:hAnsi="Times New Roman" w:cs="Times New Roman" w:eastAsia="Times New Roman"/>
          <w:b w:val="0"/>
          <w:sz w:val="24"/>
        </w:rPr>
        <w:t xml:space="preserve">, mai vincolante, con i suoi sette metodi e il suo monito. Sopra tutti, la clausola che il comando ha reso costituzionale: </w:t>
      </w:r>
      <w:r>
        <w:rPr>
          <w:rFonts w:ascii="Times New Roman" w:hAnsi="Times New Roman" w:cs="Times New Roman" w:eastAsia="Times New Roman"/>
          <w:b/>
          <w:sz w:val="24"/>
        </w:rPr>
        <w:t>nessuno strato comanda; tutti servono</w:t>
      </w:r>
      <w:r>
        <w:rPr>
          <w:rFonts w:ascii="Times New Roman" w:hAnsi="Times New Roman" w:cs="Times New Roman" w:eastAsia="Times New Roman"/>
          <w:b w:val="0"/>
          <w:sz w:val="24"/>
        </w:rPr>
        <w:t>. La ricerca decide da sé, e ogni strato è al suo servizio — lampade in una stanza di lavoro, non giudici in un’aula.</w:t>
      </w:r>
    </w:p>
    <w:p>
      <w:pPr>
        <w:spacing w:line="276" w:lineRule="auto" w:after="60" w:before="0"/>
        <w:ind w:firstLine="425"/>
        <w:jc w:val="both"/>
      </w:pPr>
      <w:r>
        <w:rPr>
          <w:rFonts w:ascii="Times New Roman" w:hAnsi="Times New Roman" w:cs="Times New Roman" w:eastAsia="Times New Roman"/>
          <w:b w:val="0"/>
          <w:sz w:val="24"/>
        </w:rPr>
        <w:t>La Metodologia Norimaviv governa da questa edizione il primo dei Tre Documenti Morotei, e si estenderà per rinnovamento al secondo e al terzo quando l’autore lo comanderà. La sua consacrazione chiude l’aggiornamento metodologico: da qui in avanti, l’apparato non si edifica più — lavora.</w:t>
      </w:r>
    </w:p>
    <w:p>
      <w:pPr>
        <w:spacing w:line="276" w:lineRule="auto" w:after="80" w:before="200"/>
        <w:ind w:firstLine="0"/>
        <w:jc w:val="both"/>
      </w:pPr>
      <w:r>
        <w:rPr>
          <w:rFonts w:ascii="Times New Roman" w:hAnsi="Times New Roman" w:cs="Times New Roman" w:eastAsia="Times New Roman"/>
          <w:b/>
          <w:sz w:val="24"/>
        </w:rPr>
        <w:t>COLOPHON DELL’EDIZIONE OTTAVA</w:t>
      </w:r>
    </w:p>
    <w:p>
      <w:pPr>
        <w:spacing w:line="276" w:lineRule="auto" w:after="60" w:before="0"/>
        <w:ind w:firstLine="425"/>
        <w:jc w:val="both"/>
      </w:pPr>
      <w:r>
        <w:rPr>
          <w:rFonts w:ascii="Times New Roman" w:hAnsi="Times New Roman" w:cs="Times New Roman" w:eastAsia="Times New Roman"/>
          <w:b w:val="0"/>
          <w:sz w:val="24"/>
        </w:rPr>
        <w:t>REGISTRO ANALITICO DEL CASO MORO, edizione ottava, l’Apporto Israeliano e la Consacrazione della Metodologia Norimaviv, primo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complessivo è la Metodologia Norimaviv di Luigi De Michele — si cerca alla maniera di Tel Aviv, si prova alla maniera di Norimberga — con tutti i suoi strati enumerati nell’atto di consacrazione, nessuno dei quali vincolante, tutti al servizio della ricerca. Incorpora verbatim l’edizione settima e, per suo tramite, le sei precedenti;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VENTITREESIMA — L’APPORTO FREUDIANO: IL METODO DELL’ARCHEOLOGO</w:t>
      </w:r>
    </w:p>
    <w:p>
      <w:pPr>
        <w:spacing w:line="276" w:lineRule="auto" w:after="80" w:before="200"/>
        <w:ind w:firstLine="0"/>
        <w:jc w:val="both"/>
      </w:pPr>
      <w:r>
        <w:rPr>
          <w:rFonts w:ascii="Times New Roman" w:hAnsi="Times New Roman" w:cs="Times New Roman" w:eastAsia="Times New Roman"/>
          <w:b/>
          <w:sz w:val="24"/>
        </w:rPr>
        <w:t>Saxa loquuntur: le pietre parlano</w:t>
      </w:r>
    </w:p>
    <w:p>
      <w:pPr>
        <w:spacing w:line="276" w:lineRule="auto" w:after="60" w:before="0"/>
        <w:ind w:firstLine="425"/>
        <w:jc w:val="both"/>
      </w:pPr>
      <w:r>
        <w:rPr>
          <w:rFonts w:ascii="Times New Roman" w:hAnsi="Times New Roman" w:cs="Times New Roman" w:eastAsia="Times New Roman"/>
          <w:b w:val="0"/>
          <w:sz w:val="24"/>
        </w:rPr>
        <w:t xml:space="preserve">Il metodo dell’archeologo attraversa l’opera di Freud dal principio alla fine — dagli Studi sull’isteria del milleottocentonovantacinque, dove il lavoro clinico è descritto come lo sgombero, strato per strato, del materiale patogeno, paragonato alla tecnica di scavo di una città sepolta, fino a Costruzioni in analisi del millenovecentotrentasette, l’ultimo dei suoi grandi scritti tecnici. Il testo fondativo è però l’Etiologia dell’isteria del milleottocentonovantasei, dove Freud disegna la scena che il Registro assume come propria: l’esploratore che giunge in una regione di rovine, porta con sé picconi e vanghe, mette al lavoro gli abitanti, sgombra le macerie e, partendo dai resti visibili, disseppellisce ciò che è sepolto — finché i muri diroccati si rivelano bastioni di un palazzo o di una casa del tesoro, e le numerose iscrizioni, per fortuna bilingui, una volta decifrate e tradotte, consegnano informazioni insperate sugli eventi del passato remoto. E Freud sigilla la scena con la formula latina che il Registro fa propria: </w:t>
      </w:r>
      <w:r>
        <w:rPr>
          <w:rFonts w:ascii="Times New Roman" w:hAnsi="Times New Roman" w:cs="Times New Roman" w:eastAsia="Times New Roman"/>
          <w:b/>
          <w:sz w:val="24"/>
        </w:rPr>
        <w:t>saxa loquuntur</w:t>
      </w:r>
      <w:r>
        <w:rPr>
          <w:rFonts w:ascii="Times New Roman" w:hAnsi="Times New Roman" w:cs="Times New Roman" w:eastAsia="Times New Roman"/>
          <w:b w:val="0"/>
          <w:sz w:val="24"/>
        </w:rPr>
        <w:t xml:space="preserve"> — le pietre parlano. Come le rovine testimoniano la storia della città, così i sintomi vanno indotti a farsi ascoltare come testimoni della storia dell’origine. La traduzione per il Registro è immediata: il corpus è la regione di rovine; le fonti sono le pietre; e le pietre parlano — a condizione che qualcuno sappia scavare senza distruggere, decifrare senza inventare, e distinguere il bastione dalla maceria. Freud stesso, va aggiunto per onestà di fonte, non praticò l’archeologia da lontano: la coltivò da collezionista e da lettore — scrisse a Stefan Zweig di aver letto più archeologia che psicologia — e la nutrì del carteggio con l’archeologo Emanuel Löwy, amico di gioventù, i cui reperti confluivano nei suoi modelli. Il metodo dell’archeologo non è in lui un ornamento retorico: è la matrice tecnica del mestiere.</w:t>
      </w:r>
    </w:p>
    <w:p>
      <w:pPr>
        <w:spacing w:line="276" w:lineRule="auto" w:after="60" w:before="0"/>
        <w:ind w:firstLine="425"/>
        <w:jc w:val="both"/>
      </w:pPr>
      <w:r>
        <w:rPr>
          <w:rFonts w:ascii="Times New Roman" w:hAnsi="Times New Roman" w:cs="Times New Roman" w:eastAsia="Times New Roman"/>
          <w:b w:val="0"/>
          <w:sz w:val="24"/>
        </w:rPr>
        <w:t xml:space="preserve">Alla scena del milleottocentonovantasei si affianca la lettera a Wilhelm Fliess del sei dicembre dello stesso anno, che il Registro eleva a principio: il meccanismo psichico si è formato per </w:t>
      </w:r>
      <w:r>
        <w:rPr>
          <w:rFonts w:ascii="Times New Roman" w:hAnsi="Times New Roman" w:cs="Times New Roman" w:eastAsia="Times New Roman"/>
          <w:b/>
          <w:sz w:val="24"/>
        </w:rPr>
        <w:t>stratificazione</w:t>
      </w:r>
      <w:r>
        <w:rPr>
          <w:rFonts w:ascii="Times New Roman" w:hAnsi="Times New Roman" w:cs="Times New Roman" w:eastAsia="Times New Roman"/>
          <w:b w:val="0"/>
          <w:sz w:val="24"/>
        </w:rPr>
        <w:t xml:space="preserve"> — il materiale presente sotto forma di tracce è sottoposto, di tempo in tempo, a un </w:t>
      </w:r>
      <w:r>
        <w:rPr>
          <w:rFonts w:ascii="Times New Roman" w:hAnsi="Times New Roman" w:cs="Times New Roman" w:eastAsia="Times New Roman"/>
          <w:b/>
          <w:sz w:val="24"/>
        </w:rPr>
        <w:t>riordinamento</w:t>
      </w:r>
      <w:r>
        <w:rPr>
          <w:rFonts w:ascii="Times New Roman" w:hAnsi="Times New Roman" w:cs="Times New Roman" w:eastAsia="Times New Roman"/>
          <w:b w:val="0"/>
          <w:sz w:val="24"/>
        </w:rPr>
        <w:t xml:space="preserve"> secondo nuovi nessi, a una ritrascrizione. Per il Registro la lezione è doppia. Primo: il corpus è stratificato, e l’ordine della scoperta è inverso all’ordine della deposizione — il materiale più originario è il più profondamente sepolto, e ciò che affiora per primo è quasi sempre il più tardo: la vulgata sopra la cronaca, la cronaca sopra l’atto, l’atto sopra il fatto. Secondo, e più insidioso: le tracce vengono </w:t>
      </w:r>
      <w:r>
        <w:rPr>
          <w:rFonts w:ascii="Times New Roman" w:hAnsi="Times New Roman" w:cs="Times New Roman" w:eastAsia="Times New Roman"/>
          <w:b/>
          <w:sz w:val="24"/>
        </w:rPr>
        <w:t>ritrascritte</w:t>
      </w:r>
      <w:r>
        <w:rPr>
          <w:rFonts w:ascii="Times New Roman" w:hAnsi="Times New Roman" w:cs="Times New Roman" w:eastAsia="Times New Roman"/>
          <w:b w:val="0"/>
          <w:sz w:val="24"/>
        </w:rPr>
        <w:t xml:space="preserve"> — ogni commissione che rilegge gli atti della precedente, ogni memoria che rievoca a distanza di decenni, ogni voce compilativa che livella, è una ritrascrizione che riordina il materiale secondo i nessi del proprio tempo. Il Registro, che già distingue il coevo dal tardivo, riceve qui il fondamento generale della distinzione: ogni fonte va datata non solo per ciò che dice, ma per lo strato da cui parla; e la trappola dei due organigrammi, iscritta nelle prime edizioni, si rivela il caso particolare di una legge universale della stratigrafia documentale.</w:t>
      </w:r>
    </w:p>
    <w:p>
      <w:pPr>
        <w:spacing w:line="276" w:lineRule="auto" w:after="80" w:before="200"/>
        <w:ind w:firstLine="0"/>
        <w:jc w:val="both"/>
      </w:pPr>
      <w:r>
        <w:rPr>
          <w:rFonts w:ascii="Times New Roman" w:hAnsi="Times New Roman" w:cs="Times New Roman" w:eastAsia="Times New Roman"/>
          <w:b/>
          <w:sz w:val="24"/>
        </w:rPr>
        <w:t>Gradiva: la rimozione che conserva</w:t>
      </w:r>
    </w:p>
    <w:p>
      <w:pPr>
        <w:spacing w:line="276" w:lineRule="auto" w:after="60" w:before="0"/>
        <w:ind w:firstLine="425"/>
        <w:jc w:val="both"/>
      </w:pPr>
      <w:r>
        <w:rPr>
          <w:rFonts w:ascii="Times New Roman" w:hAnsi="Times New Roman" w:cs="Times New Roman" w:eastAsia="Times New Roman"/>
          <w:b w:val="0"/>
          <w:sz w:val="24"/>
        </w:rPr>
        <w:t xml:space="preserve">Nel saggio sulla Gradiva di Jensen, del millenovecentosette, Freud consegna la proposizione che il Registro scolpisce come la più preziosa dell’intero apporto: non c’è migliore analogia per la rimozione — per la quale qualcosa nella mente è reso </w:t>
      </w:r>
      <w:r>
        <w:rPr>
          <w:rFonts w:ascii="Times New Roman" w:hAnsi="Times New Roman" w:cs="Times New Roman" w:eastAsia="Times New Roman"/>
          <w:b/>
          <w:sz w:val="24"/>
        </w:rPr>
        <w:t>al tempo stesso inaccessibile e preservato</w:t>
      </w:r>
      <w:r>
        <w:rPr>
          <w:rFonts w:ascii="Times New Roman" w:hAnsi="Times New Roman" w:cs="Times New Roman" w:eastAsia="Times New Roman"/>
          <w:b w:val="0"/>
          <w:sz w:val="24"/>
        </w:rPr>
        <w:t xml:space="preserve"> — del seppellimento cui Pompei cadde vittima e dal quale poté riemergere per opera delle vanghe. La cenere che seppellisce è la stessa che conserva: ciò che fu sottratto alla vista fu, per ciò stesso, sottratto alla consunzione. Tradotta nell’ordine documentale, la proposizione rovescia un’intuizione ingenua: si è portati a credere che il segreto distrugga la conoscenza; la lezione di Pompei insegna che il segreto, spesso, la </w:t>
      </w:r>
      <w:r>
        <w:rPr>
          <w:rFonts w:ascii="Times New Roman" w:hAnsi="Times New Roman" w:cs="Times New Roman" w:eastAsia="Times New Roman"/>
          <w:b/>
          <w:sz w:val="24"/>
        </w:rPr>
        <w:t>conserva</w:t>
      </w:r>
      <w:r>
        <w:rPr>
          <w:rFonts w:ascii="Times New Roman" w:hAnsi="Times New Roman" w:cs="Times New Roman" w:eastAsia="Times New Roman"/>
          <w:b w:val="0"/>
          <w:sz w:val="24"/>
        </w:rPr>
        <w:t xml:space="preserve"> — il fascicolo secretato non circola, non si logora, non viene riscritto dalle vulgate, e quando la vanga della desecretazione lo raggiunge, esso riemerge più intatto di ciò che rimase esposto per cinquant’anni al riordinamento delle ritrascrizioni. Il documento della fonte di Beirut, giaciuto sotto la cenere degli archivi per trentotto anni e riemerso con la propria datazione e il proprio telegrafese intatti, è il Pompei del corpus. Il Registro ne trae la regola della vanga: le lacune coperte da segreto non sono perdite accertate — sono conservazioni potenziali, e il lavoro su di esse non è rimpianto ma scavo. E Jensen offre a Freud un secondo dono, che il Registro annota: il protagonista della novella usa l’archeologia come rifugio dalla propria memoria, e la memoria ritorna proprio attraverso l’oggetto archeologico — il rimosso si serve dello strumento stesso della rimozione per tornare. Nell’ordine del caso: gli strumenti costruiti per coprire — le commissioni depotenziate, i periti di parte, i comunicati falsi — diventano, a distanza, i veicoli attraverso cui la copertura si lascia leggere; chi studia il depistaggio studia, per via rovesciata, il depistato.</w:t>
      </w:r>
    </w:p>
    <w:p>
      <w:pPr>
        <w:spacing w:line="276" w:lineRule="auto" w:after="80" w:before="200"/>
        <w:ind w:firstLine="0"/>
        <w:jc w:val="both"/>
      </w:pPr>
      <w:r>
        <w:rPr>
          <w:rFonts w:ascii="Times New Roman" w:hAnsi="Times New Roman" w:cs="Times New Roman" w:eastAsia="Times New Roman"/>
          <w:b/>
          <w:sz w:val="24"/>
        </w:rPr>
        <w:t>Roma: la compresenza degli strati e l’autocritica di Freud</w:t>
      </w:r>
    </w:p>
    <w:p>
      <w:pPr>
        <w:spacing w:line="276" w:lineRule="auto" w:after="60" w:before="0"/>
        <w:ind w:firstLine="425"/>
        <w:jc w:val="both"/>
      </w:pPr>
      <w:r>
        <w:rPr>
          <w:rFonts w:ascii="Times New Roman" w:hAnsi="Times New Roman" w:cs="Times New Roman" w:eastAsia="Times New Roman"/>
          <w:b w:val="0"/>
          <w:sz w:val="24"/>
        </w:rPr>
        <w:t xml:space="preserve">Nel Disagio della civiltà, del millenovecentotrenta, Freud propone l’immagine più vertiginosa: poiché nella vita psichica </w:t>
      </w:r>
      <w:r>
        <w:rPr>
          <w:rFonts w:ascii="Times New Roman" w:hAnsi="Times New Roman" w:cs="Times New Roman" w:eastAsia="Times New Roman"/>
          <w:b/>
          <w:sz w:val="24"/>
        </w:rPr>
        <w:t>nulla di ciò che una volta si è formato può perire</w:t>
      </w:r>
      <w:r>
        <w:rPr>
          <w:rFonts w:ascii="Times New Roman" w:hAnsi="Times New Roman" w:cs="Times New Roman" w:eastAsia="Times New Roman"/>
          <w:b w:val="0"/>
          <w:sz w:val="24"/>
        </w:rPr>
        <w:t xml:space="preserve"> — tutto è in qualche modo conservato e può, in circostanze favorevoli, essere riportato alla luce — si immagini Roma non come abitato umano ma come entità psichica, in cui tutte le fasi anteriori continuano a esistere accanto all’ultima: i palazzi dei Cesari ancora eretti sul Palatino accanto agli edifici moderni, e sul sito di un palazzo rinascimentale, senza che questo debba essere rimosso, il tempio di Giove Capitolino in tutte le proprie forme successive. Per il corpus l’immagine è esatta: nel Registro tutte le stagioni del caso </w:t>
      </w:r>
      <w:r>
        <w:rPr>
          <w:rFonts w:ascii="Times New Roman" w:hAnsi="Times New Roman" w:cs="Times New Roman" w:eastAsia="Times New Roman"/>
          <w:b/>
          <w:sz w:val="24"/>
        </w:rPr>
        <w:t>coesistono</w:t>
      </w:r>
      <w:r>
        <w:rPr>
          <w:rFonts w:ascii="Times New Roman" w:hAnsi="Times New Roman" w:cs="Times New Roman" w:eastAsia="Times New Roman"/>
          <w:b w:val="0"/>
          <w:sz w:val="24"/>
        </w:rPr>
        <w:t xml:space="preserve"> — le carte del millenovecentosettantotto accanto alle commissioni degli anni Ottanta e Novanta accanto agli atti del nuovo secolo — e la stratigrafia documentale non è una successione in cui il dopo cancella il prima, ma una compresenza in cui ogni strato resta interrogabile accanto agli altri: il principio di cumulatività preservativa dell’opera, che ogni edizione contiene verbatim le precedenti, è la Roma freudiana fatta protocollo. Ma Freud, con l’onestà che il Registro gli riconosce come il suo tratto più imitabile, demolisce da sé la propria immagine: la città, ammette, è a priori inadatta al paragone, perché nella storia di ogni città le demolizioni e le sostituzioni sono reali, mentre solo nella mente tutti gli stadi possono conservarsi accanto alla forma finale; e persino per la mente arretra a una formula prudente — il passato </w:t>
      </w:r>
      <w:r>
        <w:rPr>
          <w:rFonts w:ascii="Times New Roman" w:hAnsi="Times New Roman" w:cs="Times New Roman" w:eastAsia="Times New Roman"/>
          <w:b/>
          <w:sz w:val="24"/>
        </w:rPr>
        <w:t>può</w:t>
      </w:r>
      <w:r>
        <w:rPr>
          <w:rFonts w:ascii="Times New Roman" w:hAnsi="Times New Roman" w:cs="Times New Roman" w:eastAsia="Times New Roman"/>
          <w:b w:val="0"/>
          <w:sz w:val="24"/>
        </w:rPr>
        <w:t xml:space="preserve"> essere conservato, non è necessariamente distrutto, e la conservazione dipende da condizioni favorevoli e da un organo rimasto intatto. Il Registro assume l’autocritica con la stessa serietà dell’immagine: l’archivio non è la mente — nell’archivio la distruzione è reale, i fascicoli bruciano, le bobine si smagnetizzano, i testimoni muoiono — e dunque la compresenza degli strati non è una garanzia ma una </w:t>
      </w:r>
      <w:r>
        <w:rPr>
          <w:rFonts w:ascii="Times New Roman" w:hAnsi="Times New Roman" w:cs="Times New Roman" w:eastAsia="Times New Roman"/>
          <w:b/>
          <w:sz w:val="24"/>
        </w:rPr>
        <w:t>conquista</w:t>
      </w:r>
      <w:r>
        <w:rPr>
          <w:rFonts w:ascii="Times New Roman" w:hAnsi="Times New Roman" w:cs="Times New Roman" w:eastAsia="Times New Roman"/>
          <w:b w:val="0"/>
          <w:sz w:val="24"/>
        </w:rPr>
        <w:t>, che vale solo per ciò che la cura d’archivio ha effettivamente preservato. Da qui la posizione esatta del Registro fra le due figure freudiane, che Costruzioni in analisi permette ora di formulare.</w:t>
      </w:r>
    </w:p>
    <w:p>
      <w:pPr>
        <w:spacing w:line="276" w:lineRule="auto" w:after="80" w:before="200"/>
        <w:ind w:firstLine="0"/>
        <w:jc w:val="both"/>
      </w:pPr>
      <w:r>
        <w:rPr>
          <w:rFonts w:ascii="Times New Roman" w:hAnsi="Times New Roman" w:cs="Times New Roman" w:eastAsia="Times New Roman"/>
          <w:b/>
          <w:sz w:val="24"/>
        </w:rPr>
        <w:t>Costruzioni in analisi: interpretazione, costruzione, e il criterio della fecondità</w:t>
      </w:r>
    </w:p>
    <w:p>
      <w:pPr>
        <w:spacing w:line="276" w:lineRule="auto" w:after="60" w:before="0"/>
        <w:ind w:firstLine="425"/>
        <w:jc w:val="both"/>
      </w:pPr>
      <w:r>
        <w:rPr>
          <w:rFonts w:ascii="Times New Roman" w:hAnsi="Times New Roman" w:cs="Times New Roman" w:eastAsia="Times New Roman"/>
          <w:b w:val="0"/>
          <w:sz w:val="24"/>
        </w:rPr>
        <w:t xml:space="preserve">Nel saggio del millenovecentotrentasette Freud definisce il compito che il Registro riconosce come il proprio: ricavare ciò che è stato dimenticato dalle tracce che ha lasciato dietro di sé — o, più correttamente, </w:t>
      </w:r>
      <w:r>
        <w:rPr>
          <w:rFonts w:ascii="Times New Roman" w:hAnsi="Times New Roman" w:cs="Times New Roman" w:eastAsia="Times New Roman"/>
          <w:b/>
          <w:sz w:val="24"/>
        </w:rPr>
        <w:t>costruirlo</w:t>
      </w:r>
      <w:r>
        <w:rPr>
          <w:rFonts w:ascii="Times New Roman" w:hAnsi="Times New Roman" w:cs="Times New Roman" w:eastAsia="Times New Roman"/>
          <w:b w:val="0"/>
          <w:sz w:val="24"/>
        </w:rPr>
        <w:t xml:space="preserve">. Il lavoro di costruzione, o se si preferisce di ricostruzione, somiglia in larga misura allo scavo che l’archeologo compie di una dimora distrutta e sepolta o di un antico edificio: l’analista, come l’archeologo, trae le proprie inferenze dai frammenti — di memorie, di associazioni, di condotte. Ma Freud traccia anche le dis-analogie, e sono queste a fissare la posizione del Registro. L’analista, scrive, lavora in condizioni migliori dell’archeologo, perché ciò con cui ha a che fare non è qualcosa di distrutto ma qualcosa di </w:t>
      </w:r>
      <w:r>
        <w:rPr>
          <w:rFonts w:ascii="Times New Roman" w:hAnsi="Times New Roman" w:cs="Times New Roman" w:eastAsia="Times New Roman"/>
          <w:b/>
          <w:sz w:val="24"/>
        </w:rPr>
        <w:t>ancora vivo</w:t>
      </w:r>
      <w:r>
        <w:rPr>
          <w:rFonts w:ascii="Times New Roman" w:hAnsi="Times New Roman" w:cs="Times New Roman" w:eastAsia="Times New Roman"/>
          <w:b w:val="0"/>
          <w:sz w:val="24"/>
        </w:rPr>
        <w:t xml:space="preserve">; e per l’archeologo la ricostruzione è il fine e il termine dello sforzo, mentre per l’analisi la costruzione è soltanto un lavoro preliminare. Il Registro sta esattamente </w:t>
      </w:r>
      <w:r>
        <w:rPr>
          <w:rFonts w:ascii="Times New Roman" w:hAnsi="Times New Roman" w:cs="Times New Roman" w:eastAsia="Times New Roman"/>
          <w:b/>
          <w:sz w:val="24"/>
        </w:rPr>
        <w:t>fra</w:t>
      </w:r>
      <w:r>
        <w:rPr>
          <w:rFonts w:ascii="Times New Roman" w:hAnsi="Times New Roman" w:cs="Times New Roman" w:eastAsia="Times New Roman"/>
          <w:b w:val="0"/>
          <w:sz w:val="24"/>
        </w:rPr>
        <w:t xml:space="preserve"> le due figure: come l’archeologo, lavora su materia in parte realmente distrutta — e in questo è più povero dell’analista freudiano; ma come l’analista, dispone anche di materia ancora viva — i testimoni superstiti, gli archivi non ancora aperti, le anagrafi, le carte che attendono la vanga — e in questo è più ricco dell’archeologo puro. La sua condizione è mista, e la sua regola ne discende: trattare il distrutto con la disciplina dell’archeologo, il vivo con la prudenza dell’analista, e non confondere mai i due regimi.</w:t>
      </w:r>
    </w:p>
    <w:p>
      <w:pPr>
        <w:spacing w:line="276" w:lineRule="auto" w:after="60" w:before="0"/>
        <w:ind w:firstLine="425"/>
        <w:jc w:val="both"/>
      </w:pPr>
      <w:r>
        <w:rPr>
          <w:rFonts w:ascii="Times New Roman" w:hAnsi="Times New Roman" w:cs="Times New Roman" w:eastAsia="Times New Roman"/>
          <w:b w:val="0"/>
          <w:sz w:val="24"/>
        </w:rPr>
        <w:t xml:space="preserve">Dal medesimo saggio il Registro assume due strumenti tecnici. Il primo è la distinzione fra </w:t>
      </w:r>
      <w:r>
        <w:rPr>
          <w:rFonts w:ascii="Times New Roman" w:hAnsi="Times New Roman" w:cs="Times New Roman" w:eastAsia="Times New Roman"/>
          <w:b/>
          <w:sz w:val="24"/>
        </w:rPr>
        <w:t>interpretazione</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costruzione</w:t>
      </w:r>
      <w:r>
        <w:rPr>
          <w:rFonts w:ascii="Times New Roman" w:hAnsi="Times New Roman" w:cs="Times New Roman" w:eastAsia="Times New Roman"/>
          <w:b w:val="0"/>
          <w:sz w:val="24"/>
        </w:rPr>
        <w:t xml:space="preserve">: l’interpretazione riguarda un singolo elemento — un lapsus, un’associazione, un dettaglio; la costruzione presenta un intero pezzo di storia dimenticata. Nell’ordine del Registro: l’interpretazione è la lettura di una singola traccia — un’adiacenza, una data, una firma; la costruzione è un’ipotesi di scenario — un canale, una convergenza, una filiera. Le due operazioni hanno regimi diversi: le interpretazioni si verificano una per una contro la fonte; le costruzioni si sottopongono al secondo strumento, che è il più fine dell’intero apporto. Freud, rispondendo all’accusa — che sarebbe poi divenuta popperiana — di infalsificabilità, riconosce che né il Sì né il No di chi riceve una costruzione provano alcunché: il Sì può essere di comodo, persino ipocrita, utile alla resistenza per prolungare l’occultamento; il No è ancora più ambiguo. La convalida, se giunge, giunge solo </w:t>
      </w:r>
      <w:r>
        <w:rPr>
          <w:rFonts w:ascii="Times New Roman" w:hAnsi="Times New Roman" w:cs="Times New Roman" w:eastAsia="Times New Roman"/>
          <w:b/>
          <w:sz w:val="24"/>
        </w:rPr>
        <w:t>indirettamente</w:t>
      </w:r>
      <w:r>
        <w:rPr>
          <w:rFonts w:ascii="Times New Roman" w:hAnsi="Times New Roman" w:cs="Times New Roman" w:eastAsia="Times New Roman"/>
          <w:b w:val="0"/>
          <w:sz w:val="24"/>
        </w:rPr>
        <w:t xml:space="preserve">: dalla fecondità — dalle associazioni nuove, dai ricordi che completano ed estendono la costruzione, dal materiale che essa fa emergere. Solo quando il Sì è seguito da conferme indirette di questo genere, scrive Freud, esso ha davvero chiuso la questione. Il Registro eleva questo a </w:t>
      </w:r>
      <w:r>
        <w:rPr>
          <w:rFonts w:ascii="Times New Roman" w:hAnsi="Times New Roman" w:cs="Times New Roman" w:eastAsia="Times New Roman"/>
          <w:b/>
          <w:sz w:val="24"/>
        </w:rPr>
        <w:t>criterio della fecondità</w:t>
      </w:r>
      <w:r>
        <w:rPr>
          <w:rFonts w:ascii="Times New Roman" w:hAnsi="Times New Roman" w:cs="Times New Roman" w:eastAsia="Times New Roman"/>
          <w:b w:val="0"/>
          <w:sz w:val="24"/>
        </w:rPr>
        <w:t>, e lo colloca accanto ai propri criteri di scioglimento: una costruzione investigativa non si giudica dagli assensi che raccoglie né dai dinieghi che incontra — si giudica dal materiale nuovo che genera. La costruzione che, formulata, conduce a un atto d’archivio prima ignorato, a un registro non ancora consultato, a una convergenza non cercata, è produttiva e resta in lavorazione; la costruzione che genera soltanto altre riformulazioni di sé stessa è sterile, e la sterilità prolungata è, nel Registro, un motivo di accantonamento — non di scioglimento in favore, mai. E con Freud il Registro annota anche il limite opposto: il pericolo di fuorviare per suggestione, egli scrive, è stato enormemente esagerato — l’analista dovrebbe comportarsi assai scorrettamente perché una tale disgrazia accada, e soprattutto dovrebbe non lasciar parlare il proprio paziente. La traduzione è un’avvertenza contro l’eccesso di scrupolo: il Registro non rinuncia a costruire per timore di suggestionare le fonti — le fonti sono carte, non pazienti — ma osserva la regola equivalente: lasciar sempre parlare il corpus per intero, mai selezionare le sole pietre che rispondono.</w:t>
      </w:r>
    </w:p>
    <w:p>
      <w:pPr>
        <w:spacing w:line="276" w:lineRule="auto" w:after="80" w:before="200"/>
        <w:ind w:firstLine="0"/>
        <w:jc w:val="both"/>
      </w:pPr>
      <w:r>
        <w:rPr>
          <w:rFonts w:ascii="Times New Roman" w:hAnsi="Times New Roman" w:cs="Times New Roman" w:eastAsia="Times New Roman"/>
          <w:b/>
          <w:sz w:val="24"/>
        </w:rPr>
        <w:t>L’attenzione fluttuante e la grammatica della deformazione</w:t>
      </w:r>
    </w:p>
    <w:p>
      <w:pPr>
        <w:spacing w:line="276" w:lineRule="auto" w:after="60" w:before="0"/>
        <w:ind w:firstLine="425"/>
        <w:jc w:val="both"/>
      </w:pPr>
      <w:r>
        <w:rPr>
          <w:rFonts w:ascii="Times New Roman" w:hAnsi="Times New Roman" w:cs="Times New Roman" w:eastAsia="Times New Roman"/>
          <w:b w:val="0"/>
          <w:sz w:val="24"/>
        </w:rPr>
        <w:t>Alla tecnica dell’ascolto Freud dedica, nei Consigli al medico del millenovecentododici, la prescrizione dell’</w:t>
      </w:r>
      <w:r>
        <w:rPr>
          <w:rFonts w:ascii="Times New Roman" w:hAnsi="Times New Roman" w:cs="Times New Roman" w:eastAsia="Times New Roman"/>
          <w:b/>
          <w:sz w:val="24"/>
        </w:rPr>
        <w:t>attenzione uniformemente sospesa</w:t>
      </w:r>
      <w:r>
        <w:rPr>
          <w:rFonts w:ascii="Times New Roman" w:hAnsi="Times New Roman" w:cs="Times New Roman" w:eastAsia="Times New Roman"/>
          <w:b w:val="0"/>
          <w:sz w:val="24"/>
        </w:rPr>
        <w:t xml:space="preserve">: l’analista non deve dirigere l’attenzione su nulla in particolare, non deve selezionare secondo le proprie inclinazioni o aspettative, perché ogni selezione preventiva trova soltanto ciò che già sa e perde ciò che soltanto dopo si rivelerà essenziale; e già nell’Interpretazione dei sogni aveva stabilito la regola gemella: la continuità apparente del racconto è </w:t>
      </w:r>
      <w:r>
        <w:rPr>
          <w:rFonts w:ascii="Times New Roman" w:hAnsi="Times New Roman" w:cs="Times New Roman" w:eastAsia="Times New Roman"/>
          <w:b/>
          <w:sz w:val="24"/>
        </w:rPr>
        <w:t>di origine sospetta</w:t>
      </w:r>
      <w:r>
        <w:rPr>
          <w:rFonts w:ascii="Times New Roman" w:hAnsi="Times New Roman" w:cs="Times New Roman" w:eastAsia="Times New Roman"/>
          <w:b w:val="0"/>
          <w:sz w:val="24"/>
        </w:rPr>
        <w:t xml:space="preserve"> — è opera della revisione secondaria, che cuce i frammenti in una storia presentabile — e l’interprete deve deliberatamente ignorarla per tornare al materiale. Il Registro riconosce in queste due prescrizioni il fondamento tecnico di ciò che già pratica per istinto di metodo: il censimento integrale contro la selezione — l’attenzione fluttuante è l’anti cherry-picking fatto disciplina d’ascolto — e la diffidenza verso le narrazioni lisce: quando una fonte tarda racconta il caso come una storia senza cuciture, la levigatezza stessa è il segno della revisione secondaria, e il lavoro consiste nel disfare la cucitura per ritrovare i frammenti sotto il filo.</w:t>
      </w:r>
    </w:p>
    <w:p>
      <w:pPr>
        <w:spacing w:line="276" w:lineRule="auto" w:after="60" w:before="0"/>
        <w:ind w:firstLine="425"/>
        <w:jc w:val="both"/>
      </w:pPr>
      <w:r>
        <w:rPr>
          <w:rFonts w:ascii="Times New Roman" w:hAnsi="Times New Roman" w:cs="Times New Roman" w:eastAsia="Times New Roman"/>
          <w:b w:val="0"/>
          <w:sz w:val="24"/>
        </w:rPr>
        <w:t xml:space="preserve">Dal lavoro del sogno il Registro trae infine una </w:t>
      </w:r>
      <w:r>
        <w:rPr>
          <w:rFonts w:ascii="Times New Roman" w:hAnsi="Times New Roman" w:cs="Times New Roman" w:eastAsia="Times New Roman"/>
          <w:b/>
          <w:sz w:val="24"/>
        </w:rPr>
        <w:t>grammatica della deformazione</w:t>
      </w:r>
      <w:r>
        <w:rPr>
          <w:rFonts w:ascii="Times New Roman" w:hAnsi="Times New Roman" w:cs="Times New Roman" w:eastAsia="Times New Roman"/>
          <w:b w:val="0"/>
          <w:sz w:val="24"/>
        </w:rPr>
        <w:t xml:space="preserve">, con la cautela che la clausola prima impone: non per leggere le menti, ma per leggere i documenti costruiti per ingannare. Freud identifica i meccanismi con cui il materiale latente diventa racconto manifesto: la </w:t>
      </w:r>
      <w:r>
        <w:rPr>
          <w:rFonts w:ascii="Times New Roman" w:hAnsi="Times New Roman" w:cs="Times New Roman" w:eastAsia="Times New Roman"/>
          <w:b/>
          <w:sz w:val="24"/>
        </w:rPr>
        <w:t>condensazione</w:t>
      </w:r>
      <w:r>
        <w:rPr>
          <w:rFonts w:ascii="Times New Roman" w:hAnsi="Times New Roman" w:cs="Times New Roman" w:eastAsia="Times New Roman"/>
          <w:b w:val="0"/>
          <w:sz w:val="24"/>
        </w:rPr>
        <w:t xml:space="preserve"> — il sogno è breve, povero e laconico rispetto alla ricchezza dei pensieri che lo alimentano, e le sue figure sono composite: somigliano ad A, vestono come B, agiscono come C, e tuttavia sono D; lo </w:t>
      </w:r>
      <w:r>
        <w:rPr>
          <w:rFonts w:ascii="Times New Roman" w:hAnsi="Times New Roman" w:cs="Times New Roman" w:eastAsia="Times New Roman"/>
          <w:b/>
          <w:sz w:val="24"/>
        </w:rPr>
        <w:t>spostamento</w:t>
      </w:r>
      <w:r>
        <w:rPr>
          <w:rFonts w:ascii="Times New Roman" w:hAnsi="Times New Roman" w:cs="Times New Roman" w:eastAsia="Times New Roman"/>
          <w:b w:val="0"/>
          <w:sz w:val="24"/>
        </w:rPr>
        <w:t xml:space="preserve"> — la carica si trasferisce dall’elemento importante a uno marginale, cosicché il centro del racconto manifesto non è il centro del contenuto latente; la revisione secondaria, già detta, che ricuce. Ora, il documento depistante opera esattamente con questa grammatica: </w:t>
      </w:r>
      <w:r>
        <w:rPr>
          <w:rFonts w:ascii="Times New Roman" w:hAnsi="Times New Roman" w:cs="Times New Roman" w:eastAsia="Times New Roman"/>
          <w:b/>
          <w:sz w:val="24"/>
        </w:rPr>
        <w:t>condensa</w:t>
      </w:r>
      <w:r>
        <w:rPr>
          <w:rFonts w:ascii="Times New Roman" w:hAnsi="Times New Roman" w:cs="Times New Roman" w:eastAsia="Times New Roman"/>
          <w:b w:val="0"/>
          <w:sz w:val="24"/>
        </w:rPr>
        <w:t xml:space="preserve"> — mescola in un solo testo elementi veri ed elementi falsi, cosicché la verifica di una parte accrediti il tutto; </w:t>
      </w:r>
      <w:r>
        <w:rPr>
          <w:rFonts w:ascii="Times New Roman" w:hAnsi="Times New Roman" w:cs="Times New Roman" w:eastAsia="Times New Roman"/>
          <w:b/>
          <w:sz w:val="24"/>
        </w:rPr>
        <w:t>sposta</w:t>
      </w:r>
      <w:r>
        <w:rPr>
          <w:rFonts w:ascii="Times New Roman" w:hAnsi="Times New Roman" w:cs="Times New Roman" w:eastAsia="Times New Roman"/>
          <w:b w:val="0"/>
          <w:sz w:val="24"/>
        </w:rPr>
        <w:t xml:space="preserve"> — dirige l’attenzione su un luogo adiacente al vero, abbastanza vicino da essere credibile, abbastanza lontano da essere sterile, come il falso comunicato che spostò per giorni le ricerche su un lago; e </w:t>
      </w:r>
      <w:r>
        <w:rPr>
          <w:rFonts w:ascii="Times New Roman" w:hAnsi="Times New Roman" w:cs="Times New Roman" w:eastAsia="Times New Roman"/>
          <w:b/>
          <w:sz w:val="24"/>
        </w:rPr>
        <w:t>ricuce</w:t>
      </w:r>
      <w:r>
        <w:rPr>
          <w:rFonts w:ascii="Times New Roman" w:hAnsi="Times New Roman" w:cs="Times New Roman" w:eastAsia="Times New Roman"/>
          <w:b w:val="0"/>
          <w:sz w:val="24"/>
        </w:rPr>
        <w:t xml:space="preserve"> — presenta una superficie liscia dove il materiale autentico è frammentario. Il Registro istituisce perciò la lettura grammaticale dei documenti sospetti: davanti a un testo che si sospetta costruito, chiedere non soltanto che cosa afferma, ma quale operazione compie — che cosa condensa, da che cosa sposta, che cosa ricuce — perché la deformazione ha una sintassi, e la sintassi, a differenza del contenuto, è difficile da nascondere.</w:t>
      </w:r>
    </w:p>
    <w:p>
      <w:pPr>
        <w:spacing w:line="276" w:lineRule="auto" w:after="80" w:before="200"/>
        <w:ind w:firstLine="0"/>
        <w:jc w:val="both"/>
      </w:pPr>
      <w:r>
        <w:rPr>
          <w:rFonts w:ascii="Times New Roman" w:hAnsi="Times New Roman" w:cs="Times New Roman" w:eastAsia="Times New Roman"/>
          <w:b/>
          <w:sz w:val="24"/>
        </w:rPr>
        <w:t>Il monito di Schliemann e la disciplina dello scavo</w:t>
      </w:r>
    </w:p>
    <w:p>
      <w:pPr>
        <w:spacing w:line="276" w:lineRule="auto" w:after="60" w:before="0"/>
        <w:ind w:firstLine="425"/>
        <w:jc w:val="both"/>
      </w:pPr>
      <w:r>
        <w:rPr>
          <w:rFonts w:ascii="Times New Roman" w:hAnsi="Times New Roman" w:cs="Times New Roman" w:eastAsia="Times New Roman"/>
          <w:b w:val="0"/>
          <w:sz w:val="24"/>
        </w:rPr>
        <w:t xml:space="preserve">L’apporto archeologico si chiude con il suo controesempio, che sta al metodo dell’archeologo come l’operazione norvegese sta ai metodi della caccia: </w:t>
      </w:r>
      <w:r>
        <w:rPr>
          <w:rFonts w:ascii="Times New Roman" w:hAnsi="Times New Roman" w:cs="Times New Roman" w:eastAsia="Times New Roman"/>
          <w:b/>
          <w:sz w:val="24"/>
        </w:rPr>
        <w:t>il monito di Schliemann</w:t>
      </w:r>
      <w:r>
        <w:rPr>
          <w:rFonts w:ascii="Times New Roman" w:hAnsi="Times New Roman" w:cs="Times New Roman" w:eastAsia="Times New Roman"/>
          <w:b w:val="0"/>
          <w:sz w:val="24"/>
        </w:rPr>
        <w:t xml:space="preserve">. Lo scavatore di Troia, convinto che la città di Omero giacesse al fondo del tumulo, tagliò attraverso il centro della collina una trincea enorme, larga quaranta metri e profonda diciassette, arando gli strati senza registrazione — senza mappatura dei ritrovamenti, quasi senza descrizioni — e trattando come macerie tutto ciò che stava sopra il fondo. Così facendo distrusse in larga parte proprio gli strati che l’archeologia posteriore avrebbe identificato come la Troia della guerra — fu detto che completò l’opera dei Greci, radendo al suolo le mura che cercava — e attribuì al re omerico un tesoro anteriore di oltre un millennio, perché la presunzione sullo strato aveva deciso in anticipo la datazione del reperto. La lezione è tripla, e il Registro la scolpisce in tre regole. Regola della trincea: </w:t>
      </w:r>
      <w:r>
        <w:rPr>
          <w:rFonts w:ascii="Times New Roman" w:hAnsi="Times New Roman" w:cs="Times New Roman" w:eastAsia="Times New Roman"/>
          <w:b/>
          <w:sz w:val="24"/>
        </w:rPr>
        <w:t>lo scavo guidato da una tesi distrugge gli strati che la contraddicono</w:t>
      </w:r>
      <w:r>
        <w:rPr>
          <w:rFonts w:ascii="Times New Roman" w:hAnsi="Times New Roman" w:cs="Times New Roman" w:eastAsia="Times New Roman"/>
          <w:b w:val="0"/>
          <w:sz w:val="24"/>
        </w:rPr>
        <w:t xml:space="preserve"> — chi attraversa il corpus in linea retta verso la propria Troia ara, senza vederle, le evidenze intermedie; è il Pollo di Popper in versione archeologica, e la risposta è quella che la disciplina diede dopo Schliemann: lo scavo controllato per quadranti, con i testimoni di terra lasciati in piedi fra i settori perché la sequenza resti leggibile e verificabile — nel Registro, il censimento per anelli con le metriche dichiarate, che lascia sempre in piedi la parete contro cui misurare ogni prelievo. Regola del contesto: </w:t>
      </w:r>
      <w:r>
        <w:rPr>
          <w:rFonts w:ascii="Times New Roman" w:hAnsi="Times New Roman" w:cs="Times New Roman" w:eastAsia="Times New Roman"/>
          <w:b/>
          <w:sz w:val="24"/>
        </w:rPr>
        <w:t>un reperto senza strato non ha data</w:t>
      </w:r>
      <w:r>
        <w:rPr>
          <w:rFonts w:ascii="Times New Roman" w:hAnsi="Times New Roman" w:cs="Times New Roman" w:eastAsia="Times New Roman"/>
          <w:b w:val="0"/>
          <w:sz w:val="24"/>
        </w:rPr>
        <w:t xml:space="preserve"> — il tesoro attribuito per presunzione insegna che l’oggetto strappato al contesto perde il proprio valore probatorio; nel Registro, nessuna citazione senza fonte, data e strato di provenienza, che è la catena di custodia documentale già praticata e qui fondata. Regola dello strato di distruzione: l’archeologia matura insegna che gli strati di distruzione — gli incendi, i crolli — non si leggono come eventi isolati ma insieme alle fasi che li precedono e li seguono; nel Registro, le distruzioni documentali — i fascicoli spariti, le bobine cancellate, gli omissis — sono a loro volta </w:t>
      </w:r>
      <w:r>
        <w:rPr>
          <w:rFonts w:ascii="Times New Roman" w:hAnsi="Times New Roman" w:cs="Times New Roman" w:eastAsia="Times New Roman"/>
          <w:b/>
          <w:sz w:val="24"/>
        </w:rPr>
        <w:t>strati</w:t>
      </w:r>
      <w:r>
        <w:rPr>
          <w:rFonts w:ascii="Times New Roman" w:hAnsi="Times New Roman" w:cs="Times New Roman" w:eastAsia="Times New Roman"/>
          <w:b w:val="0"/>
          <w:sz w:val="24"/>
        </w:rPr>
        <w:t>, da datare e da leggere dentro la sequenza, perché anche la distruzione ha una stratigrafia, e chi distrusse lasciò, nel modo e nel momento del distruggere, una traccia di sé.</w:t>
      </w:r>
    </w:p>
    <w:p>
      <w:pPr>
        <w:spacing w:line="276" w:lineRule="auto" w:after="80" w:before="200"/>
        <w:ind w:firstLine="0"/>
        <w:jc w:val="both"/>
      </w:pPr>
      <w:r>
        <w:rPr>
          <w:rFonts w:ascii="Times New Roman" w:hAnsi="Times New Roman" w:cs="Times New Roman" w:eastAsia="Times New Roman"/>
          <w:b/>
          <w:sz w:val="24"/>
        </w:rPr>
        <w:t>PARTE VENTIQUATTRESIMA — LA RIMOZIONE DEL CASO E IL RITORNO DEL RIMOSSO</w:t>
      </w:r>
    </w:p>
    <w:p>
      <w:pPr>
        <w:spacing w:line="276" w:lineRule="auto" w:after="60" w:before="0"/>
        <w:ind w:firstLine="425"/>
        <w:jc w:val="both"/>
      </w:pPr>
      <w:r>
        <w:rPr>
          <w:rFonts w:ascii="Times New Roman" w:hAnsi="Times New Roman" w:cs="Times New Roman" w:eastAsia="Times New Roman"/>
          <w:b w:val="0"/>
          <w:sz w:val="24"/>
        </w:rPr>
        <w:t xml:space="preserve">La metapsicologia del millenovecentoquindici consegna al Registro il modello economico che la Parte presente traduce in chiave documentale, sotto stretta osservanza della clausola di non psicologizzazione: ciò che segue descrive il sistema documentale del caso, non la psiche di alcuno. Freud stabilisce che la rimozione non è un atto compiuto una volta per tutte ma un </w:t>
      </w:r>
      <w:r>
        <w:rPr>
          <w:rFonts w:ascii="Times New Roman" w:hAnsi="Times New Roman" w:cs="Times New Roman" w:eastAsia="Times New Roman"/>
          <w:b/>
          <w:sz w:val="24"/>
        </w:rPr>
        <w:t>processo che esige un dispendio ininterrotto di forza</w:t>
      </w:r>
      <w:r>
        <w:rPr>
          <w:rFonts w:ascii="Times New Roman" w:hAnsi="Times New Roman" w:cs="Times New Roman" w:eastAsia="Times New Roman"/>
          <w:b w:val="0"/>
          <w:sz w:val="24"/>
        </w:rPr>
        <w:t xml:space="preserve">: il rimosso esercita una pressione continua in direzione del conscio, e questa pressione deve essere bilanciata da una contropressione incessante; mantenere una rimozione costa, e la sua cessazione è, dal punto di vista economico, un risparmio. La traduzione è di potenza straordinaria: </w:t>
      </w:r>
      <w:r>
        <w:rPr>
          <w:rFonts w:ascii="Times New Roman" w:hAnsi="Times New Roman" w:cs="Times New Roman" w:eastAsia="Times New Roman"/>
          <w:b/>
          <w:sz w:val="24"/>
        </w:rPr>
        <w:t>il segreto è un processo, non uno stato</w:t>
      </w:r>
      <w:r>
        <w:rPr>
          <w:rFonts w:ascii="Times New Roman" w:hAnsi="Times New Roman" w:cs="Times New Roman" w:eastAsia="Times New Roman"/>
          <w:b w:val="0"/>
          <w:sz w:val="24"/>
        </w:rPr>
        <w:t xml:space="preserve">. Un insabbiamento non si compie il giorno in cui si compie — va mantenuto: ogni desecretazione va contrastata, ogni testimone che parla va screditato, ogni commissione va contenuta, ogni anniversario va presidiato con la vulgata giusta; e questa manutenzione, protratta per decenni, è essa stessa </w:t>
      </w:r>
      <w:r>
        <w:rPr>
          <w:rFonts w:ascii="Times New Roman" w:hAnsi="Times New Roman" w:cs="Times New Roman" w:eastAsia="Times New Roman"/>
          <w:b/>
          <w:sz w:val="24"/>
        </w:rPr>
        <w:t>osservabile</w:t>
      </w:r>
      <w:r>
        <w:rPr>
          <w:rFonts w:ascii="Times New Roman" w:hAnsi="Times New Roman" w:cs="Times New Roman" w:eastAsia="Times New Roman"/>
          <w:b w:val="0"/>
          <w:sz w:val="24"/>
        </w:rPr>
        <w:t>. Chi cerca il rimosso direttamente trova il vuoto; chi cerca la contropressione trova un’attività — smentite sproporzionate, carriere anomale di custodi, energie spese a difendere versioni che nessuno attaccava — e l’attività lascia tracce datate. Il Registro istituisce perciò la lettura economica: nelle zone dove il corpus mostra un dispendio anomalo di forza conservativa, annotare il dispendio come dato — non come prova di alcunché, ma come indice di pressione: dove si spende tanto per tenere sommerso, qualcosa preme per emergere.</w:t>
      </w:r>
    </w:p>
    <w:p>
      <w:pPr>
        <w:spacing w:line="276" w:lineRule="auto" w:after="60" w:before="0"/>
        <w:ind w:firstLine="425"/>
        <w:jc w:val="both"/>
      </w:pPr>
      <w:r>
        <w:rPr>
          <w:rFonts w:ascii="Times New Roman" w:hAnsi="Times New Roman" w:cs="Times New Roman" w:eastAsia="Times New Roman"/>
          <w:b w:val="0"/>
          <w:sz w:val="24"/>
        </w:rPr>
        <w:t xml:space="preserve">Il secondo teorema del millenovecentoquindici è il </w:t>
      </w:r>
      <w:r>
        <w:rPr>
          <w:rFonts w:ascii="Times New Roman" w:hAnsi="Times New Roman" w:cs="Times New Roman" w:eastAsia="Times New Roman"/>
          <w:b/>
          <w:sz w:val="24"/>
        </w:rPr>
        <w:t>ritorno del rimosso</w:t>
      </w:r>
      <w:r>
        <w:rPr>
          <w:rFonts w:ascii="Times New Roman" w:hAnsi="Times New Roman" w:cs="Times New Roman" w:eastAsia="Times New Roman"/>
          <w:b w:val="0"/>
          <w:sz w:val="24"/>
        </w:rPr>
        <w:t xml:space="preserve">. La rimozione, scrive Freud, non distrugge: i contenuti rimossi non periscono nell’inconscio ma riemergono incessantemente sotto forma di derivati — e i sintomi non sono prodotti dalla rimozione, sono indici del ritorno; i derivati raggiungono la superficie dopo grande deformazione, spesso conservando tuttavia i caratteri che ne avevano richiesto la rimozione: il rimosso ritorna, ma spesso resta irriconoscibile. Il corpus del caso conosce questo teorema alla lettera, e il suo esempio sovrano è iscritto nella storia dell’appartamento di via Monte Nevoso: le carte della prigionia, sequestrate una prima volta nel millenovecentosettantotto, riemersero dodici anni più tardi, nel millenovecentonovanta, da dietro un pannello dello stesso appartamento già perquisito — il rimosso documentale che ritorna, dallo stesso luogo, in forma accresciuta, dopo che la prima emersione era stata creduta completa. Il Registro generalizza: nel sistema documentale del caso, ciò che fu sottratto tende a ritornare — in fotocopie che circolano prima degli originali, in memorie tardive che restituiscono frammenti, in reperti che ricompaiono negli inventari — e ritorna </w:t>
      </w:r>
      <w:r>
        <w:rPr>
          <w:rFonts w:ascii="Times New Roman" w:hAnsi="Times New Roman" w:cs="Times New Roman" w:eastAsia="Times New Roman"/>
          <w:b/>
          <w:sz w:val="24"/>
        </w:rPr>
        <w:t>deformato</w:t>
      </w:r>
      <w:r>
        <w:rPr>
          <w:rFonts w:ascii="Times New Roman" w:hAnsi="Times New Roman" w:cs="Times New Roman" w:eastAsia="Times New Roman"/>
          <w:b w:val="0"/>
          <w:sz w:val="24"/>
        </w:rPr>
        <w:t>: parziale, ricopiato, riordinato. Ne discendono due regole gemelle. Regola del ritorno: le riemersioni non si trattano mai come novità assolute ma come derivati — per ogni materiale riemerso, chiedere di quale insieme originario è derivato, quale deformazione ha subito nel tragitto, e che cosa del medesimo insieme non è ancora riemerso. Regola dell’irriconoscibilità: poiché il rimosso ritorna spesso irriconoscibile, il censimento non scarta i materiali anomali per la loro anomalia — l’anomalia della forma può essere il costume del ritorno; li tiene nel dubbio, alla maniera di Descartes, finché la genealogia non è ricostruita.</w:t>
      </w:r>
    </w:p>
    <w:p>
      <w:pPr>
        <w:spacing w:line="276" w:lineRule="auto" w:after="60" w:before="0"/>
        <w:ind w:firstLine="425"/>
        <w:jc w:val="both"/>
      </w:pPr>
      <w:r>
        <w:rPr>
          <w:rFonts w:ascii="Times New Roman" w:hAnsi="Times New Roman" w:cs="Times New Roman" w:eastAsia="Times New Roman"/>
          <w:b w:val="0"/>
          <w:sz w:val="24"/>
        </w:rPr>
        <w:t>Chiude la Parte il vincolo che la apre: nulla di quanto precede autorizza a leggere le persone. La censura, la rimozione, il ritorno sono, nel Registro, nomi di dinamiche documentali — la classificazione di segretezza è la censura dell’archivio, l’insabbiamento mantenuto è la rimozione del sistema, la riemersione deformata è il ritorno del rimosso documentale — e la loro forza descrittiva sta tutta in questo trasferimento dichiarato. Il giorno in cui una di queste figure venisse usata per affermare che una persona rimuove, mente o nasconde, quel giorno l’apporto freudiano avrebbe tradito le clausole che lo hanno reso lecito, e andrebbe sospeso.</w:t>
      </w:r>
    </w:p>
    <w:p>
      <w:pPr>
        <w:spacing w:line="276" w:lineRule="auto" w:after="80" w:before="200"/>
        <w:ind w:firstLine="0"/>
        <w:jc w:val="both"/>
      </w:pPr>
      <w:r>
        <w:rPr>
          <w:rFonts w:ascii="Times New Roman" w:hAnsi="Times New Roman" w:cs="Times New Roman" w:eastAsia="Times New Roman"/>
          <w:b/>
          <w:sz w:val="24"/>
        </w:rPr>
        <w:t>PARTE VENTICINQUESIMA — LA MUTAZIONE DELLA FORMA: L’ICEBERG DELLA METODOLOGIA NORIMAVIV</w:t>
      </w:r>
    </w:p>
    <w:p>
      <w:pPr>
        <w:spacing w:line="276" w:lineRule="auto" w:after="80" w:before="200"/>
        <w:ind w:firstLine="0"/>
        <w:jc w:val="both"/>
      </w:pPr>
      <w:r>
        <w:rPr>
          <w:rFonts w:ascii="Times New Roman" w:hAnsi="Times New Roman" w:cs="Times New Roman" w:eastAsia="Times New Roman"/>
          <w:b/>
          <w:sz w:val="24"/>
        </w:rPr>
        <w:t>Lo statuto filologico dell’iceberg</w:t>
      </w:r>
    </w:p>
    <w:p>
      <w:pPr>
        <w:spacing w:line="276" w:lineRule="auto" w:after="60" w:before="0"/>
        <w:ind w:firstLine="425"/>
        <w:jc w:val="both"/>
      </w:pPr>
      <w:r>
        <w:rPr>
          <w:rFonts w:ascii="Times New Roman" w:hAnsi="Times New Roman" w:cs="Times New Roman" w:eastAsia="Times New Roman"/>
          <w:b w:val="0"/>
          <w:sz w:val="24"/>
        </w:rPr>
        <w:t xml:space="preserve">Prima di assumere la figura, il Registro ne dichiara la sorte testuale, come la regola della mappa d’uso impone — ed è una sorte istruttiva. La ricerca condotta per questa edizione accerta che </w:t>
      </w:r>
      <w:r>
        <w:rPr>
          <w:rFonts w:ascii="Times New Roman" w:hAnsi="Times New Roman" w:cs="Times New Roman" w:eastAsia="Times New Roman"/>
          <w:b/>
          <w:sz w:val="24"/>
        </w:rPr>
        <w:t>la parola iceberg non compare mai negli scritti pubblicati di Freud</w:t>
      </w:r>
      <w:r>
        <w:rPr>
          <w:rFonts w:ascii="Times New Roman" w:hAnsi="Times New Roman" w:cs="Times New Roman" w:eastAsia="Times New Roman"/>
          <w:b w:val="0"/>
          <w:sz w:val="24"/>
        </w:rPr>
        <w:t xml:space="preserve">: gli studiosi che hanno percorso i ventiquattro volumi dell’edizione canonica, e gli indici delle analogie compilati dal suo traduttore, non ne hanno trovato traccia. La figura ha un’altra genealogia: Gustav Theodor Fechner, negli Elementi di psicofisica del milleottocentosessanta, paragonò l’anima a un iceberg per </w:t>
      </w:r>
      <w:r>
        <w:rPr>
          <w:rFonts w:ascii="Times New Roman" w:hAnsi="Times New Roman" w:cs="Times New Roman" w:eastAsia="Times New Roman"/>
          <w:b/>
          <w:sz w:val="24"/>
        </w:rPr>
        <w:t>otto noni sotto la superficie dell’acqua</w:t>
      </w:r>
      <w:r>
        <w:rPr>
          <w:rFonts w:ascii="Times New Roman" w:hAnsi="Times New Roman" w:cs="Times New Roman" w:eastAsia="Times New Roman"/>
          <w:b w:val="0"/>
          <w:sz w:val="24"/>
        </w:rPr>
        <w:t xml:space="preserve">; Granville Stanley Hall, fondatore della psicologia americana, rilanciò il paragone nel millenovecentododici — l’anno, si noti, del transatlantico affondato — attribuendolo a Fechner; il biografo Ernest Jones lo riprese negli anni Cinquanta; e i manuali americani, dai primi anni Settanta, lo saldarono al nome di Freud, dove la vulgata lo conserva. L’iceberg freudiano è dunque, a rigore, un iceberg </w:t>
      </w:r>
      <w:r>
        <w:rPr>
          <w:rFonts w:ascii="Times New Roman" w:hAnsi="Times New Roman" w:cs="Times New Roman" w:eastAsia="Times New Roman"/>
          <w:b/>
          <w:sz w:val="24"/>
        </w:rPr>
        <w:t>fechneriano</w:t>
      </w:r>
      <w:r>
        <w:rPr>
          <w:rFonts w:ascii="Times New Roman" w:hAnsi="Times New Roman" w:cs="Times New Roman" w:eastAsia="Times New Roman"/>
          <w:b w:val="0"/>
          <w:sz w:val="24"/>
        </w:rPr>
        <w:t xml:space="preserve"> trasmesso per vulgata — un caso da manuale di quella ipostasi per uso che la Parte wittgensteiniana ha insegnato a censire. E tuttavia il Registro lo assume, per tre ragioni dichiarate. Primo: per comando dell’autore, che è la ragione sufficiente. Secondo: perché la genealogia non lo indebolisce ma lo nobilita — Freud stesso riconobbe il proprio debito verso il vecchio Fechner, dal quale trasse l’idea che la scena del sogno sia un teatro diverso dalla veglia; la figura viene dalla sorgente cui Freud attingeva. Terzo: perché la sorte filologica dell’iceberg è essa stessa una dimostrazione del metodo — una figura mai scritta dal suo presunto autore, consolidata per ritrascrizione didattica attraverso quattro passaggi in un secolo, è l’esempio perfetto di stratificazione, riordinamento e vulgata che le Parti precedenti hanno teorizzato. Il Registro usa dunque la figura con la sua carta d’origine appesa al collo: iceberg di Fechner, per uso di tutti detto di Freud, qui assunto a forma della Metodologia Norimaviv.</w:t>
      </w:r>
    </w:p>
    <w:p>
      <w:pPr>
        <w:spacing w:line="276" w:lineRule="auto" w:after="80" w:before="200"/>
        <w:ind w:firstLine="0"/>
        <w:jc w:val="both"/>
      </w:pPr>
      <w:r>
        <w:rPr>
          <w:rFonts w:ascii="Times New Roman" w:hAnsi="Times New Roman" w:cs="Times New Roman" w:eastAsia="Times New Roman"/>
          <w:b/>
          <w:sz w:val="24"/>
        </w:rPr>
        <w:t>La fisica della figura</w:t>
      </w:r>
    </w:p>
    <w:p>
      <w:pPr>
        <w:spacing w:line="276" w:lineRule="auto" w:after="60" w:before="0"/>
        <w:ind w:firstLine="425"/>
        <w:jc w:val="both"/>
      </w:pPr>
      <w:r>
        <w:rPr>
          <w:rFonts w:ascii="Times New Roman" w:hAnsi="Times New Roman" w:cs="Times New Roman" w:eastAsia="Times New Roman"/>
          <w:b w:val="0"/>
          <w:sz w:val="24"/>
        </w:rPr>
        <w:t xml:space="preserve">La figura porta con sé una fisica, e la fisica porta lezioni. Un iceberg galleggia per il principio di Archimede: il ghiaccio è meno denso dell’acqua di mare, e il rapporto fra le densità fissa la proporzione — circa un decimo del volume emerge, quasi nove decimi restano sommersi; gli otto noni di Fechner sono la stessa misura detta da un fisico dell’Ottocento. La proporzione non è un difetto della visione: è una </w:t>
      </w:r>
      <w:r>
        <w:rPr>
          <w:rFonts w:ascii="Times New Roman" w:hAnsi="Times New Roman" w:cs="Times New Roman" w:eastAsia="Times New Roman"/>
          <w:b/>
          <w:sz w:val="24"/>
        </w:rPr>
        <w:t>legge del galleggiamento</w:t>
      </w:r>
      <w:r>
        <w:rPr>
          <w:rFonts w:ascii="Times New Roman" w:hAnsi="Times New Roman" w:cs="Times New Roman" w:eastAsia="Times New Roman"/>
          <w:b w:val="0"/>
          <w:sz w:val="24"/>
        </w:rPr>
        <w:t xml:space="preserve"> — nessun iceberg può emergere per intero, e chi pretendesse di vederlo tutto sopra l’acqua non descriverebbe un iceberg ma un’illusione. Prima lezione, sulla misura: il Registro può stimare la propria proporzione, e l’ha fatto — nell’ultima campagna di immersione, i nodi censiti e vagliati furono cinquecentodue su un universo nominale di oltre diecimilaseicento: meno di un ventesimo emerso alla lettura, il resto sommerso e dichiarato tale; la saturazione dichiarata delle edizioni precedenti è, nella nuova forma, la stima onesta della linea di galleggiamento. Seconda lezione, sulla continuità: emerso e sommerso </w:t>
      </w:r>
      <w:r>
        <w:rPr>
          <w:rFonts w:ascii="Times New Roman" w:hAnsi="Times New Roman" w:cs="Times New Roman" w:eastAsia="Times New Roman"/>
          <w:b/>
          <w:sz w:val="24"/>
        </w:rPr>
        <w:t>sono lo stesso ghiaccio</w:t>
      </w:r>
      <w:r>
        <w:rPr>
          <w:rFonts w:ascii="Times New Roman" w:hAnsi="Times New Roman" w:cs="Times New Roman" w:eastAsia="Times New Roman"/>
          <w:b w:val="0"/>
          <w:sz w:val="24"/>
        </w:rPr>
        <w:t xml:space="preserve"> — non esistono due iceberg, uno visibile e uno nascosto; esiste una massa unica che una linea taglia. Fatti certificati e dubbi pendenti non appartengono a due mondi: appartengono allo stesso caso, e la differenza fra loro è di posizione rispetto alla linea, non di natura. Terza lezione, sul movimento: la linea di galleggiamento </w:t>
      </w:r>
      <w:r>
        <w:rPr>
          <w:rFonts w:ascii="Times New Roman" w:hAnsi="Times New Roman" w:cs="Times New Roman" w:eastAsia="Times New Roman"/>
          <w:b/>
          <w:sz w:val="24"/>
        </w:rPr>
        <w:t>non è fissa</w:t>
      </w:r>
      <w:r>
        <w:rPr>
          <w:rFonts w:ascii="Times New Roman" w:hAnsi="Times New Roman" w:cs="Times New Roman" w:eastAsia="Times New Roman"/>
          <w:b w:val="0"/>
          <w:sz w:val="24"/>
        </w:rPr>
        <w:t xml:space="preserve"> — la fusione, le maree e la distribuzione della massa la spostano; e quando la distribuzione cambia abbastanza, l’iceberg può </w:t>
      </w:r>
      <w:r>
        <w:rPr>
          <w:rFonts w:ascii="Times New Roman" w:hAnsi="Times New Roman" w:cs="Times New Roman" w:eastAsia="Times New Roman"/>
          <w:b/>
          <w:sz w:val="24"/>
        </w:rPr>
        <w:t>capovolgersi</w:t>
      </w:r>
      <w:r>
        <w:rPr>
          <w:rFonts w:ascii="Times New Roman" w:hAnsi="Times New Roman" w:cs="Times New Roman" w:eastAsia="Times New Roman"/>
          <w:b w:val="0"/>
          <w:sz w:val="24"/>
        </w:rPr>
        <w:t xml:space="preserve">, portando in superficie in poche ore ciò che giaceva al fondo. Le desecretazioni massive, le conversioni di interi blocchi documentali, l’apertura di un archivio straniero sono i capovolgimenti del caso: eventi rari che riordinano d’un colpo la proporzione, e per i quali il Registro, con la cumulatività preservativa, tiene pronta la stiva. Quarta lezione, sul tempo: l’iceberg </w:t>
      </w:r>
      <w:r>
        <w:rPr>
          <w:rFonts w:ascii="Times New Roman" w:hAnsi="Times New Roman" w:cs="Times New Roman" w:eastAsia="Times New Roman"/>
          <w:b/>
          <w:sz w:val="24"/>
        </w:rPr>
        <w:t>si scioglie</w:t>
      </w:r>
      <w:r>
        <w:rPr>
          <w:rFonts w:ascii="Times New Roman" w:hAnsi="Times New Roman" w:cs="Times New Roman" w:eastAsia="Times New Roman"/>
          <w:b w:val="0"/>
          <w:sz w:val="24"/>
        </w:rPr>
        <w:t xml:space="preserve"> — la massa non attende in eterno; i testimoni muoiono, i supporti si degradano, le memorie si ritrascrivono — e dunque l’immersione ha un calendario, non solo un metodo: è la fisica che fonda la priorità assoluta della conversione del blocco stenografico, dichiarata fin dalla prima edizione. Quinta lezione, che è un monito e porta la data del millenovecentododici: la nave che colpì l’iceberg non fu affondata dalla parte che vedeva — fu affondata dalla parte sommersa, e da una velocità incompatibile con la notte. Per chi indaga, il monito si legge così: </w:t>
      </w:r>
      <w:r>
        <w:rPr>
          <w:rFonts w:ascii="Times New Roman" w:hAnsi="Times New Roman" w:cs="Times New Roman" w:eastAsia="Times New Roman"/>
          <w:b/>
          <w:sz w:val="24"/>
        </w:rPr>
        <w:t>le conclusioni che navigano veloci sulla sola parte emersa si squarciano sulla parte che non hanno voluto misurare</w:t>
      </w:r>
      <w:r>
        <w:rPr>
          <w:rFonts w:ascii="Times New Roman" w:hAnsi="Times New Roman" w:cs="Times New Roman" w:eastAsia="Times New Roman"/>
          <w:b w:val="0"/>
          <w:sz w:val="24"/>
        </w:rPr>
        <w:t>; la prudenza del Registro — il dubbio unico, la soglia severa, il silenzio operoso — non è timidezza: è velocità di sicurezza in acque di cui si è dichiarata la proporzione sommersa.</w:t>
      </w:r>
    </w:p>
    <w:p>
      <w:pPr>
        <w:spacing w:line="276" w:lineRule="auto" w:after="80" w:before="200"/>
        <w:ind w:firstLine="0"/>
        <w:jc w:val="both"/>
      </w:pPr>
      <w:r>
        <w:rPr>
          <w:rFonts w:ascii="Times New Roman" w:hAnsi="Times New Roman" w:cs="Times New Roman" w:eastAsia="Times New Roman"/>
          <w:b/>
          <w:sz w:val="24"/>
        </w:rPr>
        <w:t>La mappa dell’iceberg: dove ogni strato ora abita</w:t>
      </w:r>
    </w:p>
    <w:p>
      <w:pPr>
        <w:spacing w:line="276" w:lineRule="auto" w:after="60" w:before="0"/>
        <w:ind w:firstLine="425"/>
        <w:jc w:val="both"/>
      </w:pPr>
      <w:r>
        <w:rPr>
          <w:rFonts w:ascii="Times New Roman" w:hAnsi="Times New Roman" w:cs="Times New Roman" w:eastAsia="Times New Roman"/>
          <w:b w:val="0"/>
          <w:sz w:val="24"/>
        </w:rPr>
        <w:t xml:space="preserve">La mutazione ricolloca ogni componente della Metodologia Norimaviv nella nuova forma, senza mutarne la funzione. </w:t>
      </w:r>
      <w:r>
        <w:rPr>
          <w:rFonts w:ascii="Times New Roman" w:hAnsi="Times New Roman" w:cs="Times New Roman" w:eastAsia="Times New Roman"/>
          <w:b/>
          <w:sz w:val="24"/>
        </w:rPr>
        <w:t>Sopra la linea, la parte emersa</w:t>
      </w:r>
      <w:r>
        <w:rPr>
          <w:rFonts w:ascii="Times New Roman" w:hAnsi="Times New Roman" w:cs="Times New Roman" w:eastAsia="Times New Roman"/>
          <w:b w:val="0"/>
          <w:sz w:val="24"/>
        </w:rPr>
        <w:t xml:space="preserve">: gli sciolti della Classificazione di Descartes — le evidenze chiare e distinte, invarianti attraverso i paradigmi — e con essi il polo di Norimberga: i documenti, possibilmente autoprodotti, la prova che regge in ogni sede. L’emerso è, per costruzione, la parte minore: il Registro lo sa, lo dichiara e non se ne vergogna — un decimo che regge è più di nove decimi che suggestionano. </w:t>
      </w:r>
      <w:r>
        <w:rPr>
          <w:rFonts w:ascii="Times New Roman" w:hAnsi="Times New Roman" w:cs="Times New Roman" w:eastAsia="Times New Roman"/>
          <w:b/>
          <w:sz w:val="24"/>
        </w:rPr>
        <w:t>La linea di galleggiamento</w:t>
      </w:r>
      <w:r>
        <w:rPr>
          <w:rFonts w:ascii="Times New Roman" w:hAnsi="Times New Roman" w:cs="Times New Roman" w:eastAsia="Times New Roman"/>
          <w:b w:val="0"/>
          <w:sz w:val="24"/>
        </w:rPr>
        <w:t xml:space="preserve">: la Regola di Ferro — dove la fonte documenta, l’opera certifica; dove la fonte tace, l’opera indaga e non afferma — che nella nuova forma si rivela per ciò che è sempre stata: non uno strato fra gli altri ma </w:t>
      </w:r>
      <w:r>
        <w:rPr>
          <w:rFonts w:ascii="Times New Roman" w:hAnsi="Times New Roman" w:cs="Times New Roman" w:eastAsia="Times New Roman"/>
          <w:b/>
          <w:sz w:val="24"/>
        </w:rPr>
        <w:t>il taglio stesso</w:t>
      </w:r>
      <w:r>
        <w:rPr>
          <w:rFonts w:ascii="Times New Roman" w:hAnsi="Times New Roman" w:cs="Times New Roman" w:eastAsia="Times New Roman"/>
          <w:b w:val="0"/>
          <w:sz w:val="24"/>
        </w:rPr>
        <w:t>, la superficie che separa il certificabile dal pendente; e con essa l’apporto wittgensteiniano, poiché i limiti del linguaggio disponibile sono i limiti dell’emerso, e il silenzio operoso è il lavoro sulla linea — ogni atto trovato, ogni registro letto, ogni blocco convertito abbassa l’acqua di un dito.</w:t>
      </w:r>
    </w:p>
    <w:p>
      <w:pPr>
        <w:spacing w:line="276" w:lineRule="auto" w:after="60" w:before="0"/>
        <w:ind w:firstLine="425"/>
        <w:jc w:val="both"/>
      </w:pPr>
      <w:r>
        <w:rPr>
          <w:rFonts w:ascii="Times New Roman" w:hAnsi="Times New Roman" w:cs="Times New Roman" w:eastAsia="Times New Roman"/>
          <w:b/>
          <w:sz w:val="24"/>
        </w:rPr>
        <w:t>Sotto la linea, la zona della luce filtrata</w:t>
      </w:r>
      <w:r>
        <w:rPr>
          <w:rFonts w:ascii="Times New Roman" w:hAnsi="Times New Roman" w:cs="Times New Roman" w:eastAsia="Times New Roman"/>
          <w:b w:val="0"/>
          <w:sz w:val="24"/>
        </w:rPr>
        <w:t xml:space="preserve"> — il preconscio della figura: ciò che non emerge ma è raggiungibile con lavoro ordinato. Qui abitano il Registro dei Dubbi Pendenti, ciascuno con la propria condizione di scioglimento che è la profondità dichiarata a cui giace; il Decalogo delle classificazioni consultive, biblioteca di bordo che non decide; e la Metodologia del Salto della Quaglia, che nella nuova forma trova la propria immagine esatta: i piani rituali, patrimoniali, professionali, conviviali e confidenziali sono i </w:t>
      </w:r>
      <w:r>
        <w:rPr>
          <w:rFonts w:ascii="Times New Roman" w:hAnsi="Times New Roman" w:cs="Times New Roman" w:eastAsia="Times New Roman"/>
          <w:b/>
          <w:sz w:val="24"/>
        </w:rPr>
        <w:t>ghiacci bassi</w:t>
      </w:r>
      <w:r>
        <w:rPr>
          <w:rFonts w:ascii="Times New Roman" w:hAnsi="Times New Roman" w:cs="Times New Roman" w:eastAsia="Times New Roman"/>
          <w:b w:val="0"/>
          <w:sz w:val="24"/>
        </w:rPr>
        <w:t xml:space="preserve"> — i frammenti che galleggiano quasi a pelo d’acqua, i più difficili da avvistare e i più fecondi da agganciare: il testimone di nozze, l’atto notarile, il necrologio stanno un palmo sotto la superficie, e la Quaglia è l’arte di vederli controluce. </w:t>
      </w:r>
      <w:r>
        <w:rPr>
          <w:rFonts w:ascii="Times New Roman" w:hAnsi="Times New Roman" w:cs="Times New Roman" w:eastAsia="Times New Roman"/>
          <w:b/>
          <w:sz w:val="24"/>
        </w:rPr>
        <w:t>Nel profondo, la massa maggiore</w:t>
      </w:r>
      <w:r>
        <w:rPr>
          <w:rFonts w:ascii="Times New Roman" w:hAnsi="Times New Roman" w:cs="Times New Roman" w:eastAsia="Times New Roman"/>
          <w:b w:val="0"/>
          <w:sz w:val="24"/>
        </w:rPr>
        <w:t xml:space="preserve"> — l’inconscio della figura, con la cautela ribadita che è l’inconscio del caso, non di persone: gli anelli profondi censiti dal Triplo Salto Carpiato, che nella nuova forma è l’arte dell’</w:t>
      </w:r>
      <w:r>
        <w:rPr>
          <w:rFonts w:ascii="Times New Roman" w:hAnsi="Times New Roman" w:cs="Times New Roman" w:eastAsia="Times New Roman"/>
          <w:b/>
          <w:sz w:val="24"/>
        </w:rPr>
        <w:t>immersione</w:t>
      </w:r>
      <w:r>
        <w:rPr>
          <w:rFonts w:ascii="Times New Roman" w:hAnsi="Times New Roman" w:cs="Times New Roman" w:eastAsia="Times New Roman"/>
          <w:b w:val="0"/>
          <w:sz w:val="24"/>
        </w:rPr>
        <w:t xml:space="preserve">: le tre rotazioni sono le quote di discesa, la carpiatura è l’assetto che impedisce all’immersione di disperdersi, l’ingresso in acqua — il ciclo chiuso col nucleo — è la sagola che lega ogni discesa alla superficie, e lo spruzzo dichiarato è il registro di immersione. E il Registro aggiunge, dalla fisica dei sommozzatori, la regola che mancava: la </w:t>
      </w:r>
      <w:r>
        <w:rPr>
          <w:rFonts w:ascii="Times New Roman" w:hAnsi="Times New Roman" w:cs="Times New Roman" w:eastAsia="Times New Roman"/>
          <w:b/>
          <w:sz w:val="24"/>
        </w:rPr>
        <w:t>decompressione</w:t>
      </w:r>
      <w:r>
        <w:rPr>
          <w:rFonts w:ascii="Times New Roman" w:hAnsi="Times New Roman" w:cs="Times New Roman" w:eastAsia="Times New Roman"/>
          <w:b w:val="0"/>
          <w:sz w:val="24"/>
        </w:rPr>
        <w:t xml:space="preserve"> — chi risale dal profondo troppo in fretta si ferisce; il materiale riportato dagli anelli profondi non passa mai direttamente alla superficie della certificazione, ma risale per tappe — dubbio, istruttoria, verifica, scioglimento — perché la risalita brusca produce emboli interpretativi: connessioni che sembrano solide alla pressione del fondo e si dissolvono alla pressione dell’aria. Nel profondo abitano infine l’apporto kuhniano — che sott’acqua rivela la propria estensione necessaria: il microscopio serve alla luce, ma nel sommerso si lavora come i cartografi degli abissi, per </w:t>
      </w:r>
      <w:r>
        <w:rPr>
          <w:rFonts w:ascii="Times New Roman" w:hAnsi="Times New Roman" w:cs="Times New Roman" w:eastAsia="Times New Roman"/>
          <w:b/>
          <w:sz w:val="24"/>
        </w:rPr>
        <w:t>ecoscandaglio</w:t>
      </w:r>
      <w:r>
        <w:rPr>
          <w:rFonts w:ascii="Times New Roman" w:hAnsi="Times New Roman" w:cs="Times New Roman" w:eastAsia="Times New Roman"/>
          <w:b w:val="0"/>
          <w:sz w:val="24"/>
        </w:rPr>
        <w:t>, con strumenti indiretti — metriche di rete, convergenze, co-occorrenze — che restituiscono il profilo del fondale senza toccarlo, e ogni profilo così ottenuto porta dichiarato lo strumento che lo ha disegnato; e l’apporto israeliano, che del sommerso è la pazienza: la caccia lunga, i sensori distribuiti, il fascicolo che non si chiude — perché l’iceberg non si scioglie per decreto, e nessuna dichiarazione di morte del caso vale finché la massa è ancora in acqua.</w:t>
      </w:r>
    </w:p>
    <w:p>
      <w:pPr>
        <w:spacing w:line="276" w:lineRule="auto" w:after="60" w:before="0"/>
        <w:ind w:firstLine="425"/>
        <w:jc w:val="both"/>
      </w:pPr>
      <w:r>
        <w:rPr>
          <w:rFonts w:ascii="Times New Roman" w:hAnsi="Times New Roman" w:cs="Times New Roman" w:eastAsia="Times New Roman"/>
          <w:b w:val="0"/>
          <w:sz w:val="24"/>
        </w:rPr>
        <w:t xml:space="preserve">Sotto tutto, </w:t>
      </w:r>
      <w:r>
        <w:rPr>
          <w:rFonts w:ascii="Times New Roman" w:hAnsi="Times New Roman" w:cs="Times New Roman" w:eastAsia="Times New Roman"/>
          <w:b/>
          <w:sz w:val="24"/>
        </w:rPr>
        <w:t>la chiglia</w:t>
      </w:r>
      <w:r>
        <w:rPr>
          <w:rFonts w:ascii="Times New Roman" w:hAnsi="Times New Roman" w:cs="Times New Roman" w:eastAsia="Times New Roman"/>
          <w:b w:val="0"/>
          <w:sz w:val="24"/>
        </w:rPr>
        <w:t xml:space="preserve">: il metodo dell’archeologo di questa edizione — saxa loquuntur, la rimozione che conserva, la compresenza degli strati, il criterio della fecondità, il monito di Schliemann — che non abita una quota ma le attraversa tutte, perché lo scavo è il gesto comune dell’emerso e del sommerso. E la clausola costituzionale, riformulata per la nuova forma: </w:t>
      </w:r>
      <w:r>
        <w:rPr>
          <w:rFonts w:ascii="Times New Roman" w:hAnsi="Times New Roman" w:cs="Times New Roman" w:eastAsia="Times New Roman"/>
          <w:b/>
          <w:sz w:val="24"/>
        </w:rPr>
        <w:t>nessuna quota comanda; tutta la massa è un solo ghiaccio</w:t>
      </w:r>
      <w:r>
        <w:rPr>
          <w:rFonts w:ascii="Times New Roman" w:hAnsi="Times New Roman" w:cs="Times New Roman" w:eastAsia="Times New Roman"/>
          <w:b w:val="0"/>
          <w:sz w:val="24"/>
        </w:rPr>
        <w:t xml:space="preserve"> — l’emerso non disprezza il sommerso che lo sostiene, il sommerso non pretende la certezza dell’emerso, e la linea che li separa è legge per entrambi.</w:t>
      </w:r>
    </w:p>
    <w:p>
      <w:pPr>
        <w:spacing w:line="276" w:lineRule="auto" w:after="80" w:before="200"/>
        <w:ind w:firstLine="0"/>
        <w:jc w:val="both"/>
      </w:pPr>
      <w:r>
        <w:rPr>
          <w:rFonts w:ascii="Times New Roman" w:hAnsi="Times New Roman" w:cs="Times New Roman" w:eastAsia="Times New Roman"/>
          <w:b/>
          <w:sz w:val="24"/>
        </w:rPr>
        <w:t>PARTE VENTISEIESIMA — IL RINNOVAMENTO DALLA A ALLA Z</w:t>
      </w:r>
    </w:p>
    <w:p>
      <w:pPr>
        <w:spacing w:line="276" w:lineRule="auto" w:after="60" w:before="0"/>
        <w:ind w:firstLine="425"/>
        <w:jc w:val="both"/>
      </w:pPr>
      <w:r>
        <w:rPr>
          <w:rFonts w:ascii="Times New Roman" w:hAnsi="Times New Roman" w:cs="Times New Roman" w:eastAsia="Times New Roman"/>
          <w:b w:val="0"/>
          <w:sz w:val="24"/>
        </w:rPr>
        <w:t>Il comando prescrive che il rinnovamento non si fermi agli apporti nuovi ma investa tutte le metodologie con conoscenze rinnovate, più intense e più approfondite, dalla A alla Z. La Parte presente vi adempie: ogni strato della Metodologia Norimaviv viene riletto alla luce dell’intero cammino — e ne esce, per ciascuno, una comprensione che la prima formulazione conteneva in potenza e che solo ora si lascia dire per intero.</w:t>
      </w:r>
    </w:p>
    <w:p>
      <w:pPr>
        <w:spacing w:line="276" w:lineRule="auto" w:after="60" w:before="0"/>
        <w:ind w:firstLine="425"/>
        <w:jc w:val="both"/>
      </w:pPr>
      <w:r>
        <w:rPr>
          <w:rFonts w:ascii="Times New Roman" w:hAnsi="Times New Roman" w:cs="Times New Roman" w:eastAsia="Times New Roman"/>
          <w:b/>
          <w:sz w:val="24"/>
        </w:rPr>
        <w:t>A — La Regola di Ferro.</w:t>
      </w:r>
      <w:r>
        <w:rPr>
          <w:rFonts w:ascii="Times New Roman" w:hAnsi="Times New Roman" w:cs="Times New Roman" w:eastAsia="Times New Roman"/>
          <w:b w:val="0"/>
          <w:sz w:val="24"/>
        </w:rPr>
        <w:t xml:space="preserve"> Nacque come legge di prudenza; le edizioni le hanno dato tre fondamenti successivi — il silenzio del Tractatus, la linea del dicibile, ora la linea di galleggiamento — e la lettura cumulativa li fonde: la Regola di Ferro non è un divieto ma una </w:t>
      </w:r>
      <w:r>
        <w:rPr>
          <w:rFonts w:ascii="Times New Roman" w:hAnsi="Times New Roman" w:cs="Times New Roman" w:eastAsia="Times New Roman"/>
          <w:b/>
          <w:sz w:val="24"/>
        </w:rPr>
        <w:t>superficie fisica</w:t>
      </w:r>
      <w:r>
        <w:rPr>
          <w:rFonts w:ascii="Times New Roman" w:hAnsi="Times New Roman" w:cs="Times New Roman" w:eastAsia="Times New Roman"/>
          <w:b w:val="0"/>
          <w:sz w:val="24"/>
        </w:rPr>
        <w:t xml:space="preserve">, il luogo esatto dove la spinta del sommerso incontra il peso dell’emerso; e come ogni linea di galleggiamento, non si sposta per desiderio ma per massa — solo il documento aggiunto, mai l’argomento ripetuto, cambia la quota della linea. </w:t>
      </w:r>
      <w:r>
        <w:rPr>
          <w:rFonts w:ascii="Times New Roman" w:hAnsi="Times New Roman" w:cs="Times New Roman" w:eastAsia="Times New Roman"/>
          <w:b/>
          <w:sz w:val="24"/>
        </w:rPr>
        <w:t>B — La Classificazione di Descartes.</w:t>
      </w:r>
      <w:r>
        <w:rPr>
          <w:rFonts w:ascii="Times New Roman" w:hAnsi="Times New Roman" w:cs="Times New Roman" w:eastAsia="Times New Roman"/>
          <w:b w:val="0"/>
          <w:sz w:val="24"/>
        </w:rPr>
        <w:t xml:space="preserve"> Nacque come ordinamento a tre stati; il cammino la approfondisce due volte. Con Freud, lo stato di dubbio rivela la propria natura dinamica: il dubbio non giace — </w:t>
      </w:r>
      <w:r>
        <w:rPr>
          <w:rFonts w:ascii="Times New Roman" w:hAnsi="Times New Roman" w:cs="Times New Roman" w:eastAsia="Times New Roman"/>
          <w:b/>
          <w:sz w:val="24"/>
        </w:rPr>
        <w:t>preme</w:t>
      </w:r>
      <w:r>
        <w:rPr>
          <w:rFonts w:ascii="Times New Roman" w:hAnsi="Times New Roman" w:cs="Times New Roman" w:eastAsia="Times New Roman"/>
          <w:b w:val="0"/>
          <w:sz w:val="24"/>
        </w:rPr>
        <w:t xml:space="preserve">, come il rimosso preme verso il conscio; e l’apparato, che gli nega ogni potere decisionale, gli riconosce ora questa dignità economica: i dubbi che premono di più, quelli attorno a cui il corpus mostra il maggior dispendio di contropressione, sono i primi candidati all’istruttoria — non perché la pressione provi, ma perché la pressione indica dove il lavoro rende. E con la clausola di non importazione della denegazione, la Classificazione riceve il proprio confine più netto: nessuna condotta di alcuno — negare, tacere, ricordare male — muove mai un’asserzione fra gli stati; muovono soltanto le carte. </w:t>
      </w:r>
      <w:r>
        <w:rPr>
          <w:rFonts w:ascii="Times New Roman" w:hAnsi="Times New Roman" w:cs="Times New Roman" w:eastAsia="Times New Roman"/>
          <w:b/>
          <w:sz w:val="24"/>
        </w:rPr>
        <w:t>C — Il Decalogo.</w:t>
      </w:r>
      <w:r>
        <w:rPr>
          <w:rFonts w:ascii="Times New Roman" w:hAnsi="Times New Roman" w:cs="Times New Roman" w:eastAsia="Times New Roman"/>
          <w:b w:val="0"/>
          <w:sz w:val="24"/>
        </w:rPr>
        <w:t xml:space="preserve"> Nacque come biblioteca di dieci tradizioni; la nuova forma lo rivela </w:t>
      </w:r>
      <w:r>
        <w:rPr>
          <w:rFonts w:ascii="Times New Roman" w:hAnsi="Times New Roman" w:cs="Times New Roman" w:eastAsia="Times New Roman"/>
          <w:b/>
          <w:sz w:val="24"/>
        </w:rPr>
        <w:t>cassa degli strumenti di bordo</w:t>
      </w:r>
      <w:r>
        <w:rPr>
          <w:rFonts w:ascii="Times New Roman" w:hAnsi="Times New Roman" w:cs="Times New Roman" w:eastAsia="Times New Roman"/>
          <w:b w:val="0"/>
          <w:sz w:val="24"/>
        </w:rPr>
        <w:t>: dieci calibri diversi per dieci acque diverse, tutti stivati, nessuno al timone — e la clausola d’accesso su sola richiesta dell’autore è, in nave, la regola che gli strumenti non si toccano senza ordine del comandante.</w:t>
      </w:r>
    </w:p>
    <w:p>
      <w:pPr>
        <w:spacing w:line="276" w:lineRule="auto" w:after="60" w:before="0"/>
        <w:ind w:firstLine="425"/>
        <w:jc w:val="both"/>
      </w:pPr>
      <w:r>
        <w:rPr>
          <w:rFonts w:ascii="Times New Roman" w:hAnsi="Times New Roman" w:cs="Times New Roman" w:eastAsia="Times New Roman"/>
          <w:b/>
          <w:sz w:val="24"/>
        </w:rPr>
        <w:t>D — L’apporto kuhniano.</w:t>
      </w:r>
      <w:r>
        <w:rPr>
          <w:rFonts w:ascii="Times New Roman" w:hAnsi="Times New Roman" w:cs="Times New Roman" w:eastAsia="Times New Roman"/>
          <w:b w:val="0"/>
          <w:sz w:val="24"/>
        </w:rPr>
        <w:t xml:space="preserve"> Nacque come Metafora del Microscopio; il cammino lo estende in </w:t>
      </w:r>
      <w:r>
        <w:rPr>
          <w:rFonts w:ascii="Times New Roman" w:hAnsi="Times New Roman" w:cs="Times New Roman" w:eastAsia="Times New Roman"/>
          <w:b/>
          <w:sz w:val="24"/>
        </w:rPr>
        <w:t>ottica delle profondità</w:t>
      </w:r>
      <w:r>
        <w:rPr>
          <w:rFonts w:ascii="Times New Roman" w:hAnsi="Times New Roman" w:cs="Times New Roman" w:eastAsia="Times New Roman"/>
          <w:b w:val="0"/>
          <w:sz w:val="24"/>
        </w:rPr>
        <w:t xml:space="preserve">: sopra la linea si lavora in luce diretta e il microscopio basta; sotto la linea la luce non arriva, e si lavora per strumenti indiretti — l’ecoscandaglio delle metriche, la fotografia comparata delle co-occorrenze — che non mostrano l’oggetto ma il suo profilo; e la regola kuhniana della dichiarazione dello strumento diventa, nel sommerso, ancora più stringente: ogni profilo di fondale porta scritto con quale onda fu disegnato, perché nel buio l’artefatto strumentale non ha il controllo della vista. L’incommensurabilità dei paradigmi, a sua volta, guadagna dalla figura una spiegazione fisica: i cinque paradigmi del caso sono cinque navi che vedono lo stesso iceberg da rotte diverse — ciascuna vede un profilo emerso differente, e tutte navigano sulla stessa massa; la regione franca degli enunciati invarianti è il ghiaccio che ogni rotta vede identico. </w:t>
      </w:r>
      <w:r>
        <w:rPr>
          <w:rFonts w:ascii="Times New Roman" w:hAnsi="Times New Roman" w:cs="Times New Roman" w:eastAsia="Times New Roman"/>
          <w:b/>
          <w:sz w:val="24"/>
        </w:rPr>
        <w:t>E — L’apporto wittgensteiniano.</w:t>
      </w:r>
      <w:r>
        <w:rPr>
          <w:rFonts w:ascii="Times New Roman" w:hAnsi="Times New Roman" w:cs="Times New Roman" w:eastAsia="Times New Roman"/>
          <w:b w:val="0"/>
          <w:sz w:val="24"/>
        </w:rPr>
        <w:t xml:space="preserve"> Nacque come censimento dei giochi linguistici; il cammino lo salda alla figura: la linea di galleggiamento </w:t>
      </w:r>
      <w:r>
        <w:rPr>
          <w:rFonts w:ascii="Times New Roman" w:hAnsi="Times New Roman" w:cs="Times New Roman" w:eastAsia="Times New Roman"/>
          <w:b/>
          <w:sz w:val="24"/>
        </w:rPr>
        <w:t>è</w:t>
      </w:r>
      <w:r>
        <w:rPr>
          <w:rFonts w:ascii="Times New Roman" w:hAnsi="Times New Roman" w:cs="Times New Roman" w:eastAsia="Times New Roman"/>
          <w:b w:val="0"/>
          <w:sz w:val="24"/>
        </w:rPr>
        <w:t xml:space="preserve"> il limite del linguaggio disponibile — ciò che è sommerso non è falso, è indicibile allo stato degli atti — e il silenzio operoso riceve dalla fisica la propria definizione di lavoro: abbassare l’acqua, non gonfiare il ghiaccio. La terapia delle ipostasi, poi, trova nell’iceberg medesimo il proprio esercizio più elegante: la figura che dà forma all’intero apparato è essa stessa un’ipostasi censita — usata con la carta d’origine al collo — e l’apparato che si applica la propria terapia dimostra di non temerla. </w:t>
      </w:r>
      <w:r>
        <w:rPr>
          <w:rFonts w:ascii="Times New Roman" w:hAnsi="Times New Roman" w:cs="Times New Roman" w:eastAsia="Times New Roman"/>
          <w:b/>
          <w:sz w:val="24"/>
        </w:rPr>
        <w:t>F — La Metodologia del Salto della Quaglia.</w:t>
      </w:r>
      <w:r>
        <w:rPr>
          <w:rFonts w:ascii="Times New Roman" w:hAnsi="Times New Roman" w:cs="Times New Roman" w:eastAsia="Times New Roman"/>
          <w:b w:val="0"/>
          <w:sz w:val="24"/>
        </w:rPr>
        <w:t xml:space="preserve"> Nacque come arte dei piani laterali; la nuova forma la precisa: i cinque piani sono ghiacci bassi, quasi affioranti, e la storia della caccia ha già mostrato — con il salto generazionale del figlio che portava il cognome — che le prede si prendono a pelo d’acqua più spesso che in superficie o nel fondo; la regola dell’atto, che vieta di certificare il piano finché l’atto non è prodotto, è la regola dell’aggancio: il ghiaccio basso si aggancia con l’atto, non con l’avvistamento.</w:t>
      </w:r>
    </w:p>
    <w:p>
      <w:pPr>
        <w:spacing w:line="276" w:lineRule="auto" w:after="60" w:before="0"/>
        <w:ind w:firstLine="425"/>
        <w:jc w:val="both"/>
      </w:pPr>
      <w:r>
        <w:rPr>
          <w:rFonts w:ascii="Times New Roman" w:hAnsi="Times New Roman" w:cs="Times New Roman" w:eastAsia="Times New Roman"/>
          <w:b/>
          <w:sz w:val="24"/>
        </w:rPr>
        <w:t>G — La Metodologia del Triplo Salto Carpiato.</w:t>
      </w:r>
      <w:r>
        <w:rPr>
          <w:rFonts w:ascii="Times New Roman" w:hAnsi="Times New Roman" w:cs="Times New Roman" w:eastAsia="Times New Roman"/>
          <w:b w:val="0"/>
          <w:sz w:val="24"/>
        </w:rPr>
        <w:t xml:space="preserve"> Nacque come arte della profondità; il rinnovamento le consegna la fisiologia che le mancava: alle sue regole — piattaforma, rotazione completa, carpiatura, ingresso in acqua, spruzzo — si aggiunge la </w:t>
      </w:r>
      <w:r>
        <w:rPr>
          <w:rFonts w:ascii="Times New Roman" w:hAnsi="Times New Roman" w:cs="Times New Roman" w:eastAsia="Times New Roman"/>
          <w:b/>
          <w:sz w:val="24"/>
        </w:rPr>
        <w:t>decompressione</w:t>
      </w:r>
      <w:r>
        <w:rPr>
          <w:rFonts w:ascii="Times New Roman" w:hAnsi="Times New Roman" w:cs="Times New Roman" w:eastAsia="Times New Roman"/>
          <w:b w:val="0"/>
          <w:sz w:val="24"/>
        </w:rPr>
        <w:t xml:space="preserve">, già istituita: la risalita per tappe obbligate, che vieta il passaggio diretto dal fondale alla certificazione; e il suo vincolo aritmetico — l’ipotesi al cubo — riceve dalla fisica la propria immagine: la pressione cresce con la profondità, e ciò che a tre atmosfere sembra saldo va riportato a una atmosfera prima di dirlo. </w:t>
      </w:r>
      <w:r>
        <w:rPr>
          <w:rFonts w:ascii="Times New Roman" w:hAnsi="Times New Roman" w:cs="Times New Roman" w:eastAsia="Times New Roman"/>
          <w:b/>
          <w:sz w:val="24"/>
        </w:rPr>
        <w:t>H — L’apporto israeliano.</w:t>
      </w:r>
      <w:r>
        <w:rPr>
          <w:rFonts w:ascii="Times New Roman" w:hAnsi="Times New Roman" w:cs="Times New Roman" w:eastAsia="Times New Roman"/>
          <w:b w:val="0"/>
          <w:sz w:val="24"/>
        </w:rPr>
        <w:t xml:space="preserve"> Nacque come ispirazione mai vincolante; il cammino lo arricchisce di un teorema freudiano che gli appartiene di diritto: la rimozione che conserva. La caccia lunga si fonda esattamente su questo — ciò che si nasconde si conserva: il fuggitivo che si seppellisce sotto un altro nome porta con sé, intatti sotto la cenere, il cognome del figlio, la data delle nozze, il padiglione dell’orecchio; e il cacciatore paziente è l’archeologo del vivente, che attende la vanga giusta. Il fascicolo mai chiuso, a sua volta, si salda alla fisica: finché la massa è in acqua, nessun decreto la scioglie. </w:t>
      </w:r>
      <w:r>
        <w:rPr>
          <w:rFonts w:ascii="Times New Roman" w:hAnsi="Times New Roman" w:cs="Times New Roman" w:eastAsia="Times New Roman"/>
          <w:b/>
          <w:sz w:val="24"/>
        </w:rPr>
        <w:t>I — Il polo di Norimberga.</w:t>
      </w:r>
      <w:r>
        <w:rPr>
          <w:rFonts w:ascii="Times New Roman" w:hAnsi="Times New Roman" w:cs="Times New Roman" w:eastAsia="Times New Roman"/>
          <w:b w:val="0"/>
          <w:sz w:val="24"/>
        </w:rPr>
        <w:t xml:space="preserve"> Nacque come standard della prova documentale; Freud gli consegna il proprio suggello: saxa loquuntur — il processo che fece parlare le carte degli imputati praticò, nell’ordine della giustizia, ciò che l’archeologo pratica nell’ordine del tempo: lasciare che le pietre parlino con la propria voce, perché nessuna difesa ricusa la propria firma e nessuna vulgata prescrive ciò che l’archivio conserva. </w:t>
      </w:r>
      <w:r>
        <w:rPr>
          <w:rFonts w:ascii="Times New Roman" w:hAnsi="Times New Roman" w:cs="Times New Roman" w:eastAsia="Times New Roman"/>
          <w:b/>
          <w:sz w:val="24"/>
        </w:rPr>
        <w:t>Z — La Metodologia Norimaviv nella forma dell’iceberg.</w:t>
      </w:r>
      <w:r>
        <w:rPr>
          <w:rFonts w:ascii="Times New Roman" w:hAnsi="Times New Roman" w:cs="Times New Roman" w:eastAsia="Times New Roman"/>
          <w:b w:val="0"/>
          <w:sz w:val="24"/>
        </w:rPr>
        <w:t xml:space="preserve"> La formula consacrata — si cerca alla maniera di Tel Aviv, si prova alla maniera di Norimberga — riceve dalla mutazione il proprio terzo membro, e con esso la forma definitiva di questa edizione: </w:t>
      </w:r>
      <w:r>
        <w:rPr>
          <w:rFonts w:ascii="Times New Roman" w:hAnsi="Times New Roman" w:cs="Times New Roman" w:eastAsia="Times New Roman"/>
          <w:b/>
          <w:sz w:val="24"/>
        </w:rPr>
        <w:t>si cerca alla maniera di Tel Aviv, si prova alla maniera di Norimberga, e si scava alla maniera di Freud</w:t>
      </w:r>
      <w:r>
        <w:rPr>
          <w:rFonts w:ascii="Times New Roman" w:hAnsi="Times New Roman" w:cs="Times New Roman" w:eastAsia="Times New Roman"/>
          <w:b w:val="0"/>
          <w:sz w:val="24"/>
        </w:rPr>
        <w:t xml:space="preserve"> — con l’attenzione fluttuante che non seleziona, con la vanga che non ara, con la stratigrafia che data ogni pietra, con il criterio della fecondità che giudica le costruzioni dal materiale che generano, e con la certezza operosa che regge l’intero edificio galleggiante: nulla di ciò che fu documentato è perito per sempre, finché una vanga lo cerca.</w:t>
      </w:r>
    </w:p>
    <w:p>
      <w:pPr>
        <w:spacing w:line="276" w:lineRule="auto" w:after="80" w:before="200"/>
        <w:ind w:firstLine="0"/>
        <w:jc w:val="both"/>
      </w:pPr>
      <w:r>
        <w:rPr>
          <w:rFonts w:ascii="Times New Roman" w:hAnsi="Times New Roman" w:cs="Times New Roman" w:eastAsia="Times New Roman"/>
          <w:b/>
          <w:sz w:val="24"/>
        </w:rPr>
        <w:t>COLOPHON DELL’EDIZIONE NONA</w:t>
      </w:r>
    </w:p>
    <w:p>
      <w:pPr>
        <w:spacing w:line="276" w:lineRule="auto" w:after="60" w:before="0"/>
        <w:ind w:firstLine="425"/>
        <w:jc w:val="both"/>
      </w:pPr>
      <w:r>
        <w:rPr>
          <w:rFonts w:ascii="Times New Roman" w:hAnsi="Times New Roman" w:cs="Times New Roman" w:eastAsia="Times New Roman"/>
          <w:b w:val="0"/>
          <w:sz w:val="24"/>
        </w:rPr>
        <w:t>REGISTRO ANALITICO DEL CASO MORO, edizione nona, l’Iceberg Freudiano e il Metodo dell’Archeologo, primo dei Tre Documenti Morotei, prodotta il due agosto duemilaventisei secondo il Protocollo Zero-Token e nello standard tipografico dell’opera: carattere Times New Roman di corpo dodici, formato A4, giustificazione integrale, rientro di prima riga, interlinea di uno virgola quindici, prosa continua. L’ordinamento complessivo resta la Metodologia Norimaviv di Luigi De Michele, che con questa edizione assume la forma dell’Iceberg: la Regola di Ferro come linea di galleggiamento, gli sciolti e il polo di Norimberga come parte emersa, i dubbi, il Decalogo e la Quaglia nella zona della luce filtrata, il Carpiato, l’ottica delle profondità e la caccia paziente nel sommerso, il metodo dell’archeologo come chiglia; con le quattro clausole di disciplina — non psicologizzazione delle persone, non importazione della denegazione, dichiarazione filologica delle figure, e la costituzionale: nessuna quota comanda, tutta la massa è un solo ghiaccio. La formula estesa dell’opera è: si cerca alla maniera di Tel Aviv, si prova alla maniera di Norimberga, e si scava alla maniera di Freud. Incorpora verbatim l’edizione ottava e, per suo tramite, le sette precedenti; ogni edizione successiva conterrà verbatim la presente.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PARTE VENTISETTESIMA — IL RECEPIMENTO DEFINITIVO: NORMAVIVA BETA E ICEBERG STRUCTURE</w:t>
      </w:r>
    </w:p>
    <w:p>
      <w:pPr>
        <w:spacing w:line="276" w:lineRule="auto" w:after="60" w:before="0"/>
        <w:ind w:firstLine="425"/>
        <w:jc w:val="both"/>
      </w:pPr>
      <w:r>
        <w:rPr>
          <w:rFonts w:ascii="Times New Roman" w:hAnsi="Times New Roman" w:cs="Times New Roman" w:eastAsia="Times New Roman"/>
          <w:b/>
          <w:sz w:val="24"/>
        </w:rPr>
        <w:t>Atto di recepimento.</w:t>
      </w:r>
      <w:r>
        <w:rPr>
          <w:rFonts w:ascii="Times New Roman" w:hAnsi="Times New Roman" w:cs="Times New Roman" w:eastAsia="Times New Roman"/>
          <w:b w:val="0"/>
          <w:sz w:val="24"/>
        </w:rPr>
        <w:t xml:space="preserve"> L’edizione decima del Registro Analitico recepisce, con atto formale e per intero, i due documenti che il comando dell’autore dichiara definitivi: la </w:t>
      </w:r>
      <w:r>
        <w:rPr>
          <w:rFonts w:ascii="Times New Roman" w:hAnsi="Times New Roman" w:cs="Times New Roman" w:eastAsia="Times New Roman"/>
          <w:b/>
          <w:sz w:val="24"/>
        </w:rPr>
        <w:t>Metodologia Normaviva Beta</w:t>
      </w:r>
      <w:r>
        <w:rPr>
          <w:rFonts w:ascii="Times New Roman" w:hAnsi="Times New Roman" w:cs="Times New Roman" w:eastAsia="Times New Roman"/>
          <w:b w:val="0"/>
          <w:sz w:val="24"/>
        </w:rPr>
        <w:t xml:space="preserve"> — il codice autonomo, già Metodologia Norimaviv, rinominato per atto d’autore e accresciuto del Capo nono sulla fluidità — e la </w:t>
      </w:r>
      <w:r>
        <w:rPr>
          <w:rFonts w:ascii="Times New Roman" w:hAnsi="Times New Roman" w:cs="Times New Roman" w:eastAsia="Times New Roman"/>
          <w:b/>
          <w:sz w:val="24"/>
        </w:rPr>
        <w:t>Iceberg Structure</w:t>
      </w:r>
      <w:r>
        <w:rPr>
          <w:rFonts w:ascii="Times New Roman" w:hAnsi="Times New Roman" w:cs="Times New Roman" w:eastAsia="Times New Roman"/>
          <w:b w:val="0"/>
          <w:sz w:val="24"/>
        </w:rPr>
        <w:t xml:space="preserve"> — la struttura della verità sulle topiche freudiane come benchmark. Da questa edizione, ogni riferimento metodologico del Registro si intende alla Normaviva Beta, con equivalenza piena verso il nome antico negli strati storici, che non si riscrivono; e ogni bersaglio del Registro si colloca nella topografia delle nove province. Il Registro resta la sede della </w:t>
      </w:r>
      <w:r>
        <w:rPr>
          <w:rFonts w:ascii="Times New Roman" w:hAnsi="Times New Roman" w:cs="Times New Roman" w:eastAsia="Times New Roman"/>
          <w:b/>
          <w:sz w:val="24"/>
        </w:rPr>
        <w:t>prova</w:t>
      </w:r>
      <w:r>
        <w:rPr>
          <w:rFonts w:ascii="Times New Roman" w:hAnsi="Times New Roman" w:cs="Times New Roman" w:eastAsia="Times New Roman"/>
          <w:b w:val="0"/>
          <w:sz w:val="24"/>
        </w:rPr>
        <w:t>: il documento che possiede i dubbi, pronuncia le mutazioni di stato e certifica gli sciolti — e il recepimento non gli aggiunge poteri: gli aggiunge indirizzo e lega.</w:t>
      </w:r>
    </w:p>
    <w:p>
      <w:pPr>
        <w:spacing w:line="276" w:lineRule="auto" w:after="60" w:before="0"/>
        <w:ind w:firstLine="425"/>
        <w:jc w:val="both"/>
      </w:pPr>
      <w:r>
        <w:rPr>
          <w:rFonts w:ascii="Times New Roman" w:hAnsi="Times New Roman" w:cs="Times New Roman" w:eastAsia="Times New Roman"/>
          <w:b/>
          <w:sz w:val="24"/>
        </w:rPr>
        <w:t>L’indirizzamento dei dubbi: il principio e la sua fluidità.</w:t>
      </w:r>
      <w:r>
        <w:rPr>
          <w:rFonts w:ascii="Times New Roman" w:hAnsi="Times New Roman" w:cs="Times New Roman" w:eastAsia="Times New Roman"/>
          <w:b w:val="0"/>
          <w:sz w:val="24"/>
        </w:rPr>
        <w:t xml:space="preserve"> Il Registro possiede ventisei dubbi pendenti, dal primo al ventiseiesimo, consolidati in nove cantieri dal Registro di Scavo. La Iceberg Structure prescrive che ogni dubbio riceva un indirizzo di provincia — quota e colonna — perché l’indirizzo dichiara quale censura lo trattiene e quale istanza lo custodisce. Ma il Capo nono del codice vieta l’assegnazione rigida decretata in gabinetto: l’indirizzo è un’ipotesi di lavoro che </w:t>
      </w:r>
      <w:r>
        <w:rPr>
          <w:rFonts w:ascii="Times New Roman" w:hAnsi="Times New Roman" w:cs="Times New Roman" w:eastAsia="Times New Roman"/>
          <w:b/>
          <w:sz w:val="24"/>
        </w:rPr>
        <w:t>si verifica sul terreno</w:t>
      </w:r>
      <w:r>
        <w:rPr>
          <w:rFonts w:ascii="Times New Roman" w:hAnsi="Times New Roman" w:cs="Times New Roman" w:eastAsia="Times New Roman"/>
          <w:b w:val="0"/>
          <w:sz w:val="24"/>
        </w:rPr>
        <w:t xml:space="preserve">, e la riclassificazione è un dato, non un fallimento. Il Registro adotta perciò il regime a due tempi: in questa edizione si pronunciano gli </w:t>
      </w:r>
      <w:r>
        <w:rPr>
          <w:rFonts w:ascii="Times New Roman" w:hAnsi="Times New Roman" w:cs="Times New Roman" w:eastAsia="Times New Roman"/>
          <w:b/>
          <w:sz w:val="24"/>
        </w:rPr>
        <w:t>indirizzi di cantiere</w:t>
      </w:r>
      <w:r>
        <w:rPr>
          <w:rFonts w:ascii="Times New Roman" w:hAnsi="Times New Roman" w:cs="Times New Roman" w:eastAsia="Times New Roman"/>
          <w:b w:val="0"/>
          <w:sz w:val="24"/>
        </w:rPr>
        <w:t xml:space="preserve"> — fondati sulla composizione tematica già consolidata — e l’indirizzo individuale di ciascun dubbio si annota nel giornale di scavo alla prima campagna che lo tocca, confermando o correggendo l’indirizzo del cantiere che lo ospita. L’assegnazione è così essa stessa context-based: la mappa precede lo scavo quanto basta per orientarlo, e lo scavo corregge la mappa.</w:t>
      </w:r>
    </w:p>
    <w:p>
      <w:pPr>
        <w:spacing w:line="276" w:lineRule="auto" w:after="60" w:before="0"/>
        <w:ind w:firstLine="425"/>
        <w:jc w:val="both"/>
      </w:pPr>
      <w:r>
        <w:rPr>
          <w:rFonts w:ascii="Times New Roman" w:hAnsi="Times New Roman" w:cs="Times New Roman" w:eastAsia="Times New Roman"/>
          <w:b/>
          <w:sz w:val="24"/>
        </w:rPr>
        <w:t>Gli indirizzi di cantiere.</w:t>
      </w:r>
      <w:r>
        <w:rPr>
          <w:rFonts w:ascii="Times New Roman" w:hAnsi="Times New Roman" w:cs="Times New Roman" w:eastAsia="Times New Roman"/>
          <w:b w:val="0"/>
          <w:sz w:val="24"/>
        </w:rPr>
        <w:t xml:space="preserve"> Il cantiere Alfa — il blocco stenografico — giace nella provincia della </w:t>
      </w:r>
      <w:r>
        <w:rPr>
          <w:rFonts w:ascii="Times New Roman" w:hAnsi="Times New Roman" w:cs="Times New Roman" w:eastAsia="Times New Roman"/>
          <w:b/>
          <w:sz w:val="24"/>
        </w:rPr>
        <w:t>mediazione latente</w:t>
      </w:r>
      <w:r>
        <w:rPr>
          <w:rFonts w:ascii="Times New Roman" w:hAnsi="Times New Roman" w:cs="Times New Roman" w:eastAsia="Times New Roman"/>
          <w:b w:val="0"/>
          <w:sz w:val="24"/>
        </w:rPr>
        <w:t xml:space="preserve">: atti parlamentari depositati, integri e non letti; nessuna barriera attiva li difende, la sola censura è di lettura, e per la quinta legge della struttura la sua priorità sovraordinata riceve qui il proprio fondamento: è il bersaglio che si abbatte con le proprie mani. Il cantiere Beta — il perimetro degli esecutori — giace a cavallo fra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e </w:t>
      </w:r>
      <w:r>
        <w:rPr>
          <w:rFonts w:ascii="Times New Roman" w:hAnsi="Times New Roman" w:cs="Times New Roman" w:eastAsia="Times New Roman"/>
          <w:b/>
          <w:sz w:val="24"/>
        </w:rPr>
        <w:t>mediazione rimossa</w:t>
      </w:r>
      <w:r>
        <w:rPr>
          <w:rFonts w:ascii="Times New Roman" w:hAnsi="Times New Roman" w:cs="Times New Roman" w:eastAsia="Times New Roman"/>
          <w:b w:val="0"/>
          <w:sz w:val="24"/>
        </w:rPr>
        <w:t xml:space="preserve">: la serie dei nomi tardivi era scritta nella fonte e attendeva lettura, ma la fonte stessa attesta che elementi furono espunti in un negoziato — e l’enclave rimossa dentro il cantiere latente è il suo dato più prezioso. Il cantiere Gamma — gli uffici del palazzo di giustizia — appartiene alla colonna </w:t>
      </w:r>
      <w:r>
        <w:rPr>
          <w:rFonts w:ascii="Times New Roman" w:hAnsi="Times New Roman" w:cs="Times New Roman" w:eastAsia="Times New Roman"/>
          <w:b/>
          <w:sz w:val="24"/>
        </w:rPr>
        <w:t>normativa</w:t>
      </w:r>
      <w:r>
        <w:rPr>
          <w:rFonts w:ascii="Times New Roman" w:hAnsi="Times New Roman" w:cs="Times New Roman" w:eastAsia="Times New Roman"/>
          <w:b w:val="0"/>
          <w:sz w:val="24"/>
        </w:rPr>
        <w:t xml:space="preserve">, con quota mista: latente negli atti d’ufficio depositati, rimossa nelle scelte mai verbalizzate; il cantiere lavora dunque con due strumenti, la vanga e l’assedio, e il giornale distingue riga per riga quale dei due opera. Il cantiere Delta — l’assone mediorientale — giace prevalentemente nel </w:t>
      </w:r>
      <w:r>
        <w:rPr>
          <w:rFonts w:ascii="Times New Roman" w:hAnsi="Times New Roman" w:cs="Times New Roman" w:eastAsia="Times New Roman"/>
          <w:b/>
          <w:sz w:val="24"/>
        </w:rPr>
        <w:t>fondo rimosso</w:t>
      </w:r>
      <w:r>
        <w:rPr>
          <w:rFonts w:ascii="Times New Roman" w:hAnsi="Times New Roman" w:cs="Times New Roman" w:eastAsia="Times New Roman"/>
          <w:b w:val="0"/>
          <w:sz w:val="24"/>
        </w:rPr>
        <w:t xml:space="preserve">, con derivati già emersi che ne provano la pressione, e con un’enclave nella normativa rimossa per le carte sotto segreto; è il cantiere d’assedio per eccellenza. Il cantiere Epsilon — le carte dell’appartamento — è la provincia del </w:t>
      </w:r>
      <w:r>
        <w:rPr>
          <w:rFonts w:ascii="Times New Roman" w:hAnsi="Times New Roman" w:cs="Times New Roman" w:eastAsia="Times New Roman"/>
          <w:b/>
          <w:sz w:val="24"/>
        </w:rPr>
        <w:t>rimosso</w:t>
      </w:r>
      <w:r>
        <w:rPr>
          <w:rFonts w:ascii="Times New Roman" w:hAnsi="Times New Roman" w:cs="Times New Roman" w:eastAsia="Times New Roman"/>
          <w:b w:val="0"/>
          <w:sz w:val="24"/>
        </w:rPr>
        <w:t xml:space="preserve"> nella sua forma più documentata: fondo rimosso per i materiali sottratti, mediazione rimossa poi parzialmente derivata per le soste e i passaggi; la struttura vi riconosce la contropressione più visibile dell’intero caso, e la terza legge vi garantisce che il sottratto si conserva. Il cantiere Zeta — i piani laterali della Quaglia — è la scoperta topografica di questa edizione: giace pressoché per intero nel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perché i registri di stato civile, gli atti notarili e le classi di fonti del salto dell’analista nessuno li secretò e nessuno li lesse — la Quaglia è, per costituzione, l’arte della regione latente, e il suo rendimento atteso è quello della vanga, non dell’assedio. Il cantiere Eta — le convergenze romane — giace in quota mista con prevalenza di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Il cantiere Theta — la pista elvetico-continentale — giace nel </w:t>
      </w:r>
      <w:r>
        <w:rPr>
          <w:rFonts w:ascii="Times New Roman" w:hAnsi="Times New Roman" w:cs="Times New Roman" w:eastAsia="Times New Roman"/>
          <w:b/>
          <w:sz w:val="24"/>
        </w:rPr>
        <w:t>fondo latente estero</w:t>
      </w:r>
      <w:r>
        <w:rPr>
          <w:rFonts w:ascii="Times New Roman" w:hAnsi="Times New Roman" w:cs="Times New Roman" w:eastAsia="Times New Roman"/>
          <w:b w:val="0"/>
          <w:sz w:val="24"/>
        </w:rPr>
        <w:t>, con barriera di deposito parziale dove l’accesso dipende da autorità terze: è il cantiere in cui la distinzione fra le due censure decide, atto per atto, se serve la disciplina o la pazienza. Il cantiere Iota — i fenomeni singolari — non riceve indirizzo di cantiere, per coerenza con la sua legge costitutiva: i singolari non si forzano in serie, e non si forzano nemmeno in provincia; ciascun fenomeno riceverà il proprio indirizzo individuale alla prima campagna, e l’eventuale addensarsi di più singolari in una stessa provincia sarà esso stesso un dato.</w:t>
      </w:r>
    </w:p>
    <w:p>
      <w:pPr>
        <w:spacing w:line="276" w:lineRule="auto" w:after="60" w:before="0"/>
        <w:ind w:firstLine="425"/>
        <w:jc w:val="both"/>
      </w:pPr>
      <w:r>
        <w:rPr>
          <w:rFonts w:ascii="Times New Roman" w:hAnsi="Times New Roman" w:cs="Times New Roman" w:eastAsia="Times New Roman"/>
          <w:b/>
          <w:sz w:val="24"/>
        </w:rPr>
        <w:t>Il recepimento della fluidità.</w:t>
      </w:r>
      <w:r>
        <w:rPr>
          <w:rFonts w:ascii="Times New Roman" w:hAnsi="Times New Roman" w:cs="Times New Roman" w:eastAsia="Times New Roman"/>
          <w:b w:val="0"/>
          <w:sz w:val="24"/>
        </w:rPr>
        <w:t xml:space="preserve"> Il Registro assume il Capo nono per intero e ne trae le proprie conseguenze interne. Le classificazioni del Registro — gli sciolti, i dubbi, i dissolti, gli indirizzi ora pronunciati — sono mappe e non gabbie: la casella serve il pensiero, e ogni riclassificazione si annota con la dignità di uno scioglimento. Davanti a ogni stallo istruttorio il Registro prescrive il cambio di quota: il dubbio che non cede da un indirizzo si riformula dall’indirizzo opposto prima di dichiararsi fermo. La lega metodologica di ogni istruttoria si decide dal contesto — la natura della fonte, la censura, la provincia, lo stato del dubbio, la pressione — e mai dall’abitudine, sotto il monito del gelo. E resta ferreo ciò che il Capo nono dichiara fuori dal crogiolo: nessuna fluidità tocca la Regola di Ferro, le clausole, la decompressione e l’ingresso in acqua — fluido il metodo, ferreo lo standard: il Registro, sede della prova, è il luogo dell’opera dove questa formula ha il suo tribunale.</w:t>
      </w:r>
    </w:p>
    <w:p>
      <w:pPr>
        <w:spacing w:line="276" w:lineRule="auto" w:after="80" w:before="200"/>
        <w:ind w:firstLine="0"/>
        <w:jc w:val="both"/>
      </w:pPr>
      <w:r>
        <w:rPr>
          <w:rFonts w:ascii="Times New Roman" w:hAnsi="Times New Roman" w:cs="Times New Roman" w:eastAsia="Times New Roman"/>
          <w:b/>
          <w:sz w:val="24"/>
        </w:rPr>
        <w:t>COLOPHON DELL’EDIZIONE DECIMA</w:t>
      </w:r>
    </w:p>
    <w:p>
      <w:pPr>
        <w:spacing w:line="276" w:lineRule="auto" w:after="60" w:before="0"/>
        <w:ind w:firstLine="425"/>
        <w:jc w:val="both"/>
      </w:pPr>
      <w:r>
        <w:rPr>
          <w:rFonts w:ascii="Times New Roman" w:hAnsi="Times New Roman" w:cs="Times New Roman" w:eastAsia="Times New Roman"/>
          <w:b w:val="0"/>
          <w:sz w:val="24"/>
        </w:rPr>
        <w:t>REGISTRO ANALITICO DEL CASO MORO, edizione decima, prodotta il due agosto duemilaventisei secondo il Protocollo Zero-Token e nello standard tipografico dell’opera. Contiene verbatim l’edizione nona e vi aggiunge la Parte ventisettesima: il recepimento definitivo della Metodologia Normaviva Beta e della Iceberg Structure, il regime a due tempi dell’indirizzamento, gli indirizzi di provincia degli otto cantieri indirizzabili con la riserva del nono, e il recepimento della fluidità con la formula che la limita: fluido il metodo, ferreo lo standard. Resta sovrana la Regola di Ferro: dove la fonte documenta, l’opera certifica; dove la fonte tace, l’opera indaga e non afferma. Autore e direttore dell’opera: Luigi De Michele.</w:t>
      </w:r>
    </w:p>
    <w:p>
      <w:pPr>
        <w:spacing w:line="276" w:lineRule="auto" w:after="80" w:before="200"/>
        <w:ind w:firstLine="0"/>
        <w:jc w:val="both"/>
      </w:pPr>
      <w:r>
        <w:rPr>
          <w:rFonts w:ascii="Times New Roman" w:hAnsi="Times New Roman" w:cs="Times New Roman" w:eastAsia="Times New Roman"/>
          <w:b/>
          <w:sz w:val="24"/>
        </w:rPr>
        <w:t>EDIZIONE UNDICESIMA — L'APPLICAZIONE DEFINITIVA: LA TOPOGRAFIA INDIVIDUALE DEI VENTISEI DUBBI</w:t>
      </w:r>
    </w:p>
    <w:p>
      <w:pPr>
        <w:spacing w:line="276" w:lineRule="auto" w:after="60" w:before="0"/>
        <w:ind w:firstLine="425"/>
        <w:jc w:val="both"/>
      </w:pPr>
      <w:r>
        <w:rPr>
          <w:rFonts w:ascii="Times New Roman" w:hAnsi="Times New Roman" w:cs="Times New Roman" w:eastAsia="Times New Roman"/>
          <w:b/>
          <w:sz w:val="24"/>
        </w:rPr>
        <w:t>Atto di applicazione.</w:t>
      </w:r>
      <w:r>
        <w:rPr>
          <w:rFonts w:ascii="Times New Roman" w:hAnsi="Times New Roman" w:cs="Times New Roman" w:eastAsia="Times New Roman"/>
          <w:b w:val="0"/>
          <w:sz w:val="24"/>
        </w:rPr>
        <w:t xml:space="preserve"> Per comando dell'autore, l'edizione undicesima compie ciò che l'edizione decima ha istituito. Il recepimento della Metodologia Normaviva Beta e della Iceberg Structure aveva pronunciato gli indirizzi di provincia degli otto cantieri indirizzabili, riservando l'indirizzo individuale di ciascun dubbio al giornale di scavo, alla prima campagna che lo avesse toccato. Il comando che genera questa edizione ordina di applicare la Metodologia e la Struttura definitive al Primo Documento, e il Registro — che possiede i dubbi e pronuncia su di essi — esegue anticipando il secondo tempo del regime in sede di prova: per ciascuno dei ventisei dubbi pendenti si pronuncia qui l'</w:t>
      </w:r>
      <w:r>
        <w:rPr>
          <w:rFonts w:ascii="Times New Roman" w:hAnsi="Times New Roman" w:cs="Times New Roman" w:eastAsia="Times New Roman"/>
          <w:b/>
          <w:sz w:val="24"/>
        </w:rPr>
        <w:t>indirizzo individuale</w:t>
      </w:r>
      <w:r>
        <w:rPr>
          <w:rFonts w:ascii="Times New Roman" w:hAnsi="Times New Roman" w:cs="Times New Roman" w:eastAsia="Times New Roman"/>
          <w:b w:val="0"/>
          <w:sz w:val="24"/>
        </w:rPr>
        <w:t xml:space="preserve"> — provincia, censura operante, lega metodologica chiamata dal contesto, condizione di scioglimento, tappa di risalita — quale </w:t>
      </w:r>
      <w:r>
        <w:rPr>
          <w:rFonts w:ascii="Times New Roman" w:hAnsi="Times New Roman" w:cs="Times New Roman" w:eastAsia="Times New Roman"/>
          <w:b/>
          <w:sz w:val="24"/>
        </w:rPr>
        <w:t>ipotesi di lavoro</w:t>
      </w:r>
      <w:r>
        <w:rPr>
          <w:rFonts w:ascii="Times New Roman" w:hAnsi="Times New Roman" w:cs="Times New Roman" w:eastAsia="Times New Roman"/>
          <w:b w:val="0"/>
          <w:sz w:val="24"/>
        </w:rPr>
        <w:t xml:space="preserve"> fondata esclusivamente su ciò che i tre Documenti attestano. Nulla dell'ordinamento muta: gli indirizzi non promuovono, non retrocedono e non gerarchizzano — i dubbi restano nello stato unico e non graduato di Descartes; il giornale di scavo conferma o corregge ogni indirizzo alla prima campagna, e ogni correzione si annota come dato, mai come fallimento, perché le mappe non sono gabbie. Il regime a due tempi diventa così un regime a tre battute: la mappa di cantiere ha orientato, la presente ricognizione individua, lo scavo verifica — e la mappa resta serva dello scavo. Vale, su ogni riga di questa Parte, la prima clausola di disciplina: quote, colonne, censure e rimozioni si predicano del caso, dell'archivio e del sistema documentale — mai di persone; e vale, sugli uffici e sulle funzioni, il vincolo scolpito in ogni Documento: la centralità documentale di un ufficio non è condotta di chi lo resse.</w:t>
      </w:r>
    </w:p>
    <w:p>
      <w:pPr>
        <w:spacing w:line="276" w:lineRule="auto" w:after="80" w:before="200"/>
        <w:ind w:firstLine="0"/>
        <w:jc w:val="both"/>
      </w:pPr>
      <w:r>
        <w:rPr>
          <w:rFonts w:ascii="Times New Roman" w:hAnsi="Times New Roman" w:cs="Times New Roman" w:eastAsia="Times New Roman"/>
          <w:b/>
          <w:sz w:val="24"/>
        </w:rPr>
        <w:t>PARTE VENTOTTESIMA — LA TOPOGRAFIA INDIVIDUALE DEI DUBBI E IL QUADRO DELL'EMERSO</w:t>
      </w:r>
    </w:p>
    <w:p>
      <w:pPr>
        <w:spacing w:line="276" w:lineRule="auto" w:after="60" w:before="0"/>
        <w:ind w:firstLine="425"/>
        <w:jc w:val="both"/>
      </w:pPr>
      <w:r>
        <w:rPr>
          <w:rFonts w:ascii="Times New Roman" w:hAnsi="Times New Roman" w:cs="Times New Roman" w:eastAsia="Times New Roman"/>
          <w:b/>
          <w:sz w:val="24"/>
        </w:rPr>
        <w:t>Il quadro dell'emerso.</w:t>
      </w:r>
      <w:r>
        <w:rPr>
          <w:rFonts w:ascii="Times New Roman" w:hAnsi="Times New Roman" w:cs="Times New Roman" w:eastAsia="Times New Roman"/>
          <w:b w:val="0"/>
          <w:sz w:val="24"/>
        </w:rPr>
        <w:t xml:space="preserve"> Prima della topografia del sommerso, il Registro colloca nella Struttura la propria parte emersa. Gli sciolti della Parte diciannovesima — la dinamica materiale dell'agguato quale evento; la morte del prigioniero e il ritrovamento del nove maggio; le condanne definitive quali atti; l'arresto del ventinove maggio settantanove e il rinvenimento dell'arma quali atti di polizia giudiziaria; l'esistenza, le date e il tenore testuale degli atti citati, in quanto testi; le funzioni istituzionali coeve ove attestate da fonte inventariale o normativa; il furto di Ponte Brolla quale accertamento tecnico binazionale; il documento del volo dirottato quale testo riprodotto — costituiscono l'</w:t>
      </w:r>
      <w:r>
        <w:rPr>
          <w:rFonts w:ascii="Times New Roman" w:hAnsi="Times New Roman" w:cs="Times New Roman" w:eastAsia="Times New Roman"/>
          <w:b/>
          <w:sz w:val="24"/>
        </w:rPr>
        <w:t>emerso</w:t>
      </w:r>
      <w:r>
        <w:rPr>
          <w:rFonts w:ascii="Times New Roman" w:hAnsi="Times New Roman" w:cs="Times New Roman" w:eastAsia="Times New Roman"/>
          <w:b w:val="0"/>
          <w:sz w:val="24"/>
        </w:rPr>
        <w:t xml:space="preserve"> dell'iceberg del caso: la regione franca che ogni paradigma in campo descrive identicamente, e che il raffinamento kuhniano dell'ordinamento riconosce come il solo ghiaccio sopra la linea. L'applicazione della Struttura non vi aggiunge e non vi toglie nulla: l'emerso non riceve indirizzi di provincia, perché le province sono la topografia del sommerso e ciò che è sopra la linea non ha censura che lo trattenga; riceve, come proprio statuto, la conferma che lo sciolto certifica il fatto o l'atto, mai la sua interpretazione. I dissolti della medesima Parte restano fuori dal ghiaccio: artefatti espunti con menzione, che nessuna topografia ospita e nessuna distrazione riapre.</w:t>
      </w:r>
    </w:p>
    <w:p>
      <w:pPr>
        <w:spacing w:line="276" w:lineRule="auto" w:after="60" w:before="0"/>
        <w:ind w:firstLine="425"/>
        <w:jc w:val="both"/>
      </w:pPr>
      <w:r>
        <w:rPr>
          <w:rFonts w:ascii="Times New Roman" w:hAnsi="Times New Roman" w:cs="Times New Roman" w:eastAsia="Times New Roman"/>
          <w:b/>
          <w:sz w:val="24"/>
        </w:rPr>
        <w:t>Cantiere Alfa — il blocco stenografico.</w:t>
      </w:r>
      <w:r>
        <w:rPr>
          <w:rFonts w:ascii="Times New Roman" w:hAnsi="Times New Roman" w:cs="Times New Roman" w:eastAsia="Times New Roman"/>
          <w:b w:val="0"/>
          <w:sz w:val="24"/>
        </w:rPr>
        <w:t xml:space="preserve"> Dubbio diciannovesimo. Indirizzo individuale: </w:t>
      </w:r>
      <w:r>
        <w:rPr>
          <w:rFonts w:ascii="Times New Roman" w:hAnsi="Times New Roman" w:cs="Times New Roman" w:eastAsia="Times New Roman"/>
          <w:b/>
          <w:sz w:val="24"/>
        </w:rPr>
        <w:t>mediazione latente</w:t>
      </w:r>
      <w:r>
        <w:rPr>
          <w:rFonts w:ascii="Times New Roman" w:hAnsi="Times New Roman" w:cs="Times New Roman" w:eastAsia="Times New Roman"/>
          <w:b w:val="0"/>
          <w:sz w:val="24"/>
        </w:rPr>
        <w:t>, in conferma piena dell'indirizzo di cantiere — atti parlamentari depositati, integri e non letti, custoditi dall'istanza della mediazione e protetti dalla sola barriera di lettura. Censura operante: di lettura, senza alcuna barriera di deposito attiva. Lega chiamata dal contesto: la vanga e la disciplina — conversione per riconoscimento ottico, indicizzazione, lettura di pagina sistematica, smistamento delle risultanze ai cantieri competenti — senza alcuna componente d'assedio, perché il bersaglio si abbatte con le proprie mani. Condizione di scioglimento: la conversione integrale, che resta la priorità assoluta dell'apparato. Tappa di risalita: lettura, prima tappa, con calendario sovraordinato per la fisica del ghiaccio che si scioglie. Il dubbio conserva la propria natura strumentale: è condizione di scioglimento di molti altri, e ogni sua acquisizione si smista prima di pronunciare.</w:t>
      </w:r>
    </w:p>
    <w:p>
      <w:pPr>
        <w:spacing w:line="276" w:lineRule="auto" w:after="60" w:before="0"/>
        <w:ind w:firstLine="425"/>
        <w:jc w:val="both"/>
      </w:pPr>
      <w:r>
        <w:rPr>
          <w:rFonts w:ascii="Times New Roman" w:hAnsi="Times New Roman" w:cs="Times New Roman" w:eastAsia="Times New Roman"/>
          <w:b/>
          <w:sz w:val="24"/>
        </w:rPr>
        <w:t>Cantiere Beta — il perimetro degli esecutori.</w:t>
      </w:r>
      <w:r>
        <w:rPr>
          <w:rFonts w:ascii="Times New Roman" w:hAnsi="Times New Roman" w:cs="Times New Roman" w:eastAsia="Times New Roman"/>
          <w:b w:val="0"/>
          <w:sz w:val="24"/>
        </w:rPr>
        <w:t xml:space="preserve"> Dubbio ventesimo. Indirizzo individuale: </w:t>
      </w:r>
      <w:r>
        <w:rPr>
          <w:rFonts w:ascii="Times New Roman" w:hAnsi="Times New Roman" w:cs="Times New Roman" w:eastAsia="Times New Roman"/>
          <w:b/>
          <w:sz w:val="24"/>
        </w:rPr>
        <w:t>fondo latente con enclave di mediazione rimossa</w:t>
      </w:r>
      <w:r>
        <w:rPr>
          <w:rFonts w:ascii="Times New Roman" w:hAnsi="Times New Roman" w:cs="Times New Roman" w:eastAsia="Times New Roman"/>
          <w:b w:val="0"/>
          <w:sz w:val="24"/>
        </w:rPr>
        <w:t xml:space="preserve">, in conferma dell'indirizzo di cantiere — la serie dei nomi tardivi giaceva scritta nelle fonti e attendeva lettura, mentre la fonte parlamentare stessa attesta che elementi furono espunti dalla ricostruzione in un negoziato: l'enclave rimossa dentro il corpo latente resta il dato più prezioso del cantiere. Censura operante: di lettura sul corpo della serie; bordo di rimozione attestato sulle espunzioni. Lega: lettura di pagina, riscontro incrociato delle dichiarazioni, e il presidio del polo della caccia — il fascicolo mai chiuso — perché la condizione del dubbio è negativa. Condizione di scioglimento: negativa e perpetua — il dubbio resta pendente finché ogni nuova emersione non sia esclusa, e non si presume mai sciolto. Tappa: istruttoria permanente. Dubbio ventiduesimo.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con il medesimo bordo di mediazione rimossa che la fonte dichiara — la serie, ora di quattro nomi, sta scritta nella relazione della seconda Commissione, e l'annotazione sulle espunzioni nel negoziato politico-giudiziario è essa stessa testo latente che nomina il rimosso. Censura: di lettura. Lega: il gioco dichiarato — la grammatica della cautela della fonte parlamentare viaggia con ogni citazione — la lettura degli atti processuali sulle posizioni emerse tardivamente e il riscontro della conferma resa sul nucleo operante. Condizione di scioglimento: la lettura integrale degli atti sulle posizioni tardive, dentro la condizione negativa del ventesimo che il cantiere custodisce. Tappa: istruttoria. Dubbio undicesimo, per la componente che il cantiere condivide con Theta. Indirizzo individuale: </w:t>
      </w:r>
      <w:r>
        <w:rPr>
          <w:rFonts w:ascii="Times New Roman" w:hAnsi="Times New Roman" w:cs="Times New Roman" w:eastAsia="Times New Roman"/>
          <w:b/>
          <w:sz w:val="24"/>
        </w:rPr>
        <w:t>normativa latente estera, con barriera di deposito parziale</w:t>
      </w:r>
      <w:r>
        <w:rPr>
          <w:rFonts w:ascii="Times New Roman" w:hAnsi="Times New Roman" w:cs="Times New Roman" w:eastAsia="Times New Roman"/>
          <w:b w:val="0"/>
          <w:sz w:val="24"/>
        </w:rPr>
        <w:t xml:space="preserve"> — gli atti della giurisdizione elvetica esistono presso l'istanza normativa di un altro ordinamento, e l'accesso dipende da autorità terze: l'indirizzo individuale corregge, per questa posizione, l'indirizzo del cantiere ospitante, e la correzione si annota come primo esercizio della fluidità che il regime prescrive. Censura: di deposito parziale; dove l'accesso è concesso, di sola lettura. Lega: il salto dell'analista della Quaglia — il cambio di classe di fonti verso i registri e gli atti dell'altro ordinamento — e il polo della prova: soltanto gli atti, mai le attribuzioni. Condizione di scioglimento: gli atti di quella giurisdizione, nella loro integralità. Tappa: istruttoria.</w:t>
      </w:r>
    </w:p>
    <w:p>
      <w:pPr>
        <w:spacing w:line="276" w:lineRule="auto" w:after="60" w:before="0"/>
        <w:ind w:firstLine="425"/>
        <w:jc w:val="both"/>
      </w:pPr>
      <w:r>
        <w:rPr>
          <w:rFonts w:ascii="Times New Roman" w:hAnsi="Times New Roman" w:cs="Times New Roman" w:eastAsia="Times New Roman"/>
          <w:b/>
          <w:sz w:val="24"/>
        </w:rPr>
        <w:t>Cantiere Gamma — gli uffici del palazzo di giustizia.</w:t>
      </w:r>
      <w:r>
        <w:rPr>
          <w:rFonts w:ascii="Times New Roman" w:hAnsi="Times New Roman" w:cs="Times New Roman" w:eastAsia="Times New Roman"/>
          <w:b w:val="0"/>
          <w:sz w:val="24"/>
        </w:rPr>
        <w:t xml:space="preserve"> Dubbio terzo. Indirizzo individuale: </w:t>
      </w:r>
      <w:r>
        <w:rPr>
          <w:rFonts w:ascii="Times New Roman" w:hAnsi="Times New Roman" w:cs="Times New Roman" w:eastAsia="Times New Roman"/>
          <w:b/>
          <w:sz w:val="24"/>
        </w:rPr>
        <w:t>normativa latente quanto alla dichiarazione, normativa rimossa quanto all'effettività</w:t>
      </w:r>
      <w:r>
        <w:rPr>
          <w:rFonts w:ascii="Times New Roman" w:hAnsi="Times New Roman" w:cs="Times New Roman" w:eastAsia="Times New Roman"/>
          <w:b w:val="0"/>
          <w:sz w:val="24"/>
        </w:rPr>
        <w:t xml:space="preserve"> — la dichiarazione del tramite d'affari è depositata negli atti e attende riscontro; se l'incontro sia mai avvenuto, e perché fu indicato un ufficio della Procura generale, giace nelle scelte mai verbalizzate che il cantiere dichiara come propria quota rimossa. Censura: di lettura sul dichiarato; la rimozione, ove esista, si riconoscerà dai bordi. Lega: i riscontri della dichiarazione — date, circostanze, moventi del dichiarante — con la doppia conferma del polo della caccia e la seconda clausola a presidio: il diniego eventuale resta un diniego e non muove alcuna soglia. Condizione di scioglimento: i riscontri della dichiarazione. Tappa: istruttoria. Dubbio quarto. Indirizzo individuale: </w:t>
      </w:r>
      <w:r>
        <w:rPr>
          <w:rFonts w:ascii="Times New Roman" w:hAnsi="Times New Roman" w:cs="Times New Roman" w:eastAsia="Times New Roman"/>
          <w:b/>
          <w:sz w:val="24"/>
        </w:rPr>
        <w:t>normativa, quota mista</w:t>
      </w:r>
      <w:r>
        <w:rPr>
          <w:rFonts w:ascii="Times New Roman" w:hAnsi="Times New Roman" w:cs="Times New Roman" w:eastAsia="Times New Roman"/>
          <w:b w:val="0"/>
          <w:sz w:val="24"/>
        </w:rPr>
        <w:t xml:space="preserve">, in conferma del cantiere — la convergenza di due vie indipendenti sul medesimo ufficio è dubbio composto, e la sua provincia si preciserà con lo scioglimento dei suoi semplici. Censura: derivata da quella dei componenti. Lega: la composizione delle ipotesi computata — l'ipotesi su ipotesi è ipotesi al quadrato — e la terza regola dell'ordinamento: dai semplici ai composti. Condizione di scioglimento: dopo il secondo e il terzo, come la Parte diciannovesima prescrive. Tappa: istruttoria sospesa in attesa dei semplici, con annotazione a giornale della sospensione. Dubbio sedicesimo. Indirizzo individuale: </w:t>
      </w:r>
      <w:r>
        <w:rPr>
          <w:rFonts w:ascii="Times New Roman" w:hAnsi="Times New Roman" w:cs="Times New Roman" w:eastAsia="Times New Roman"/>
          <w:b/>
          <w:sz w:val="24"/>
        </w:rPr>
        <w:t>normativa latente</w:t>
      </w:r>
      <w:r>
        <w:rPr>
          <w:rFonts w:ascii="Times New Roman" w:hAnsi="Times New Roman" w:cs="Times New Roman" w:eastAsia="Times New Roman"/>
          <w:b w:val="0"/>
          <w:sz w:val="24"/>
        </w:rPr>
        <w:t xml:space="preserve"> — le fonti processuali delle dichiarazioni sulla nomina del mediatore esistono e attendono risalita. Censura: di lettura. Lega: la risalita alle fonti processuali e la mappa d'uso sulle dichiarazioni, perché i termini controversi non si definiscono ma si censiscono uso per uso. Condizione di scioglimento: la risalita alle fonti processuali delle dichiarazioni. Tappa: istruttoria. Dubbio venticinquesimo. Indirizzo individuale: </w:t>
      </w:r>
      <w:r>
        <w:rPr>
          <w:rFonts w:ascii="Times New Roman" w:hAnsi="Times New Roman" w:cs="Times New Roman" w:eastAsia="Times New Roman"/>
          <w:b/>
          <w:sz w:val="24"/>
        </w:rPr>
        <w:t>mediazione latente con bersaglio nella colonna normativa</w:t>
      </w:r>
      <w:r>
        <w:rPr>
          <w:rFonts w:ascii="Times New Roman" w:hAnsi="Times New Roman" w:cs="Times New Roman" w:eastAsia="Times New Roman"/>
          <w:b w:val="0"/>
          <w:sz w:val="24"/>
        </w:rPr>
        <w:t xml:space="preserve"> — le sezioni del Tomo sesto dedicate alle indagini dopo l'agguato, al procuratore capo e al magistrato delle prime indagini sono elaborato parlamentare depositato e non ancora letto: la carta parla la lingua della mediazione, il bersaglio abita la colonna normativa, e l'indirizzo dichiara entrambe le cose perché la colonna dice quale linguaggio parlano le carte. Censura: di lettura. Lega: lettura integrale, censimento delle asserzioni, stratigrafia delle fonti, sotto il vincolo ribadito in testa al cantiere. Condizione di scioglimento: la lettura integrale delle sezioni e il confronto con gli atti richiamati. Tappa: lettura.</w:t>
      </w:r>
    </w:p>
    <w:p>
      <w:pPr>
        <w:spacing w:line="276" w:lineRule="auto" w:after="60" w:before="0"/>
        <w:ind w:firstLine="425"/>
        <w:jc w:val="both"/>
      </w:pPr>
      <w:r>
        <w:rPr>
          <w:rFonts w:ascii="Times New Roman" w:hAnsi="Times New Roman" w:cs="Times New Roman" w:eastAsia="Times New Roman"/>
          <w:b/>
          <w:sz w:val="24"/>
        </w:rPr>
        <w:t>Cantiere Delta — l'assone mediorientale.</w:t>
      </w:r>
      <w:r>
        <w:rPr>
          <w:rFonts w:ascii="Times New Roman" w:hAnsi="Times New Roman" w:cs="Times New Roman" w:eastAsia="Times New Roman"/>
          <w:b w:val="0"/>
          <w:sz w:val="24"/>
        </w:rPr>
        <w:t xml:space="preserve"> Dubbio primo. Indirizzo individuale: </w:t>
      </w:r>
      <w:r>
        <w:rPr>
          <w:rFonts w:ascii="Times New Roman" w:hAnsi="Times New Roman" w:cs="Times New Roman" w:eastAsia="Times New Roman"/>
          <w:b/>
          <w:sz w:val="24"/>
        </w:rPr>
        <w:t>fondo rimosso con derivato emerso e accesso per mediazione latente</w:t>
      </w:r>
      <w:r>
        <w:rPr>
          <w:rFonts w:ascii="Times New Roman" w:hAnsi="Times New Roman" w:cs="Times New Roman" w:eastAsia="Times New Roman"/>
          <w:b w:val="0"/>
          <w:sz w:val="24"/>
        </w:rPr>
        <w:t xml:space="preserve"> — il canale della fonte di Beirut appartiene al fondo del caso; il documento del diciassette febbraio ne è il derivato già emerso che ne prova la pressione; gli atti della seconda Commissione sul fascicolo della fonte sono la porta latente da cui l'assedio comincia. Censura: di deposito sul fondo; di lettura sulla porta parlamentare. Lega: l'assedio del polo della caccia sul fondo e la vanga sulla porta — risalita integrale agli atti, poi riscontro incrociato con il fascicolo della trattativa, la cui convergenza va misurata e mai presunta. Condizione di scioglimento: la risalita integrale agli atti della seconda Commissione. Tappa: istruttoria, con pressione alta per la qualità documentale già acquisita. Dubbio ventiseiesimo. Indirizzo individuale: </w:t>
      </w:r>
      <w:r>
        <w:rPr>
          <w:rFonts w:ascii="Times New Roman" w:hAnsi="Times New Roman" w:cs="Times New Roman" w:eastAsia="Times New Roman"/>
          <w:b/>
          <w:sz w:val="24"/>
        </w:rPr>
        <w:t>fondo rimosso con enclave di normativa rimossa</w:t>
      </w:r>
      <w:r>
        <w:rPr>
          <w:rFonts w:ascii="Times New Roman" w:hAnsi="Times New Roman" w:cs="Times New Roman" w:eastAsia="Times New Roman"/>
          <w:b w:val="0"/>
          <w:sz w:val="24"/>
        </w:rPr>
        <w:t xml:space="preserve"> — la trattativa è documentata, i due ministeri informati sono nominati, l'ambasciatore che chiese l'incontro è in fonte; ciò che accadde a fine aprile è dichiarato non conosciuto dalla fonte stessa, e le carte sotto segreto costituiscono l'enclave normativa rimossa che il cantiere ha già dichiarato. Censura: di deposito, con derivati emersi — la notizia della richiesta di passaporto fra essi — che si trattano come derivati: di quale insieme, con quale deformazione, e che cosa non è ancora riemerso. Lega: assedio, corrispondenza diplomatica, audizioni dei superstiti, e il riscontro incrociato col fascicolo del canale — due materiali indipendenti, una convergenza da misurare. Condizione di scioglimento: gli atti dei due ministeri informati e la determinazione documentale del blocco. Tappa: istruttoria d'assedio.</w:t>
      </w:r>
    </w:p>
    <w:p>
      <w:pPr>
        <w:spacing w:line="276" w:lineRule="auto" w:after="60" w:before="0"/>
        <w:ind w:firstLine="425"/>
        <w:jc w:val="both"/>
      </w:pPr>
      <w:r>
        <w:rPr>
          <w:rFonts w:ascii="Times New Roman" w:hAnsi="Times New Roman" w:cs="Times New Roman" w:eastAsia="Times New Roman"/>
          <w:b/>
          <w:sz w:val="24"/>
        </w:rPr>
        <w:t>Cantiere Epsilon — le carte dell'appartamento.</w:t>
      </w:r>
      <w:r>
        <w:rPr>
          <w:rFonts w:ascii="Times New Roman" w:hAnsi="Times New Roman" w:cs="Times New Roman" w:eastAsia="Times New Roman"/>
          <w:b w:val="0"/>
          <w:sz w:val="24"/>
        </w:rPr>
        <w:t xml:space="preserve"> Dubbio ventiquattresimo. Indirizzo individuale: </w:t>
      </w:r>
      <w:r>
        <w:rPr>
          <w:rFonts w:ascii="Times New Roman" w:hAnsi="Times New Roman" w:cs="Times New Roman" w:eastAsia="Times New Roman"/>
          <w:b/>
          <w:sz w:val="24"/>
        </w:rPr>
        <w:t>fondo rimosso quanto ai materiali sottratti, normativa rimossa quanto all'ordine</w:t>
      </w:r>
      <w:r>
        <w:rPr>
          <w:rFonts w:ascii="Times New Roman" w:hAnsi="Times New Roman" w:cs="Times New Roman" w:eastAsia="Times New Roman"/>
          <w:b w:val="0"/>
          <w:sz w:val="24"/>
        </w:rPr>
        <w:t xml:space="preserve"> — la sparizione di denaro, lettere e pagine è contestata in atti con conferma di una coimputata, e i materiali sottratti giacciono nel fondo che la terza legge della struttura dichiara conservato; chi diede l'ordine del primo ottobre è, allo stato, una scelta non verbalizzata dentro una catena di comando, e abita la colonna normativa nella sua quota rimossa. Censura: di deposito su entrambe le membra, con la contropressione più visibile dell'intero caso. Lega: la catena documentata degli ordini, l'inventario comparato dei materiali delle due emersioni, il teorema del ritorno del rimosso — che ritorna deformato e scaglionato — e la grammatica della deformazione su ogni emersione: che cosa condensa, da che cosa sposta, che cosa ricuce. Condizione di scioglimento: la catena degli ordini risalita atto per atto e l'inventario comparato. Tappa: istruttoria d'assedio. Dubbio ventitreesimo. Indirizzo individuale: </w:t>
      </w:r>
      <w:r>
        <w:rPr>
          <w:rFonts w:ascii="Times New Roman" w:hAnsi="Times New Roman" w:cs="Times New Roman" w:eastAsia="Times New Roman"/>
          <w:b/>
          <w:sz w:val="24"/>
        </w:rPr>
        <w:t>mediazione rimossa con derivato integrale emerso</w:t>
      </w:r>
      <w:r>
        <w:rPr>
          <w:rFonts w:ascii="Times New Roman" w:hAnsi="Times New Roman" w:cs="Times New Roman" w:eastAsia="Times New Roman"/>
          <w:b w:val="0"/>
          <w:sz w:val="24"/>
        </w:rPr>
        <w:t xml:space="preserve"> — il testo del memoriale dell'ottantasei è pervenuto, e in ciò il derivato è integrale; il tragitto quadriennale per via religiosa e la sosta dei quarantaquattro giorni al vertice dello Stato appartengono alla mediazione nella sua quota rimossa, perché le ragioni della sosta non sono in atto. Censura: superata quanto al testo, di deposito quanto al tragitto. Lega: cronologia fine, riscontro delle date, lettura del caso come caso di scuola della rimozione che conserva e del ritorno deformato. Condizione di scioglimento: gli atti della trasmissione e la documentazione del tragitto e della sosta. Tappa: istruttoria.</w:t>
      </w:r>
    </w:p>
    <w:p>
      <w:pPr>
        <w:spacing w:line="276" w:lineRule="auto" w:after="60" w:before="0"/>
        <w:ind w:firstLine="425"/>
        <w:jc w:val="both"/>
      </w:pPr>
      <w:r>
        <w:rPr>
          <w:rFonts w:ascii="Times New Roman" w:hAnsi="Times New Roman" w:cs="Times New Roman" w:eastAsia="Times New Roman"/>
          <w:b/>
          <w:sz w:val="24"/>
        </w:rPr>
        <w:t>Cantiere Zeta — i piani laterali della Quaglia.</w:t>
      </w:r>
      <w:r>
        <w:rPr>
          <w:rFonts w:ascii="Times New Roman" w:hAnsi="Times New Roman" w:cs="Times New Roman" w:eastAsia="Times New Roman"/>
          <w:b w:val="0"/>
          <w:sz w:val="24"/>
        </w:rPr>
        <w:t xml:space="preserve"> Dubbio quinto.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 la parentela eventuale fra il religioso del canale di ritorno e la dirigenza dell'istituto finanziario giace, se giace, nei registri di stato civile che nessuno secretò e nessuno lesse. Censura: di lettura, nella classe di fonti più negletta. Lega: la Quaglia sul piano rituale e patrimoniale, con la regola dell'atto — nessun piano si certifica finché l'atto non è prodotto — e il salto dell'analista verso l'anagrafe. Condizione di scioglimento: l'atto anagrafico. Tappa: istruttoria, con il miglior rapporto dichiarato fra costo dello scavo e valore dell'aggancio. Dubbio sesto.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sul piano professionale — le due posizioni dei criminologi degli elenchi sono scritte negli atti e attendono lettura integrale, e la domanda se la simmetria sia struttura o coincidenza si decide lì. Censura: di lettura. Lega: lettura integrale delle due posizioni, eterogeneità del piano — il piano professionale non si confonde col piano operativo — e attenzione fluttuante contro ogni selezione preventiva. Condizione di scioglimento: la lettura integrale delle rispettive posizioni. Tappa: istruttoria. Dubbio settimo.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sul piano rituale — il matrimonio è atto, e l'atto è la sola cosa che il piano attesta. Censura: di lettura; ma il dubbio è, per propria costituzione, in attesa d'atto nuovo. Lega: canale contro uso — documentare un canale non prova l'uso del canale — con l'autoqualifica della fonte che viaggia con la citazione, e la falsificazione dichiarata: estraneità o posteriorità dell'atto sciolgono in negativo. Condizione di scioglimento: solo per atto nuovo, come la Parte diciannovesima scolpisce. Tappa: istruttoria in attesa d'atto, annotata come tale. Dubbio diciassettesimo. Indirizzo individuale: </w:t>
      </w:r>
      <w:r>
        <w:rPr>
          <w:rFonts w:ascii="Times New Roman" w:hAnsi="Times New Roman" w:cs="Times New Roman" w:eastAsia="Times New Roman"/>
          <w:b/>
          <w:sz w:val="24"/>
        </w:rPr>
        <w:t>fondo latente estero con barriera di deposito parziale</w:t>
      </w:r>
      <w:r>
        <w:rPr>
          <w:rFonts w:ascii="Times New Roman" w:hAnsi="Times New Roman" w:cs="Times New Roman" w:eastAsia="Times New Roman"/>
          <w:b w:val="0"/>
          <w:sz w:val="24"/>
        </w:rPr>
        <w:t xml:space="preserve"> — gli atti dell'istruttoria veneziana sono la porta interna; le fonti francesi dipendono da autorità terze, e la distinzione fra le due censure decide, atto per atto, se serve la disciplina o la pazienza. Censura: mista, di lettura e di deposito. Lega: la Quaglia sul piano confidenziale, gli atti veneziani per primi, le fonti francesi ad assedio. Condizione di scioglimento: gli atti dell'istruttoria veneziana e le fonti francesi su anni, forme e consapevolezza della protezione. Tappa: istruttoria.</w:t>
      </w:r>
    </w:p>
    <w:p>
      <w:pPr>
        <w:spacing w:line="276" w:lineRule="auto" w:after="60" w:before="0"/>
        <w:ind w:firstLine="425"/>
        <w:jc w:val="both"/>
      </w:pPr>
      <w:r>
        <w:rPr>
          <w:rFonts w:ascii="Times New Roman" w:hAnsi="Times New Roman" w:cs="Times New Roman" w:eastAsia="Times New Roman"/>
          <w:b/>
          <w:sz w:val="24"/>
        </w:rPr>
        <w:t>Cantiere Eta — le convergenze romane.</w:t>
      </w:r>
      <w:r>
        <w:rPr>
          <w:rFonts w:ascii="Times New Roman" w:hAnsi="Times New Roman" w:cs="Times New Roman" w:eastAsia="Times New Roman"/>
          <w:b w:val="0"/>
          <w:sz w:val="24"/>
        </w:rPr>
        <w:t xml:space="preserve"> Dubbio secondo.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 l'ordinanza e i fascicoli del nucleo esistono depositati, e l'uso, il verso e i beneficiari del canale fra il falsario, il confidente e il maresciallo si cercano lì. Censura: di lettura. Lega: lettura integrale dell'ordinanza e dei fascicoli, con la regola del canale fidato del polo della caccia — la scelta del canale è parte dell'informazione — e il principio canale contro uso a presidio: il canale è documentato, l'uso è il dubbio. Condizione di scioglimento: la lettura integrale dell'ordinanza e dei fascicoli del nucleo. Tappa: istruttoria, la prima nominata dal vaglio investigativo dell'edizione quarta. Dubbio ottavo. Indirizzo individuale: </w:t>
      </w:r>
      <w:r>
        <w:rPr>
          <w:rFonts w:ascii="Times New Roman" w:hAnsi="Times New Roman" w:cs="Times New Roman" w:eastAsia="Times New Roman"/>
          <w:b/>
          <w:sz w:val="24"/>
        </w:rPr>
        <w:t>fondo rimosso estero con barriera di deposito</w:t>
      </w:r>
      <w:r>
        <w:rPr>
          <w:rFonts w:ascii="Times New Roman" w:hAnsi="Times New Roman" w:cs="Times New Roman" w:eastAsia="Times New Roman"/>
          <w:b w:val="0"/>
          <w:sz w:val="24"/>
        </w:rPr>
        <w:t xml:space="preserve"> — le carte dei servizi dell'Est, ove accessibili, sono l'unica condizione che la Parte diciannovesima riconosce, e l'accesso dipende per intero da autorità terze. Censura: di deposito. Lega: assedio paziente e rete dei sensori del polo della caccia, con il fascicolo mai chiuso. Condizione di scioglimento: le carte dei servizi dell'Est, ove accessibili. Tappa: istruttoria d'assedio. Dubbio dodicesimo.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 la finestra testuale in cui il nome del consigliere istruttore ricorre presso il palazzo, e gli atti immobiliari, sono materia di lettura e di visura. Censura: di lettura. Lega: toponomastica documentale e visure, con la regola scolpita nel cantiere: la convergenza spaziale è indicatore e mai prova. Condizione di scioglimento: la lettura della finestra e gli atti immobiliari. Tappa: istruttoria. Dubbio tredicesimo. Indirizzo individuale: </w:t>
      </w:r>
      <w:r>
        <w:rPr>
          <w:rFonts w:ascii="Times New Roman" w:hAnsi="Times New Roman" w:cs="Times New Roman" w:eastAsia="Times New Roman"/>
          <w:b/>
          <w:sz w:val="24"/>
        </w:rPr>
        <w:t>fondo latente</w:t>
      </w:r>
      <w:r>
        <w:rPr>
          <w:rFonts w:ascii="Times New Roman" w:hAnsi="Times New Roman" w:cs="Times New Roman" w:eastAsia="Times New Roman"/>
          <w:b w:val="0"/>
          <w:sz w:val="24"/>
        </w:rPr>
        <w:t xml:space="preserve"> — le finestre testuali sulla società di trasporto valori presso il collaboratore politico e i registri societari attendono la medesima coppia di strumenti. Censura: di lettura. Lega: lettura delle finestre, visure societarie, medesimo presidio sull'indicatore spaziale. Condizione di scioglimento: la lettura delle finestre e gli atti societari. Tappa: istruttoria.</w:t>
      </w:r>
    </w:p>
    <w:p>
      <w:pPr>
        <w:spacing w:line="276" w:lineRule="auto" w:after="60" w:before="0"/>
        <w:ind w:firstLine="425"/>
        <w:jc w:val="both"/>
      </w:pPr>
      <w:r>
        <w:rPr>
          <w:rFonts w:ascii="Times New Roman" w:hAnsi="Times New Roman" w:cs="Times New Roman" w:eastAsia="Times New Roman"/>
          <w:b/>
          <w:sz w:val="24"/>
        </w:rPr>
        <w:t>Cantiere Theta — l'elvetico-continentale.</w:t>
      </w:r>
      <w:r>
        <w:rPr>
          <w:rFonts w:ascii="Times New Roman" w:hAnsi="Times New Roman" w:cs="Times New Roman" w:eastAsia="Times New Roman"/>
          <w:b w:val="0"/>
          <w:sz w:val="24"/>
        </w:rPr>
        <w:t xml:space="preserve"> Dubbio diciottesimo. Indirizzo individuale: </w:t>
      </w:r>
      <w:r>
        <w:rPr>
          <w:rFonts w:ascii="Times New Roman" w:hAnsi="Times New Roman" w:cs="Times New Roman" w:eastAsia="Times New Roman"/>
          <w:b/>
          <w:sz w:val="24"/>
        </w:rPr>
        <w:t>normativa latente con barriera di deposito parziale sul versante estero</w:t>
      </w:r>
      <w:r>
        <w:rPr>
          <w:rFonts w:ascii="Times New Roman" w:hAnsi="Times New Roman" w:cs="Times New Roman" w:eastAsia="Times New Roman"/>
          <w:b w:val="0"/>
          <w:sz w:val="24"/>
        </w:rPr>
        <w:t xml:space="preserve"> — l'accertamento tecnico binazionale del furto è sciolto e sta nell'emerso; a quale ordigno l'accertamento si riferisca, e quali altri ritrovamenti appartengano allo stock, giace nell'elaborato depositato che attende lettura integrale, con gli atti elvetici soggetti ad autorità terze. Censura: di lettura sull'elaborato; di deposito parziale sugli atti esteri. Lega: tracciamento del flusso alla maniera dei registri, riscontro seriale dei lotti, e la piattaforma dell'emerso come punto di partenza — lo scavo consiste nel tracciare la distribuzione da un accertamento di prima qualità. Condizione di scioglimento: la lettura integrale dell'elaborato. Tappa: istruttoria, con pressione media-alta per la qualità del punto di partenza.</w:t>
      </w:r>
    </w:p>
    <w:p>
      <w:pPr>
        <w:spacing w:line="276" w:lineRule="auto" w:after="60" w:before="0"/>
        <w:ind w:firstLine="425"/>
        <w:jc w:val="both"/>
      </w:pPr>
      <w:r>
        <w:rPr>
          <w:rFonts w:ascii="Times New Roman" w:hAnsi="Times New Roman" w:cs="Times New Roman" w:eastAsia="Times New Roman"/>
          <w:b/>
          <w:sz w:val="24"/>
        </w:rPr>
        <w:t>Cantiere Iota — i fenomeni singolari.</w:t>
      </w:r>
      <w:r>
        <w:rPr>
          <w:rFonts w:ascii="Times New Roman" w:hAnsi="Times New Roman" w:cs="Times New Roman" w:eastAsia="Times New Roman"/>
          <w:b w:val="0"/>
          <w:sz w:val="24"/>
        </w:rPr>
        <w:t xml:space="preserve"> Il cantiere riceve, per la propria legge costitutiva, indirizzi individuali e mai un indirizzo di serie; l'eventuale addensarsi di più singolari in una stessa provincia resterà un dato da annotare, non una serie da costruire. Dubbio nono. Indirizzo individuale: </w:t>
      </w:r>
      <w:r>
        <w:rPr>
          <w:rFonts w:ascii="Times New Roman" w:hAnsi="Times New Roman" w:cs="Times New Roman" w:eastAsia="Times New Roman"/>
          <w:b/>
          <w:sz w:val="24"/>
        </w:rPr>
        <w:t>fondo latente quanto agli atti coevi della struttura di crisi</w:t>
      </w:r>
      <w:r>
        <w:rPr>
          <w:rFonts w:ascii="Times New Roman" w:hAnsi="Times New Roman" w:cs="Times New Roman" w:eastAsia="Times New Roman"/>
          <w:b w:val="0"/>
          <w:sz w:val="24"/>
        </w:rPr>
        <w:t xml:space="preserve">, contro i quali le autodichiarazioni tarde del consulente d'oltreoceano vanno confrontate. Censura: di lettura. Lega: la diffidenza per le narrazioni lisce — la fonte è tarda, e la levigatezza è di origine sospetta — con la grammatica della deformazione sul racconto e il confronto sistematico col coevo. Condizione di scioglimento: il confronto con gli atti coevi della struttura di crisi. Tappa: istruttoria. Dubbio decimo. Indirizzo individuale: </w:t>
      </w:r>
      <w:r>
        <w:rPr>
          <w:rFonts w:ascii="Times New Roman" w:hAnsi="Times New Roman" w:cs="Times New Roman" w:eastAsia="Times New Roman"/>
          <w:b/>
          <w:sz w:val="24"/>
        </w:rPr>
        <w:t>fondo latente d'archivio</w:t>
      </w:r>
      <w:r>
        <w:rPr>
          <w:rFonts w:ascii="Times New Roman" w:hAnsi="Times New Roman" w:cs="Times New Roman" w:eastAsia="Times New Roman"/>
          <w:b w:val="0"/>
          <w:sz w:val="24"/>
        </w:rPr>
        <w:t xml:space="preserve"> — l'episodio ferroviario del sessantaquattro si eleva solo per atto coevo, in archivio ferroviario o di scorta. Censura: di lettura, ove l'archivio esista. Lega: la regola dell'atto coevo, senza alcuna concessione alla fonte tarda. Condizione di scioglimento: l'atto coevo. Tappa: istruttoria in attesa d'atto. Dubbio quattordicesimo. Indirizzo individuale: </w:t>
      </w:r>
      <w:r>
        <w:rPr>
          <w:rFonts w:ascii="Times New Roman" w:hAnsi="Times New Roman" w:cs="Times New Roman" w:eastAsia="Times New Roman"/>
          <w:b/>
          <w:sz w:val="24"/>
        </w:rPr>
        <w:t>mediazione e normativa latenti</w:t>
      </w:r>
      <w:r>
        <w:rPr>
          <w:rFonts w:ascii="Times New Roman" w:hAnsi="Times New Roman" w:cs="Times New Roman" w:eastAsia="Times New Roman"/>
          <w:b w:val="0"/>
          <w:sz w:val="24"/>
        </w:rPr>
        <w:t xml:space="preserve"> — l'organigramma coevo integrale dei cinquantacinque giorni si compila da fonte inventariale o normativa, la stessa classe che l'emerso già certifica per le funzioni attestate; la compilazione lavora contro la trappola dei due organigrammi. Censura: di lettura. Lega: compilazione documentale funzione per funzione, con la stratigrafia a presidio. Condizione di scioglimento: la compilazione documentale integrale. Tappa: istruttoria, con la precedenza che il cantiere gli assegna: l'organigramma serve da calibro a tutti gli altri cantieri. Dubbio quindicesimo. Indirizzo individuale: </w:t>
      </w:r>
      <w:r>
        <w:rPr>
          <w:rFonts w:ascii="Times New Roman" w:hAnsi="Times New Roman" w:cs="Times New Roman" w:eastAsia="Times New Roman"/>
          <w:b/>
          <w:sz w:val="24"/>
        </w:rPr>
        <w:t>fondo rimosso profondo</w:t>
      </w:r>
      <w:r>
        <w:rPr>
          <w:rFonts w:ascii="Times New Roman" w:hAnsi="Times New Roman" w:cs="Times New Roman" w:eastAsia="Times New Roman"/>
          <w:b w:val="0"/>
          <w:sz w:val="24"/>
        </w:rPr>
        <w:t xml:space="preserve"> — che cosa accadde nella riunione bolognese del due aprile ha una condizione dichiarata improbabile ma non impossibile: un partecipante che dica, un atto che emerga. Censura: di deposito nella sua forma più severa. Lega: il fascicolo mai chiuso e l'assedio di lunga durata, senza forzature — i casi non si chiudono per stanchezza, si chiudono per scioglimento. Condizione di scioglimento: un partecipante che dica, un atto che emerga. Tappa: istruttoria dormiente e mai chiusa. Dubbio ventunesimo. Indirizzo individuale: </w:t>
      </w:r>
      <w:r>
        <w:rPr>
          <w:rFonts w:ascii="Times New Roman" w:hAnsi="Times New Roman" w:cs="Times New Roman" w:eastAsia="Times New Roman"/>
          <w:b/>
          <w:sz w:val="24"/>
        </w:rPr>
        <w:t>fondo latente quanto agli atti da leggere, con bordo di possibile strato di distruzione quanto alla fotografia</w:t>
      </w:r>
      <w:r>
        <w:rPr>
          <w:rFonts w:ascii="Times New Roman" w:hAnsi="Times New Roman" w:cs="Times New Roman" w:eastAsia="Times New Roman"/>
          <w:b w:val="0"/>
          <w:sz w:val="24"/>
        </w:rPr>
        <w:t xml:space="preserve"> — la dichiarazione calabrese porta l'autoqualifica della fonte, senza riscontri, che viaggia con ogni citazione; la fotografia dell'uomo ripreso in via Fani che non si ritrova negli atti è un'assenza da datare come strato: lacuna di lettura o strato di distruzione, e la distinzione è essa stessa materia d'istruttoria. Censura: di lettura sugli atti; ignota sulla fotografia, ed è parte del dubbio. Lega: gioco dichiarato, doppia conferma — nessun cognome è un nodo: il nodo è la persona, e la persona esiste solo dopo la lettura — e la regola dello strato di distruzione: anche chi distrusse, se distrusse, lasciò nel modo e nel momento una traccia di sé. Condizione di scioglimento: i riscontri della dichiarazione e l'esito documentato della ricerca della fotografia negli atti. Tappa: istruttoria.</w:t>
      </w:r>
    </w:p>
    <w:p>
      <w:pPr>
        <w:spacing w:line="276" w:lineRule="auto" w:after="60" w:before="0"/>
        <w:ind w:firstLine="425"/>
        <w:jc w:val="both"/>
      </w:pPr>
      <w:r>
        <w:rPr>
          <w:rFonts w:ascii="Times New Roman" w:hAnsi="Times New Roman" w:cs="Times New Roman" w:eastAsia="Times New Roman"/>
          <w:b/>
          <w:sz w:val="24"/>
        </w:rPr>
        <w:t>La coda per pressione.</w:t>
      </w:r>
      <w:r>
        <w:rPr>
          <w:rFonts w:ascii="Times New Roman" w:hAnsi="Times New Roman" w:cs="Times New Roman" w:eastAsia="Times New Roman"/>
          <w:b w:val="0"/>
          <w:sz w:val="24"/>
        </w:rPr>
        <w:t xml:space="preserve"> La pressione ordina la coda delle istruttorie e non promuove nulla: è indice di dove il lavoro rende, mai di che cosa è vero. Alla data della presente edizione, la coda si dispone così come le misure dei tre Documenti la dettano: in testa, per costituzione e per calendario, il cantiere Alfa col dubbio diciannovesimo, sovraordinato perché ogni altro cantiere può ricevere materia dal suo esito; seguono, per contropressione documentata, Epsilon — il settore dove il dispendio conservativo è più anomalo e la contropressione più visibile — e Delta, per la qualità documentale già acquisita in entrambi i capi; poi Theta, per la qualità del punto di partenza; poi Zeta, a pressione media ma col miglior rapporto fra costo e aggancio, ed Eta; Gamma procede a tappe piene; Beta lavora sotto vincolo perpetuo e non conosce chiusura per esaurimento; in Iota la pressione è variabile, con la precedenza dichiarata del quattordicesimo, che è calibro degli altri. Il giornale di scavo aggiorna quest'ordine a ogni campagna, perché la pressione si misura sul corpus e il corpus cresce.</w:t>
      </w:r>
    </w:p>
    <w:p>
      <w:pPr>
        <w:spacing w:line="276" w:lineRule="auto" w:after="60" w:before="0"/>
        <w:ind w:firstLine="425"/>
        <w:jc w:val="both"/>
      </w:pPr>
      <w:r>
        <w:rPr>
          <w:rFonts w:ascii="Times New Roman" w:hAnsi="Times New Roman" w:cs="Times New Roman" w:eastAsia="Times New Roman"/>
          <w:b/>
          <w:sz w:val="24"/>
        </w:rPr>
        <w:t>Il presidio del ferreo.</w:t>
      </w:r>
      <w:r>
        <w:rPr>
          <w:rFonts w:ascii="Times New Roman" w:hAnsi="Times New Roman" w:cs="Times New Roman" w:eastAsia="Times New Roman"/>
          <w:b w:val="0"/>
          <w:sz w:val="24"/>
        </w:rPr>
        <w:t xml:space="preserve"> L'applicazione qui compiuta è tutta di mappa: nessun dubbio muta stato, nessuno sciolto si tocca, nessun dissolto si riapre, nessun indirizzo vale promozione. Restano fuori dal crogiolo, non negoziabili: la Regola di Ferro, le quattro clausole di disciplina, la decompressione a tappe — nessuna risultanza salta una tappa, e ogni tappa qui annotata è la tappa di partenza, non un lasciapassare —, l'ingresso in acqua per i nodi profondi, e la registrazione integrale del giornale. Fluido il metodo, ferreo lo standard: la presente Parte è l'esercizio della prima metà della formula sotto la custodia della seconda; e se lo scavo mostrerà che un indirizzo era sbagliato, il Registro lo correggerà con la stessa solennità con cui oggi lo pronuncia, perché la riclassificazione è un dato e la casella serve il pensiero.</w:t>
      </w:r>
    </w:p>
    <w:p>
      <w:pPr>
        <w:spacing w:line="276" w:lineRule="auto" w:after="80" w:before="200"/>
        <w:ind w:firstLine="0"/>
        <w:jc w:val="both"/>
      </w:pPr>
      <w:r>
        <w:rPr>
          <w:rFonts w:ascii="Times New Roman" w:hAnsi="Times New Roman" w:cs="Times New Roman" w:eastAsia="Times New Roman"/>
          <w:b/>
          <w:sz w:val="24"/>
        </w:rPr>
        <w:t>COLOPHON DELL'EDIZIONE UNDICESIMA</w:t>
      </w:r>
    </w:p>
    <w:p>
      <w:pPr>
        <w:spacing w:line="276" w:lineRule="auto" w:after="60" w:before="0"/>
        <w:ind w:firstLine="425"/>
        <w:jc w:val="both"/>
      </w:pPr>
      <w:r>
        <w:rPr>
          <w:rFonts w:ascii="Times New Roman" w:hAnsi="Times New Roman" w:cs="Times New Roman" w:eastAsia="Times New Roman"/>
          <w:b w:val="0"/>
          <w:sz w:val="24"/>
        </w:rPr>
        <w:t>REGISTRO ANALITICO DEL CASO MORO, edizione undicesima, l'Applicazione Definitiva, prodotta il due agosto duemilaventisei secondo il Protocollo Zero-Token e nello standard tipografico dell'opera: carattere Times New Roman di corpo dodici, formato A4, giustificazione integrale, rientro di prima riga, interlinea di uno virgola quindici, prosa continua. Contiene verbatim l'edizione decima e, per suo tramite, tutte le precedenti; vi aggiunge la Parte ventottesima: il quadro dell'emerso collocato nella Struttura, la topografia individuale dei ventisei dubbi pendenti — indirizzo di provincia, censura operante, lega chiamata dal contesto, condizione di scioglimento e tappa di risalita per ciascuno, quali ipotesi di lavoro che il giornale di scavo conferma o corregge alla prima campagna —, la coda per pressione e il presidio del ferreo. L'ordinamento è la Metodologia Normaviva Beta nella Forma dell'Iceberg, con equivalenza piena verso il nome antico negli strati storici, che non si riscrivono. Nessun indirizzo promuove; i dubbi restano nello stato unico di Descartes; ogni edizione successiva conterrà verbatim la presente. Resta sovrana la Regola di Ferro: dove la fonte documenta, l'opera certifica; dove la fonte tace, l'opera indaga e non afferma. La formula dell'opera è: si cerca alla maniera di Tel Aviv, si prova alla maniera di Norimberga, e si scava alla maniera di Freud. Autore e direttore dell'opera: Luigi De Michele.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