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cs="Times New Roman" w:eastAsia="Times New Roman"/>
          <w:b/>
          <w:sz w:val="24"/>
        </w:rPr>
        <w:t>ITALIA NERA</w:t>
      </w:r>
    </w:p>
    <w:p>
      <w:pPr>
        <w:spacing w:line="276" w:lineRule="auto" w:before="0" w:after="80"/>
        <w:ind w:firstLine="0"/>
        <w:jc w:val="center"/>
      </w:pPr>
      <w:r>
        <w:rPr>
          <w:rFonts w:ascii="Times New Roman" w:hAnsi="Times New Roman" w:cs="Times New Roman" w:eastAsia="Times New Roman"/>
          <w:b/>
          <w:sz w:val="24"/>
        </w:rPr>
        <w:t>TRIANGOLAZIONE INTEGRALE — TERZA SERIE</w:t>
      </w:r>
    </w:p>
    <w:p>
      <w:pPr>
        <w:spacing w:line="276" w:lineRule="auto" w:before="0" w:after="80"/>
        <w:ind w:firstLine="0"/>
        <w:jc w:val="center"/>
      </w:pPr>
      <w:r>
        <w:rPr>
          <w:rFonts w:ascii="Times New Roman" w:hAnsi="Times New Roman" w:cs="Times New Roman" w:eastAsia="Times New Roman"/>
          <w:b/>
          <w:sz w:val="24"/>
        </w:rPr>
        <w:t>La catena genetica del Registro moroteo, la linea speculare e le schede di teatro alla prova del Dossier V63</w:t>
      </w:r>
    </w:p>
    <w:p>
      <w:pPr>
        <w:spacing w:line="276" w:lineRule="auto" w:before="0" w:after="80"/>
        <w:ind w:firstLine="0"/>
        <w:jc w:val="center"/>
      </w:pPr>
      <w:r>
        <w:rPr>
          <w:rFonts w:ascii="Times New Roman" w:hAnsi="Times New Roman" w:cs="Times New Roman" w:eastAsia="Times New Roman"/>
          <w:b/>
          <w:sz w:val="24"/>
        </w:rPr>
        <w:t>Luigi De Michele</w:t>
      </w:r>
    </w:p>
    <w:p>
      <w:pPr>
        <w:spacing w:line="276" w:lineRule="auto" w:before="0" w:after="80"/>
        <w:ind w:firstLine="0"/>
        <w:jc w:val="center"/>
      </w:pPr>
      <w:r>
        <w:rPr>
          <w:rFonts w:ascii="Times New Roman" w:hAnsi="Times New Roman" w:cs="Times New Roman" w:eastAsia="Times New Roman"/>
          <w:b/>
          <w:sz w:val="24"/>
        </w:rPr>
        <w:t>Venti agosto duemilaventisei</w:t>
      </w:r>
    </w:p>
    <w:p>
      <w:pPr>
        <w:spacing w:line="276" w:lineRule="auto" w:before="360" w:after="200"/>
        <w:ind w:firstLine="0"/>
        <w:jc w:val="center"/>
      </w:pPr>
      <w:r>
        <w:rPr>
          <w:rFonts w:ascii="Times New Roman" w:hAnsi="Times New Roman" w:cs="Times New Roman" w:eastAsia="Times New Roman"/>
          <w:b/>
          <w:sz w:val="24"/>
        </w:rPr>
        <w:t>NOTA DI APERTURA</w:t>
      </w:r>
    </w:p>
    <w:p>
      <w:pPr>
        <w:spacing w:line="276" w:lineRule="auto" w:before="0" w:after="0"/>
        <w:ind w:firstLine="425"/>
        <w:jc w:val="both"/>
      </w:pPr>
      <w:r>
        <w:rPr>
          <w:rFonts w:ascii="Times New Roman" w:hAnsi="Times New Roman" w:cs="Times New Roman" w:eastAsia="Times New Roman"/>
          <w:b w:val="0"/>
          <w:sz w:val="24"/>
        </w:rPr>
        <w:t>Il presente documento prosegue la triangolazione integrale delle prime due serie del venti agosto duemilaventisei e ne conserva ogni disciplina: lettura sistematica dei testi conferiti, estrazione integrale degli esemplari, computi a confine di parola sui testi estratti, prove di inclusione condotte per riscontro meccanico dopo normalizzazione dichiarata degli spazi e dei segni tipografici, nessuna interrogazione viva di fonti esterne, esclusione delle fonti vietate, gradi del Sistema Savona in grassetto, numeri in lettere italiane con la sola eccezione delle sigle, delle segnature e delle impronte. Il conferimento della terza serie comprende diciannove file: la scheda di consegna dell'opera morotea maggiore; le nove edizioni del Registro Analitico del Caso Moro, dalla prima alla nona; il Registro Speculare degli Anelli Profondi in edizione prima; il registro di sessione sull'Antartide e sul versante Aginter-Golfo, conferito in due stesure, una in formato di scrittura e una in formato di annotazione, che il riscontro accerta divergenti anche dopo normalizzazione forte e che pertanto non si deduplicano; il Censimento globale della criminalità organizzata nel documento unico integrato; la monografia su Aginter Press in formato portatile; la verifica documentale del ponte transatlantico in cinquanta blocchi; la scheda sull'arsenale sardo di Lula; e due repertori tabellari, quello delle fonti, degli archivi e delle sentenze e quello sull'armamento dell'omicidio. Quattro di questi materiali risultano già presenti, in trascrizione, nella dotazione di progetto: i raffronti con quella dotazione sono condotti su esemplari che sono trascritture testuali e non pacchetti nativi, e l'avvertenza di trascodifica che ne discende, dichiarata qui una volta, vale per l'intero documento. Il presente documento si federa alle serie anteriori senza sostituirle e non istituisce identificativi di blocco.</w:t>
      </w:r>
    </w:p>
    <w:p>
      <w:pPr>
        <w:spacing w:line="276" w:lineRule="auto" w:before="360" w:after="200"/>
        <w:ind w:firstLine="0"/>
        <w:jc w:val="center"/>
      </w:pPr>
      <w:r>
        <w:rPr>
          <w:rFonts w:ascii="Times New Roman" w:hAnsi="Times New Roman" w:cs="Times New Roman" w:eastAsia="Times New Roman"/>
          <w:b/>
          <w:sz w:val="24"/>
        </w:rPr>
        <w:t>CAPITOLO PRIMO — Il perimetro e la catena genealogica interna</w:t>
      </w:r>
    </w:p>
    <w:p>
      <w:pPr>
        <w:spacing w:line="276" w:lineRule="auto" w:before="0" w:after="0"/>
        <w:ind w:firstLine="425"/>
        <w:jc w:val="both"/>
      </w:pPr>
      <w:r>
        <w:rPr>
          <w:rFonts w:ascii="Times New Roman" w:hAnsi="Times New Roman" w:cs="Times New Roman" w:eastAsia="Times New Roman"/>
          <w:b w:val="0"/>
          <w:sz w:val="24"/>
        </w:rPr>
        <w:t>La prima acquisizione della serie è di natura genealogica e discende dalla regola, già vigente nell'opera, per cui i prodotti dell'opera non sono fonti dell'opera. Il Censimento globale della criminalità organizzata, conferito nella consistenza di quattrocentonovantaquattromilaquattrocentoundici parole, è il corpo maggiore del lotto; la monografia su Aginter Press, edizione prima dell'undici agosto duemilaventisei nella consistenza di settantatremilaseicentonovantadue parole, si dichiara in frontespizio documento monografico derivato dal Censimento, e il computo interno — milleventiquattro occorrenze del nome dell'agenzia, duecentosessantatré del nome del suo animatore — ne conferma la natura di consolidamento tematico. La catena si registra dunque così: il Censimento è artefatto primario del lotto, la monografia è artefatto derivato, ed entrambi si triangolano quali prodotti interni con genealogia dichiarata, senza ingresso nelle catene di riscontro delle proposizioni, che restano ancorate alle fonti esterne che quei prodotti citano. La verifica documentale del ponte transatlantico — dalle Cinque Famiglie a Gazprom, in cinquanta blocchi di certificazione arco per arco — risulta recepita nel dossier per doppio lemma, con quattro occorrenze della formula dei cinquanta blocchi e tre dell'aggettivo transatlantico: la fedeltà del recepimento si registra senza residuo. Dei due repertori tabellari si censisce in prosa la struttura: quello delle fonti consta di otto fogli — la nota, gli archivi con centoquarantasette righe, le fonti seriali, gli atti giudiziari e normativi con settantotto righe, gli atti parlamentari, la bibliografia con trentacinque titoli, gli archivi desecretati con quattordici voci e gli archivi sudamericani con dieci —; quello sull'armamento consta di otto fogli — la sintesi, le armi sparate e le armi presenti in via Fani, il bilancio dei bossoli, l'esecuzione del nove maggio millenovecentosettantotto, le munizioni e i marchi, le perizie ordinate secondo l'analisi delle ipotesi concorrenti, e le fonti.</w:t>
      </w:r>
    </w:p>
    <w:p>
      <w:pPr>
        <w:spacing w:line="276" w:lineRule="auto" w:before="0" w:after="0"/>
        <w:ind w:firstLine="425"/>
        <w:jc w:val="both"/>
      </w:pPr>
      <w:r>
        <w:rPr>
          <w:rFonts w:ascii="Times New Roman" w:hAnsi="Times New Roman" w:cs="Times New Roman" w:eastAsia="Times New Roman"/>
          <w:b w:val="0"/>
          <w:sz w:val="24"/>
        </w:rPr>
        <w:t>Sintesi del dato nuovo acquisito. La catena Censimento-monografia è registrata quale genealogia interna dichiarata, con applicazione della regola che esclude i prodotti dell'opera dal novero delle sue fonti; il ponte transatlantico in cinquanta blocchi risulta fedelmente recepito nel dossier; le strutture dei due repertori tabellari sono censite in prosa e rese citabili.</w:t>
      </w:r>
    </w:p>
    <w:p>
      <w:pPr>
        <w:spacing w:line="276" w:lineRule="auto" w:before="360" w:after="200"/>
        <w:ind w:firstLine="0"/>
        <w:jc w:val="center"/>
      </w:pPr>
      <w:r>
        <w:rPr>
          <w:rFonts w:ascii="Times New Roman" w:hAnsi="Times New Roman" w:cs="Times New Roman" w:eastAsia="Times New Roman"/>
          <w:b/>
          <w:sz w:val="24"/>
        </w:rPr>
        <w:t>CAPITOLO SECONDO — La catena delle nove edizioni e la prova della cumulatività</w:t>
      </w:r>
    </w:p>
    <w:p>
      <w:pPr>
        <w:spacing w:line="276" w:lineRule="auto" w:before="0" w:after="0"/>
        <w:ind w:firstLine="425"/>
        <w:jc w:val="both"/>
      </w:pPr>
      <w:r>
        <w:rPr>
          <w:rFonts w:ascii="Times New Roman" w:hAnsi="Times New Roman" w:cs="Times New Roman" w:eastAsia="Times New Roman"/>
          <w:b w:val="0"/>
          <w:sz w:val="24"/>
        </w:rPr>
        <w:t>Il lotto conferisce per la prima volta l'intera catena genetica del Registro Analitico del Caso Moro, dalla prima alla nona edizione, tutte datate due agosto duemilaventisei, e consente di sottoporre a prova meccanica il principio di conservazione cumulativa che il colophon della linea enuncia: ogni edizione successiva conterrà alla lettera la presente. La prova, condotta per inclusione dopo normalizzazione dichiarata, dà esito pieno su tutti gli otto passaggi: il testo di ciascuna edizione è contenuto alla lettera nella successiva. In nessun passaggio, però, l'edizione anteriore è prefisso della successiva: ogni edizione rinnova il frontespizio e lo statuto in apertura e appone le parti nuove in coda, sicché la conservazione cumulativa vige come inclusione integrale del corpo e non come semplice accodamento, e la formula del colophon risulta rispettata nella sostanza e precisata nella forma. La sequenza degli apporti, ricostruita sui frontespizi rinnovati e sugli incipit delle code, è la seguente. L'edizione prima, integrale, conta settemilacentosessantuno parole. La seconda aggiunge il Primo Anello di Prossimità con la parte undicesima e tremilaottanta parole. La terza aggiunge il Secondo Anello con la parte dodicesima, assumendo cinquanta nodi del primo quali semi dell'espansione, e tremilatrecentocinquantasei parole. La quarta si dichiara definitiva quanto al censimento degli Anelli, denuncia in statuto un mutamento di finalità e consacra la Metodologia del Salto della Quaglia con la parte tredicesima e quattromilaseicentottantasei parole. La quinta apre il Rinnovamento Cartesiano, si intitola primo dei Tre Documenti Morotei e introduce la Classificazione di Descartes con la parte diciassettesima e tremilatrecentosettantotto parole. La sesta reca l'apporto kuhniano, con la metafora del microscopio e i paradigmi incommensurabili, nella parte ventesima e in duemilatrecentoventisette parole. La settima reca l'apporto wittgensteiniano, il linguaggio quale terzo strumento da dichiarare, nella parte ventunesima e in millequattrocentosessantatré parole. L'ottava reca l'apporto israeliano e la consacrazione della Metodologia Norimaviv, con il polo di Norimberga, nella parte ventiduesima e in milleottocentoquarantotto parole. La nona reca l'iceberg freudiano e il metodo dell'archeologo, con l'esordio delle pietre che parlano, nella parte ventitreesima e in seimilaquattrocentotrentanove parole, per una consistenza finale di trentatremilasettecentotrentotto.</w:t>
      </w:r>
    </w:p>
    <w:p>
      <w:pPr>
        <w:spacing w:line="276" w:lineRule="auto" w:before="0" w:after="0"/>
        <w:ind w:firstLine="425"/>
        <w:jc w:val="both"/>
      </w:pPr>
      <w:r>
        <w:rPr>
          <w:rFonts w:ascii="Times New Roman" w:hAnsi="Times New Roman" w:cs="Times New Roman" w:eastAsia="Times New Roman"/>
          <w:b w:val="0"/>
          <w:sz w:val="24"/>
        </w:rPr>
        <w:t>Due riscontri accessori completano il capitolo. Il primo riguarda la designazione: i frontespizi dell'ottava e della nona edizione consacrano la metodologia con la grafia Norimaviv, concorde con il nome del file dell'ottava, mentre la dotazione di progetto possiede due codici autonomi della medesima metodologia sotto la grafia Normaviva; la divergenza di grafia si riporta senza comporre, secondo la disciplina dell'opera, e si candida alla registrazione formale. Il secondo riguarda il recepimento lessicale nel dossier: gli aggettivi kuhniano e wittgensteiniano e il sostantivo iceberg vi ricorrono una volta ciascuno, sicché gli apporti della sesta, della settima e della nona edizione risultano lessicalmente attivi nel corpo federato; il Salto della Quaglia, gli Anelli e la metodologia consacrata, in entrambe le grafie, vi risultano invece a zero occorrenze, e il loro recepimento si iscrive fra le candidature.</w:t>
      </w:r>
    </w:p>
    <w:p>
      <w:pPr>
        <w:spacing w:line="276" w:lineRule="auto" w:before="0" w:after="0"/>
        <w:ind w:firstLine="425"/>
        <w:jc w:val="both"/>
      </w:pPr>
      <w:r>
        <w:rPr>
          <w:rFonts w:ascii="Times New Roman" w:hAnsi="Times New Roman" w:cs="Times New Roman" w:eastAsia="Times New Roman"/>
          <w:b w:val="0"/>
          <w:sz w:val="24"/>
        </w:rPr>
        <w:t>Sintesi del dato nuovo acquisito. La conservazione cumulativa della catena morotea è provata per riscontro meccanico su tutti gli otto passaggi, nella forma dell'inclusione integrale del corpo con frontespizio rinnovato e parti appese; la sequenza degli apporti — gli Anelli, il Salto della Quaglia, Descartes, Kuhn, Wittgenstein, Norimaviv, l'iceberg freudiano — è ricostruita con le rispettive consistenze; la doppia grafia della metodologia è riportata senza composizione e il recepimento lessicale nel dossier è misurato apporto per apporto.</w:t>
      </w:r>
    </w:p>
    <w:p>
      <w:pPr>
        <w:spacing w:line="276" w:lineRule="auto" w:before="360" w:after="200"/>
        <w:ind w:firstLine="0"/>
        <w:jc w:val="center"/>
      </w:pPr>
      <w:r>
        <w:rPr>
          <w:rFonts w:ascii="Times New Roman" w:hAnsi="Times New Roman" w:cs="Times New Roman" w:eastAsia="Times New Roman"/>
          <w:b/>
          <w:sz w:val="24"/>
        </w:rPr>
        <w:t>CAPITOLO TERZO — La giuntura verso il decimo, la linea speculare e il limite di trascodifica</w:t>
      </w:r>
    </w:p>
    <w:p>
      <w:pPr>
        <w:spacing w:line="276" w:lineRule="auto" w:before="0" w:after="0"/>
        <w:ind w:firstLine="425"/>
        <w:jc w:val="both"/>
      </w:pPr>
      <w:r>
        <w:rPr>
          <w:rFonts w:ascii="Times New Roman" w:hAnsi="Times New Roman" w:cs="Times New Roman" w:eastAsia="Times New Roman"/>
          <w:b w:val="0"/>
          <w:sz w:val="24"/>
        </w:rPr>
        <w:t>La catena conferita si arresta alla nona edizione; la dotazione di progetto possiede la decima, l'undicesima e la dodicesima, nonché la linea speculare sino alla quarta edizione. La prova di inclusione condotta sui testi della dotazione accerta che la decima è contenuta nell'undicesima e l'undicesima nella dodicesima, con consistenze di trentaquattromilasettecentosettantacinque, trentottomilaquattrocentosessantasette e trentanovemilaseicentoquarantaquattro parole: la cumulatività regge dunque anche a valle, entro il medesimo canale di trascrizione. La giuntura fra i due canali — la nona conferita e la decima di progetto — non è invece collazionabile per via automatica, e la ragione è stata isolata con un esperimento di controllo: l'edizione settima, presente in entrambi i canali, reca in essi il medesimo computo di venticinquemilaquattrocentocinquantuno parole ma non supera la prova di identità nemmeno dopo la rimozione dei segni diacritici, con un rapporto di somiglianza di zero virgola novantatré e divergenza sin dal primo carattere. Se il medesimo documento, nei due canali, non risulta identico al riscontro meccanico, la mancata inclusione della nona nella decima non è asseribile quale rottura della cumulatività: essa si qualifica come identità di consistenza con difformità di trascrizione, la giuntura resta pendente di collazione, e la voce che la chiude — il conferimento in formato nativo delle edizioni dalla decima alla dodicesima — si iscrive di classe prima. Il limite così incontrato appartiene alla famiglia del limite di strumento e non delle tensioni, e come tale si dichiara.</w:t>
      </w:r>
    </w:p>
    <w:p>
      <w:pPr>
        <w:spacing w:line="276" w:lineRule="auto" w:before="0" w:after="0"/>
        <w:ind w:firstLine="425"/>
        <w:jc w:val="both"/>
      </w:pPr>
      <w:r>
        <w:rPr>
          <w:rFonts w:ascii="Times New Roman" w:hAnsi="Times New Roman" w:cs="Times New Roman" w:eastAsia="Times New Roman"/>
          <w:b w:val="0"/>
          <w:sz w:val="24"/>
        </w:rPr>
        <w:t xml:space="preserve">Il Registro Speculare degli Anelli Profondi, edizione prima del due agosto con la Metodologia del Triplo Salto Carpiato, estende il censimento dal secondo al quarto anello di prossimità e dichiara dipendenza genetica dai semi dell'edizione quarta del Registro Analitico, con autonomia piena di catena estrattiva, apparato e istruttoria. Se ne versano le acquisizioni maggiori: la carta della saturazione, cinquecentodue nodi su diecimilaseicentotrentanove con sessantuno rientri, depositata quale base di ogni futura immersione; l'esistenza, la data e la provenienza del documento della fonte cifrata di Beirut del diciassette febbraio millenovecentosettantotto,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con l'istruttoria della risalita agli atti della seconda Commissione; la serie a tre termini degli esecutori tardivamente accertati quale pattern; la centralità dell'ufficio della Procura generale nei sondaggi paralleli, formulata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consilienza di due iscrizioni indipendenti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con il vincolo che la centralità dell'ufficio non è condotta di chi lo resse; l'avvertenza onomastica dei due omonimi iscritta nel registro degli artefatti; l'istruttoria dell'ordigno di Ponte Brolla; e la risultanza topologica d'insieme, per cui le direttrici del caso comunicano fra loro alla periferia — il versante tedesco con quello palestinese a Mogadiscio, l'elvetico con il milanese nel riciclaggio, il parigino con il greco nell'accusa di Atene — sicché la rete, vista dal quarto anello, non è una stella di raggi indipendenti ma una ragnatela con anelli di collegamento esterni, con la distinzione scolpita che la comunicazione periferica è un fatto della rete documentale e non una regia. La linea speculare prosegue nella dotazione di progetto sino alla quarta edizione, con la terza nella consistenza di settemilatrecentoventotto parole, e la giuntura fra l'edizione conferita e quelle di dotazione soggiace alla medesima avvertenza di trascodifica. Il riscontro sul dossier accerta che la locuzione degli anelli profondi non vi ricorre: il recepimento della linea speculare, con la carta della saturazione e la risultanza della ragnatela, si iscrive fra le candidature.</w:t>
      </w:r>
    </w:p>
    <w:p>
      <w:pPr>
        <w:spacing w:line="276" w:lineRule="auto" w:before="0" w:after="0"/>
        <w:ind w:firstLine="425"/>
        <w:jc w:val="both"/>
      </w:pPr>
      <w:r>
        <w:rPr>
          <w:rFonts w:ascii="Times New Roman" w:hAnsi="Times New Roman" w:cs="Times New Roman" w:eastAsia="Times New Roman"/>
          <w:b w:val="0"/>
          <w:sz w:val="24"/>
        </w:rPr>
        <w:t>Sintesi del dato nuovo acquisito. La cumulatività della linea morotea è provata anche a valle, dalla decima alla dodicesima edizione; la giuntura fra i canali è qualificata quale difformità di trascrizione e non quale rottura, sulla scorta dell'esperimento di controllo sull'edizione settima; il Registro Speculare è acquisito con la carta della saturazione, le sette risultanze e la risultanza topologica della ragnatela, e la sua assenza lessicale dal dossier è misurata e candidata al recepimento.</w:t>
      </w:r>
    </w:p>
    <w:p>
      <w:pPr>
        <w:spacing w:line="276" w:lineRule="auto" w:before="360" w:after="200"/>
        <w:ind w:firstLine="0"/>
        <w:jc w:val="center"/>
      </w:pPr>
      <w:r>
        <w:rPr>
          <w:rFonts w:ascii="Times New Roman" w:hAnsi="Times New Roman" w:cs="Times New Roman" w:eastAsia="Times New Roman"/>
          <w:b/>
          <w:sz w:val="24"/>
        </w:rPr>
        <w:t>CAPITOLO QUARTO — La scheda di consegna e l'opera maggiore non conferita</w:t>
      </w:r>
    </w:p>
    <w:p>
      <w:pPr>
        <w:spacing w:line="276" w:lineRule="auto" w:before="0" w:after="0"/>
        <w:ind w:firstLine="425"/>
        <w:jc w:val="both"/>
      </w:pPr>
      <w:r>
        <w:rPr>
          <w:rFonts w:ascii="Times New Roman" w:hAnsi="Times New Roman" w:cs="Times New Roman" w:eastAsia="Times New Roman"/>
          <w:b w:val="0"/>
          <w:sz w:val="24"/>
        </w:rPr>
        <w:t xml:space="preserve">La scheda di consegna certifica l'opera morotea maggiore, intitolata alla verità intera, con estremi che vanno registrati: trecentosettantaquattromilacinquecentonovantatré parole in tremiladuecentoundici blocchi mirati, cinquanta capitoli e quattromilaquattrocentonovantasei paragrafi; struttura cumulativa con correzioni dichiarate anziché applicate in silenzio; scala probatoria con millottanta occorrenze del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trecentocinquantuno del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duecentotrentadue del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con la clausola che le proposizioni prive di grado sono quelle che l'opera espressamente non sostiene; apparato di sessantatré regole operative e quarantacinque figure di lacuna o di manipolazione, con ventiquattro correzioni dichiarate delle quali una sopprime una figura; la regola di verificabilità per cui nessuna proposizione è sostenuta da fonti che l'opera stessa abbia prodotto; l'impronta che principia per c685cc3e e la consistenza di settecentoquarantanove pagine nella conversione portatile. Il riscontro sull'intero conferito delle tre serie accerta che nessun documento in atti reca quell'impronta né quella consistenza: l'opera maggiore è dunque certificata dalla propria scheda e assente dagli atti, e il suo conferimento si iscrive quale misura di copertura di classe prima, la più alta per rendimento del lotto, poiché da essa dipendono le sessantatré regole e le quarantacinque figure che la scheda enumera e che il corpus federato non possiede per esteso. Si registra inoltre, senza comporla, la divergenza fra le due misurazioni della consistenza: il primo registro australe misurava la monografia morotea in trecentosessantanovemilaseicentosettantasette parole, la scheda ne certifica trecentosettantaquattromilacinquecentonovantatré, e la differenza è coerente con la natura cumulativa dell'opera e con la posteriorità della scheda. Si versano infine alle pendenze le direttrici aperte che la scheda dichiara: cinque unità documentali identificate per segnatura presso un archivio storico parlamentare, fra cui un supporto fonico di audizioni; cinque protocolli di due servizi informativi relativi ai giorni immediatamente anteriori ai fatti; tre protocolli di una pratica del maggio-settembre millenovecentosettantotto; l'identificazione di una seconda funzione di interpretariato; due edizioni critiche non possedute; tredici archivi remoti non trasferibili con lo strumento impiegato.</w:t>
      </w:r>
    </w:p>
    <w:p>
      <w:pPr>
        <w:spacing w:line="276" w:lineRule="auto" w:before="0" w:after="0"/>
        <w:ind w:firstLine="425"/>
        <w:jc w:val="both"/>
      </w:pPr>
      <w:r>
        <w:rPr>
          <w:rFonts w:ascii="Times New Roman" w:hAnsi="Times New Roman" w:cs="Times New Roman" w:eastAsia="Times New Roman"/>
          <w:b w:val="0"/>
          <w:sz w:val="24"/>
        </w:rPr>
        <w:t>Sintesi del dato nuovo acquisito. L'opera morotea maggiore è certificata per scheda e accertata assente dagli atti per impronta e per consistenza, con iscrizione del conferimento quale prima misura di copertura del lotto; la divergenza fra le due misurazioni della consistenza è riportata senza composizione; le sei direttrici aperte della scheda sono versate alle pendenze.</w:t>
      </w:r>
    </w:p>
    <w:p>
      <w:pPr>
        <w:spacing w:line="276" w:lineRule="auto" w:before="360" w:after="200"/>
        <w:ind w:firstLine="0"/>
        <w:jc w:val="center"/>
      </w:pPr>
      <w:r>
        <w:rPr>
          <w:rFonts w:ascii="Times New Roman" w:hAnsi="Times New Roman" w:cs="Times New Roman" w:eastAsia="Times New Roman"/>
          <w:b/>
          <w:sz w:val="24"/>
        </w:rPr>
        <w:t>CAPITOLO QUINTO — Le schede di teatro: l'arsenale di Lula e la doppia stesura antartica</w:t>
      </w:r>
    </w:p>
    <w:p>
      <w:pPr>
        <w:spacing w:line="276" w:lineRule="auto" w:before="0" w:after="0"/>
        <w:ind w:firstLine="425"/>
        <w:jc w:val="both"/>
      </w:pPr>
      <w:r>
        <w:rPr>
          <w:rFonts w:ascii="Times New Roman" w:hAnsi="Times New Roman" w:cs="Times New Roman" w:eastAsia="Times New Roman"/>
          <w:b w:val="0"/>
          <w:sz w:val="24"/>
        </w:rPr>
        <w:t>La scheda sull'arsenale sardo delle Brigate Rosse rettifica su tre punti la descrizione di partenza e alimenta direttamente le pendenze del dossier. Il deposito fu rinvenuto dai Carabinieri nel febbraio millenovecentottantadue, e non nel biennio settantotto-settantanove, in una grotta fra il Montalbo e il Monte Pitzinnu nel territorio di Lula, su indicazione del collaboratore Savasta, con custodia affidata alla banda della Barbagia Rossa e destinazione al progettato assalto al carcere di Badu 'e Carros; l'inventario documentato comprende cinque razzi statunitensi per lanciarazzi, un missile anticarro sovietico, due missili francesi terra-aria e non aria-aria, trenta chilogrammi di esplosivo al plastico, otto bombe a mano statunitensi, sei mitra britannici Sterling e non una cinquantina, e circa un centinaio di cartucce. La scheda colloca l'arsenale, con alta plausibilità e grado dichiarato, nella filiera fra l'organizzazione palestinese e le Brigate Rosse per via di mare, con il carico partito da Numana il quindici agosto millenovecentosettantanove e con la provenienza delle Sterling dallo stock tunisino ceduto nel millenovecentosessantotto, ed esclude la pista atlantica; dichiara i propri limiti — la fonte narrativa più dettagliata è documentazione amatoriale accurata ma non primaria, e le trascrizioni dell'udienza del processo sui traffici sono automatiche e imperfette, con i numeri in divergenza fra tremilatrecentosessantotto e tremilacinquecento e fra settanta e centocinquanta da verificare sugli originali — e rispetta l'esclusione delle fonti vietate. Il dossier possiede il teatro: i naschi e lo Skorpion vi ricorrono diciassette volte ciascuno, Aurisina quattro e Lula quattro; le tre rettifiche della scheda — la data, la tipologia dei missili, il numero delle Sterling — emendano perciò le pendenze sui naschi e sullo Skorpion e si candidano al recepimento con il loro corredo di cautele.</w:t>
      </w:r>
    </w:p>
    <w:p>
      <w:pPr>
        <w:spacing w:line="276" w:lineRule="auto" w:before="0" w:after="0"/>
        <w:ind w:firstLine="425"/>
        <w:jc w:val="both"/>
      </w:pPr>
      <w:r>
        <w:rPr>
          <w:rFonts w:ascii="Times New Roman" w:hAnsi="Times New Roman" w:cs="Times New Roman" w:eastAsia="Times New Roman"/>
          <w:b w:val="0"/>
          <w:sz w:val="24"/>
        </w:rPr>
        <w:t xml:space="preserve">Il registro di sessione sull'Antartide e sul versante fra Aginter Press e i Paesi del Golfo, redatto il quattro agosto in modalità dichiarata di sola memoria operativa, senza lettura dei file di progetto né ricerca esterna, è conferito in due stesure — una in formato di scrittura di duemiladuecentottantadue parole, una in formato di annotazione di duemilatrecentocinque — che il riscontro accerta divergenti anche dopo normalizzazione forte e rimozione dei marcatori: le due stesure non si deduplicano, si iscrivono entrambe con la loro divergenza nell'Indice di Contaminazione quale caso di doppia stesura del medesimo registro, e ogni futura citazione dovrà dichiarare quale delle due impiega. Il riscontro sul dossier accerta che il toponimo antartico vi ricorre una volta, sicché il versante è recepito, mentre il versante fra Aginter e il Golfo vi risulta a zero occorrenze e si candida al versamento con lo statuto che il registro stesso gli assegna: archi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ipotesi investigative falsificabili e non prove.</w:t>
      </w:r>
    </w:p>
    <w:p>
      <w:pPr>
        <w:spacing w:line="276" w:lineRule="auto" w:before="0" w:after="0"/>
        <w:ind w:firstLine="425"/>
        <w:jc w:val="both"/>
      </w:pPr>
      <w:r>
        <w:rPr>
          <w:rFonts w:ascii="Times New Roman" w:hAnsi="Times New Roman" w:cs="Times New Roman" w:eastAsia="Times New Roman"/>
          <w:b w:val="0"/>
          <w:sz w:val="24"/>
        </w:rPr>
        <w:t>Sintesi del dato nuovo acquisito. Le tre rettifiche dell'arsenale di Lula — febbraio millenovecentottantadue, missili terra-aria, sei Sterling — sono acquisite con la filiera di Numana e i caveat dichiarati, ed emendano le pendenze del dossier sui naschi e sullo Skorpion; la doppia stesura del registro antartico è accertata non deduplicabile e iscritta all'Indice di Contaminazione; il versante fra Aginter e il Golfo è candidato al versamento con statuto di ipotesi.</w:t>
      </w:r>
    </w:p>
    <w:p>
      <w:pPr>
        <w:spacing w:line="276" w:lineRule="auto" w:before="360" w:after="200"/>
        <w:ind w:firstLine="0"/>
        <w:jc w:val="center"/>
      </w:pPr>
      <w:r>
        <w:rPr>
          <w:rFonts w:ascii="Times New Roman" w:hAnsi="Times New Roman" w:cs="Times New Roman" w:eastAsia="Times New Roman"/>
          <w:b/>
          <w:sz w:val="24"/>
        </w:rPr>
        <w:t>CAPITOLO SESTO — Le candidature, le pendenze e lo stato dopo le tre serie</w:t>
      </w:r>
    </w:p>
    <w:p>
      <w:pPr>
        <w:spacing w:line="276" w:lineRule="auto" w:before="0" w:after="0"/>
        <w:ind w:firstLine="425"/>
        <w:jc w:val="both"/>
      </w:pPr>
      <w:r>
        <w:rPr>
          <w:rFonts w:ascii="Times New Roman" w:hAnsi="Times New Roman" w:cs="Times New Roman" w:eastAsia="Times New Roman"/>
          <w:b w:val="0"/>
          <w:sz w:val="24"/>
        </w:rPr>
        <w:t>Le materie della terza serie si consegnano alla Camera Istruttoria e alla sede federativa in ordine di rimediabilità. Di classe prima, conseguibili dal solo ricercatore: il conferimento dell'opera morotea maggiore identificata dall'impronta che principia per c685cc3e, prima voce del lotto per rendimento; il conferimento in formato nativo delle edizioni dalla decima alla dodicesima del Registro Analitico e delle edizioni speculari successive alla prima, per la collazione delle due giunture oggi pendenti per difformità di trascrizione; il recepimento nel corpo federato della linea speculare con la carta della saturazione e la risultanza della ragnatela, degli apporti non ancora lessicalmente attivi — il Salto della Quaglia, gli Anelli, la metodologia consacrata — e delle tre rettifiche dell'arsenale di Lula entro le pendenze sui naschi e sullo Skorpion; la registrazione senza composizione della doppia grafia Norimaviv-Normaviva e della doppia misurazione della consistenza dell'opera maggiore; l'iscrizione della doppia stesura antartica nell'Indice di Contaminazione e il versamento del versante fra Aginter e il Golfo con statuto di ipotesi; il versamento delle sei direttrici aperte della scheda di consegna. Restano ferme, non toccate dalla serie, le pendenze anteriori della memoria di lavoro e le due tensioni già consegnate — la specie topologica della prima serie e la fonte del nesso sull'Oder-Neisse della seconda —, alle quali questa serie non ne aggiunge di nuove: il limite incontrato sulla giuntura dei canali è dichiarato quale limite di strumento e non quale tensione.</w:t>
      </w:r>
    </w:p>
    <w:p>
      <w:pPr>
        <w:spacing w:line="276" w:lineRule="auto" w:before="0" w:after="0"/>
        <w:ind w:firstLine="425"/>
        <w:jc w:val="both"/>
      </w:pPr>
      <w:r>
        <w:rPr>
          <w:rFonts w:ascii="Times New Roman" w:hAnsi="Times New Roman" w:cs="Times New Roman" w:eastAsia="Times New Roman"/>
          <w:b w:val="0"/>
          <w:sz w:val="24"/>
        </w:rPr>
        <w:t>Lo stato complessivo si fissa così. Le tre serie hanno sottoposto a triangolazione cinquantatré file conferiti, dei quali cinquantuno unici per impronta, contro il Dossier V63 e la dotazione di progetto; la prova ha investito la scala degli Stati Zero nella sua genealogia integrale, l'Indice di Contaminazione con la famiglia delle sue specie, la disciplina delle dichiarazioni di parte, il metodo dei casi avversi elencati per nome e, con questa serie, il principio di conservazione cumulativa, che esce provato per riscontro meccanico sull'intera catena morotea nella forma dell'inclusione del corpo con frontespizio rinnovato. Nessuna revisione di impianto è richiesta; le candidature sono ordinate; la triangolazione, come nelle serie anteriori, non pronuncia: ordina la materia e la rimette alla sede che ne ha il potere.</w:t>
      </w:r>
    </w:p>
    <w:p>
      <w:pPr>
        <w:spacing w:line="276" w:lineRule="auto" w:before="0" w:after="0"/>
        <w:ind w:firstLine="425"/>
        <w:jc w:val="both"/>
      </w:pPr>
      <w:r>
        <w:rPr>
          <w:rFonts w:ascii="Times New Roman" w:hAnsi="Times New Roman" w:cs="Times New Roman" w:eastAsia="Times New Roman"/>
          <w:b w:val="0"/>
          <w:sz w:val="24"/>
        </w:rPr>
        <w:t>Sintesi del dato nuovo acquisito. Sono formalizzate le candidature della terza serie in ordine di rimediabilità, con il conferimento dell'opera maggiore quale prima voce; è fissato lo stato complessivo dopo cinquantatré file e cinquantuno documenti unici, con il principio di conservazione cumulativa provato e nessuna tensione nuova aggiunta alle due già consegnate.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