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Questo documento presenta la versione integrale e rinnovata del registro analitico dei nodi del corpus ITALIA NERA. Si tratta del consolidamento di tutti i registri di nodi finora prodotti - quello su Aginter Press e l'apartheid, il censimento della criminalita' organizzata del dominio primo, il registro di integrazione e degli archi, i sotto-hub euroasiatici sull'energia, i media e il riciclaggio, e l'hub della loggia P2 - unito ai nodi nuovi generati dalle verifiche piu' recenti, quelle numerate dalla trentacinquesima alla quarantaseiesima voce del registro delle verifiche documentali: la balistica del caso Moro, gli arsenali clandestini, le reti paramilitari parallele, le stragi e la dorsale euroasiatica.</w:t>
      </w:r>
    </w:p>
    <w:p>
      <w:pPr>
        <w:spacing w:line="276" w:lineRule="auto" w:before="0" w:after="0"/>
        <w:ind w:firstLine="425"/>
        <w:jc w:val="both"/>
      </w:pPr>
      <w:r>
        <w:rPr>
          <w:rFonts w:ascii="Times New Roman" w:hAnsi="Times New Roman" w:cs="Times New Roman" w:eastAsia="Times New Roman"/>
          <w:b w:val="0"/>
          <w:sz w:val="24"/>
        </w:rPr>
        <w:t>Il registro integrale raccoglie in tutto duecentosessanta nodi, ottenuti per estrazione automatica dai registri di provenienza, deduplicazione per nome con unione dei domini di appartenenza, e aggiunta dei nodi nuovi. Ogni nodo conserva la traccia del registro da cui proviene, cosi' che l'operazione sia interamente reversibile e verificabile. La distribuzione per dominio disegna la geografia tematica dell'opera: sessantasette nodi nel dominio della criminalita' organizzata, quarantotto in quello dell'eversione nera e del terrorismo, quarantatre' negli assi geopolitici e nei regimi, trentaquattro nelle reti bancarie e oligarchiche, ventisette nei servizi e negli apparati, sedici nei poteri occulti e nella finanza della P2, dodici negli assi militari e nucleari, nove nelle matrici dottrinali e religiose, quattro nella guerra cognitiva e nei media.</w:t>
      </w:r>
    </w:p>
    <w:p>
      <w:pPr>
        <w:spacing w:line="276" w:lineRule="auto" w:before="0" w:after="0"/>
        <w:ind w:firstLine="425"/>
        <w:jc w:val="both"/>
      </w:pPr>
      <w:r>
        <w:rPr>
          <w:rFonts w:ascii="Times New Roman" w:hAnsi="Times New Roman" w:cs="Times New Roman" w:eastAsia="Times New Roman"/>
          <w:b w:val="0"/>
          <w:sz w:val="24"/>
        </w:rPr>
        <w:t>La struttura dei domini merita una parola, perche' e' la spina dorsale del registro. Il dominio primo raccoglie la criminalita' organizzata, dalle mafie italiane storiche alle proiezioni internazionali fino alle mafie euroasiatiche e alle reti ibride cyber-criminali. Il dominio secondo tiene gli assi geopolitici e i regimi, dall'apartheid al Cono Sud. Il dominio terzo raccoglie i servizi e gli apparati, comprese le reti Stay Behind e la diaspora nazista riciclata. Il dominio quarto e' quello dei poteri occulti e della finanza, imperniato sulla loggia P2. Il dominio sesto tiene le reti bancarie e oligarchiche, comprese quelle euroasiatiche. Il dominio settimo, il piu' denso sul versante italiano, raccoglie l'eversione nera e il terrorismo. Gli ultimi domini coprono la guerra cognitiva, gli assi militari e nucleari e le matrici dottrinali.</w:t>
      </w:r>
    </w:p>
    <w:p>
      <w:pPr>
        <w:spacing w:line="276" w:lineRule="auto" w:before="0" w:after="0"/>
        <w:ind w:firstLine="425"/>
        <w:jc w:val="both"/>
      </w:pPr>
      <w:r>
        <w:rPr>
          <w:rFonts w:ascii="Times New Roman" w:hAnsi="Times New Roman" w:cs="Times New Roman" w:eastAsia="Times New Roman"/>
          <w:b w:val="0"/>
          <w:sz w:val="24"/>
        </w:rPr>
        <w:t>Il registro individua dieci grandi hub, cioe' i nodi a piu' alta centralita', gia' emersi dalla triangolazione dei personaggi per numero di nodi. In vetta stanno i due nodi-madre della galassia nera, Yves Guerin-Serac con la sua centrale Aginter e Stefano Delle Chiaie con la sua operativita' transnazionale. Seguono il vertice del fronte euroasiatico, Vladimir Putin, e l'hub della loggia P2, Licio Gelli. Vengono poi lo Stato dell'apartheid nei suoi due capi Botha e Vorster, l'architetto del crimine post-sovietico Semyon Mogilevich, la cerniera nera-criminale Massimo Carminati, il nodo-vittima baricentrico Aldo Moro, il ponte dottrinale che va da Jean Thiriart ad Aleksandr Dugin, e la spina finanziaria della cerchia del Cremlino incarnata da Yuri Kovalchuk e Dmitry Firtash.</w:t>
      </w:r>
    </w:p>
    <w:p>
      <w:pPr>
        <w:spacing w:line="276" w:lineRule="auto" w:before="0" w:after="0"/>
        <w:ind w:firstLine="425"/>
        <w:jc w:val="both"/>
      </w:pPr>
      <w:r>
        <w:rPr>
          <w:rFonts w:ascii="Times New Roman" w:hAnsi="Times New Roman" w:cs="Times New Roman" w:eastAsia="Times New Roman"/>
          <w:b w:val="0"/>
          <w:sz w:val="24"/>
        </w:rPr>
        <w:t>Il registro non e' solo un elenco di nodi, ma anche di sinapsi, cioe' degli archi che li collegano. Le sinapsi principali confermano la lettura strutturale dell'opera. Sul versante nero si legano Guerin-Serac e Delle Chiaie dentro Aginter, la diaspora nazista riciclata di Skorzeny e Barbie con i regimi del Cono Sud, la catena balistica della mitraglietta Skorpion che attraversa gli anni di piombo, e il travaso provato tra i Nuclei Armati Rivoluzionari e la Banda della Magliana. Sul versante euroasiatico si legano Mogilevich e l'intermediario del gas Firtash, Firtash e Gazprom, il cassiere Kovalchuk e Putin nella cerchia di Ozero. E poi c'e' l'arco piu' importante di tutti, quello negativo: la galassia atlantista di Aginter e dell'apartheid non converge affatto su Putin, di cui e' semmai l'antipode.</w:t>
      </w:r>
    </w:p>
    <w:p>
      <w:pPr>
        <w:spacing w:line="276" w:lineRule="auto" w:before="0" w:after="0"/>
        <w:ind w:firstLine="425"/>
        <w:jc w:val="both"/>
      </w:pPr>
      <w:r>
        <w:rPr>
          <w:rFonts w:ascii="Times New Roman" w:hAnsi="Times New Roman" w:cs="Times New Roman" w:eastAsia="Times New Roman"/>
          <w:b w:val="0"/>
          <w:sz w:val="24"/>
        </w:rPr>
        <w:t>Sul piano dello statuto, questo registro e' descrittivo dei nodi e delle loro relazioni: la gradazione probatoria dei singoli fatti - il verde del certo, il giallo del probabile, l'arancio del candidato, il grigio dell'assenza - resta affidata ai registri analitici di dominio e al registro delle verifiche documentali, dove ogni allegazione porta il proprio grado. Sui personaggi viventi, in particolare quelli della dorsale euroasiatica, vale il massimo rigore, e nessuna convergenza sistemica viene mai promossa a catena di comando personale in assenza di accertamento. Il vincolo sulle fonti e' stato rispettato in ogni fase, senza alcun uso di Grokipedia ne' del quotidiano il manifesto.</w:t>
      </w:r>
    </w:p>
    <w:p>
      <w:pPr>
        <w:spacing w:line="276" w:lineRule="auto" w:before="0" w:after="0"/>
        <w:ind w:firstLine="425"/>
        <w:jc w:val="both"/>
      </w:pPr>
      <w:r>
        <w:rPr>
          <w:rFonts w:ascii="Times New Roman" w:hAnsi="Times New Roman" w:cs="Times New Roman" w:eastAsia="Times New Roman"/>
          <w:b w:val="0"/>
          <w:sz w:val="24"/>
        </w:rPr>
        <w:t>Il documento e' accompagnato dal foglio di servizio omonimo, che espone i duecentosessanta nodi uno per uno con dominio, descrizione e registro di provenienza, l'indice per dominio con i conteggi, la tavola dei dieci grandi hub e quella delle sinapsi principali con il loro grado. Il registro integrale sostituisce, come vista d'insieme, i registri di nodi parziali finora prodotti, che restano validi come fonti di dettaglio; e va inteso come parte viva del corpus, aggiornabile a ogni nuova verifica.</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https://it.wikipedia.org/wiki/Organizzazione_Gladio</w:t>
      </w:r>
    </w:p>
    <w:p>
      <w:pPr>
        <w:spacing w:line="276" w:lineRule="auto" w:before="0" w:after="0"/>
        <w:ind w:firstLine="425"/>
        <w:jc w:val="both"/>
      </w:pPr>
      <w:r>
        <w:rPr>
          <w:rFonts w:ascii="Times New Roman" w:hAnsi="Times New Roman" w:cs="Times New Roman" w:eastAsia="Times New Roman"/>
          <w:b w:val="0"/>
          <w:sz w:val="24"/>
        </w:rPr>
        <w:t>https://en.wikipedia.org/wiki/Aginter_Press</w:t>
      </w:r>
    </w:p>
    <w:p>
      <w:pPr>
        <w:spacing w:line="276" w:lineRule="auto" w:before="0" w:after="0"/>
        <w:ind w:firstLine="425"/>
        <w:jc w:val="both"/>
      </w:pPr>
      <w:r>
        <w:rPr>
          <w:rFonts w:ascii="Times New Roman" w:hAnsi="Times New Roman" w:cs="Times New Roman" w:eastAsia="Times New Roman"/>
          <w:b w:val="0"/>
          <w:sz w:val="24"/>
        </w:rPr>
        <w:t>https://it.wikipedia.org/wiki/Caso_Moro</w:t>
      </w:r>
    </w:p>
    <w:p>
      <w:pPr>
        <w:spacing w:line="276" w:lineRule="auto" w:before="0" w:after="0"/>
        <w:ind w:firstLine="425"/>
        <w:jc w:val="both"/>
      </w:pPr>
      <w:r>
        <w:rPr>
          <w:rFonts w:ascii="Times New Roman" w:hAnsi="Times New Roman" w:cs="Times New Roman" w:eastAsia="Times New Roman"/>
          <w:b w:val="0"/>
          <w:sz w:val="24"/>
        </w:rPr>
        <w:t>https://en.wikipedia.org/wiki/Russian_mafia</w:t>
      </w:r>
    </w:p>
    <w:p>
      <w:pPr>
        <w:spacing w:line="276" w:lineRule="auto" w:before="0" w:after="0"/>
        <w:ind w:firstLine="425"/>
        <w:jc w:val="both"/>
      </w:pPr>
      <w:r>
        <w:rPr>
          <w:rFonts w:ascii="Times New Roman" w:hAnsi="Times New Roman" w:cs="Times New Roman" w:eastAsia="Times New Roman"/>
          <w:b w:val="0"/>
          <w:sz w:val="24"/>
        </w:rPr>
        <w:t>https://en.wikipedia.org/wiki/Yury_Kovalchuk</w:t>
      </w:r>
    </w:p>
    <w:p>
      <w:pPr>
        <w:spacing w:line="276" w:lineRule="auto" w:before="0" w:after="0"/>
        <w:ind w:firstLine="425"/>
        <w:jc w:val="both"/>
      </w:pPr>
      <w:r>
        <w:rPr>
          <w:rFonts w:ascii="Times New Roman" w:hAnsi="Times New Roman" w:cs="Times New Roman" w:eastAsia="Times New Roman"/>
          <w:b w:val="0"/>
          <w:sz w:val="24"/>
        </w:rPr>
        <w:t>https://it.wikipedia.org/wiki/Banda_della_Magliana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