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La triangolazione sulla Trattativa fra lo Stato e la mafia si era chiusa dichiarando la propria pendenza piu' grave: il corpus documentava l'evento al livello delle schede ma non possedeva il processo, sicche' nessun esito giudiziario poteva essere affermato. Su indicazione dell'autore questa unita' colma quella pendenza, ricostruendo i tre gradi di giudizio con una ricerca esterna condotta da tre agenti paralleli su fonti gradate: comunicati e testi ufficiali dove disponibili, stampa di qualita' concorde altrove, con le fonti deboli segnalate e i vuoti registrati. Due vincoli sono stati rispettati in ogni passaggio: nessun uso dell'enciclopedia vietata ne' del quotidiano il manifesto; e i testi integrali delle sentenze, che il filtro di rete impedisce di scaricare, restano da acquisire fra le fonti, sicche' la certificazione piena e' rinviata a quell'ingresso.</w:t>
      </w:r>
    </w:p>
    <w:p>
      <w:pPr>
        <w:spacing w:line="276" w:lineRule="auto" w:before="0" w:after="0"/>
        <w:ind w:firstLine="425"/>
        <w:jc w:val="both"/>
      </w:pPr>
      <w:r>
        <w:rPr>
          <w:rFonts w:ascii="Times New Roman" w:hAnsi="Times New Roman" w:cs="Times New Roman" w:eastAsia="Times New Roman"/>
          <w:b w:val="0"/>
          <w:sz w:val="24"/>
        </w:rPr>
        <w:t>Il procedimento nasce dall'indagine della Procura di Palermo, condotta dal procuratore aggiunto Teresi con i pubblici ministeri Di Matteo, Del Bene e Tartaglia, dopo la fase iniziale che aveva visto anche Ingroia; il giudice Morosini rinvio' a giudizio dieci imputati il sette marzo del duemilatredici, e il dibattimento si apri' il ventisette maggio davanti alla Corte d'Assise di Palermo presieduta da Montalto: duecentoventotto udienze in quasi cinque anni. Il capo principale era la violenza o minaccia a un corpo politico dello Stato, l'articolo trecentotrentotto del codice penale, contestato agli ufficiali del ROS Subranni, Mori e De Donno, a Marcello Dell'Utri e ai vertici corleonesi; Mancino rispondeva di falsa testimonianza, Massimo Ciancimino di calunnia e concorso esterno, Mannino era giudicato separatamente con il rito abbreviato. Riina e Provenzano morirono in corso di processo.</w:t>
      </w:r>
    </w:p>
    <w:p>
      <w:pPr>
        <w:spacing w:line="276" w:lineRule="auto" w:before="0" w:after="0"/>
        <w:ind w:firstLine="425"/>
        <w:jc w:val="both"/>
      </w:pPr>
      <w:r>
        <w:rPr>
          <w:rFonts w:ascii="Times New Roman" w:hAnsi="Times New Roman" w:cs="Times New Roman" w:eastAsia="Times New Roman"/>
          <w:b w:val="0"/>
          <w:sz w:val="24"/>
        </w:rPr>
        <w:t>Il venti aprile del duemiladiciotto la Corte d'Assise condanno': ventotto anni a Bagarella, dodici a Mori, a Subranni, a Dell'Utri e a Cina', otto a De Donno, otto a Massimo Ciancimino per la calunnia; assolse Mancino e dichiaro' prescritta la posizione di Brusca. Le motivazioni, cinquemiladuecentocinquantadue pagine, ritennero accertata l'interlocuzione fra apparati e Cosa Nostra e qualificarono la condotta degli ufficiali e di Dell'Utri come veicolazione ai governi della minaccia mafiosa; e ipotizzarono che la trattativa avesse accelerato la strage di via D'Amelio - la tesi che la scheda del corpus su Borsellino ha recepito. Ma quella del duemiladiciotto era una sentenza di merito, e il merito fu rovesciato.</w:t>
      </w:r>
    </w:p>
    <w:p>
      <w:pPr>
        <w:spacing w:line="276" w:lineRule="auto" w:before="0" w:after="0"/>
        <w:ind w:firstLine="425"/>
        <w:jc w:val="both"/>
      </w:pPr>
      <w:r>
        <w:rPr>
          <w:rFonts w:ascii="Times New Roman" w:hAnsi="Times New Roman" w:cs="Times New Roman" w:eastAsia="Times New Roman"/>
          <w:b w:val="0"/>
          <w:sz w:val="24"/>
        </w:rPr>
        <w:t>Il ventitre settembre del duemilaventuno la Corte d'Assise d'appello presieduta da Pellino assolse gli ufficiali del ROS perche' il fatto non costituisce reato, e Dell'Utri per non aver commesso il fatto: due formule profondamente diverse, che il dispositivo distingue con cura. Per i carabinieri la condotta materiale sussiste - il canale verso Vito Ciancimino fu aperto davvero - ma manca il dolo: le motivazioni, duemilanovecentosettantuno pagine, la definirono una improvvida iniziativa, mai autorizzata dall'alto, mossa da finalita' solidaristiche, cioe' dall'intento di far cessare le stragi. Per Dell'Utri, invece, non fu provata alcuna veicolazione della minaccia al governo: il fatto, suo, non c'e'. Bagarella fu ridotto a ventisette anni, con il segmento relativo al governo Berlusconi riqualificato in minaccia tentata e prescritto; Cina' confermato; la calunnia di Massimo Ciancimino dichiarata prescritta.</w:t>
      </w:r>
    </w:p>
    <w:p>
      <w:pPr>
        <w:spacing w:line="276" w:lineRule="auto" w:before="0" w:after="0"/>
        <w:ind w:firstLine="425"/>
        <w:jc w:val="both"/>
      </w:pPr>
      <w:r>
        <w:rPr>
          <w:rFonts w:ascii="Times New Roman" w:hAnsi="Times New Roman" w:cs="Times New Roman" w:eastAsia="Times New Roman"/>
          <w:b w:val="0"/>
          <w:sz w:val="24"/>
        </w:rPr>
        <w:t>La Cassazione, sesta sezione penale, chiuse il ventisette aprile del duemilaventitre con la sentenza numero quarantacinquemilacinquecentosei, e chiuse andando oltre l'appello: annullo' senza rinvio l'assoluzione dei carabinieri e pronuncio' essa stessa la formula piu' favorevole, per non aver commesso il fatto; rese definitiva l'assoluzione di Dell'Utri con la stessa formula; respinse nel merito il ricorso della Procura generale; e riqualifico' la posizione di Bagarella e Cina' in minaccia tentata, dichiarandola estinta per prescrizione, sicche' anche le loro pene caddero. Le motivazioni, novantacinque pagine depositate il dieci novembre, dissero che gli ufficiali si limitarono a ricevere la minaccia senza sollecitarla, che il dialogo puntava a fermare le stragi, e che l'assunto dell'accusa non poggiava su alcun dato probatorio specifico. L'esito capitale e' questo: nel processo sulla Trattativa nessuno, ne' uomo dello Stato ne' boss, e' condannato in via definitiva.</w:t>
      </w:r>
    </w:p>
    <w:p>
      <w:pPr>
        <w:spacing w:line="276" w:lineRule="auto" w:before="0" w:after="0"/>
        <w:ind w:firstLine="425"/>
        <w:jc w:val="both"/>
      </w:pPr>
      <w:r>
        <w:rPr>
          <w:rFonts w:ascii="Times New Roman" w:hAnsi="Times New Roman" w:cs="Times New Roman" w:eastAsia="Times New Roman"/>
          <w:b w:val="0"/>
          <w:sz w:val="24"/>
        </w:rPr>
        <w:t>E tuttavia - ed e' il punto che lo statuto impone di enunciare con la stessa nettezza - il fatto resta. L'esistenza dei contatti fra gli ufficiali del ROS e Vito Ciancimino nell'estate del millenovecentonovantadue e' affermata da tutte le corti, di ogni grado: nessuna sentenza nega l'interlocuzione, e la controversia giudiziaria ha riguardato soltanto la sua qualificazione penale. La scheda del corpus su Ciancimino mediatore esce dunque confermata nel suo nucleo; la scheda su Mancino, con la sua prudente formula sul coinvolgimento nelle inchieste, si rivela esatta e si chiude con l'assoluzione definitiva; la scheda su Borsellino va invece d'ora in poi letta con un'avvertenza, perche' la proposizione sull'accelerazione della sua morte appartiene alle motivazioni di primo grado e non e' stata confermata nei gradi successivi: retrocede da fatto a tesi giudiziaria di merito. La trilogia delle trattative certificata alla voce settanta non e' toccata: il canale del novantadue resta storicamente affermato - cambia la sua rilevanza penale, non la sua esistenza.</w:t>
      </w:r>
    </w:p>
    <w:p>
      <w:pPr>
        <w:spacing w:line="276" w:lineRule="auto" w:before="0" w:after="0"/>
        <w:ind w:firstLine="425"/>
        <w:jc w:val="both"/>
      </w:pPr>
      <w:r>
        <w:rPr>
          <w:rFonts w:ascii="Times New Roman" w:hAnsi="Times New Roman" w:cs="Times New Roman" w:eastAsia="Times New Roman"/>
          <w:b w:val="0"/>
          <w:sz w:val="24"/>
        </w:rPr>
        <w:t>Accanto al processo principale la ricerca ha acquisito il fronte del depistaggio di via D'Amelio, l'altra grande pendenza. Il Borsellino quater e' definitivo dal cinque ottobre duemilaventuno: ergastoli a Madonia e Tutino, condanne per calunnia ai falsi pentiti Pulci e Andriotta, prescrizione in gran parte per Scarantino con il riconoscimento che fu indotto alle false accuse; le sentenze di merito lo dicono uno dei piu' gravi depistaggi della storia giudiziaria. Il processo ai tre poliziotti del gruppo investigativo si e' chiuso in appello, nel giugno duemilaventiquattro, con la prescrizione per tutti e tre, a condotta riconosciuta; le motivazioni depositate quest'anno parlerebbero di un depistaggio attuato anche per tutelare interessi esterni, con riferimenti ai servizi - ma la fonte e' unica e il dato resta al grado piu' cauto. Il depistaggio come fatto e' accertato; le responsabilita' individuali sono in larga parte evaporate nella prescrizione.</w:t>
      </w:r>
    </w:p>
    <w:p>
      <w:pPr>
        <w:spacing w:line="276" w:lineRule="auto" w:before="0" w:after="0"/>
        <w:ind w:firstLine="425"/>
        <w:jc w:val="both"/>
      </w:pPr>
      <w:r>
        <w:rPr>
          <w:rFonts w:ascii="Times New Roman" w:hAnsi="Times New Roman" w:cs="Times New Roman" w:eastAsia="Times New Roman"/>
          <w:b w:val="0"/>
          <w:sz w:val="24"/>
        </w:rPr>
        <w:t>Il bilancio dei cento blocchi: quarantatre di grado massimo, dai comunicati ufficiali della Cassazione ai fatti concordemente certificati; quarantasei di grado intermedio, la stampa di qualita' concorde; quattro fonti deboli o dichiarazioni di parte, segnalate; sette pendenze registrate, fra cui il papello, il quarantuno-bis, l'agenda rossa, l'esito di legittimita' sul depistaggio e soprattutto i testi integrali delle sentenze da collocare fra le fonti - quattro acquisizioni gia' indicate, da compiere in ambiente a rete aperta. La distinzione che regge l'intera unita' e' una: assolto e' un risultato, prescritto non significa assolto, e la tesi di merito non e' l'accertamento definitivo. Cosi' il processo entra nel corpus come vi era entrato l'evento: con i suoi gradi, le sue formule esatte e i suoi vuoti dichiarati. Il vincolo sulle fonti e' stato rispettato in ogni riga,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Comunicato stampa della Corte di Cassazione sul processo Trattativa (via sistemapenale.it e giurisprudenzapenale.com) - grado A</w:t>
      </w:r>
    </w:p>
    <w:p>
      <w:pPr>
        <w:spacing w:line="276" w:lineRule="auto" w:before="0" w:after="0"/>
        <w:ind w:firstLine="425"/>
        <w:jc w:val="both"/>
      </w:pPr>
      <w:r>
        <w:rPr>
          <w:rFonts w:ascii="Times New Roman" w:hAnsi="Times New Roman" w:cs="Times New Roman" w:eastAsia="Times New Roman"/>
          <w:b w:val="0"/>
          <w:sz w:val="24"/>
        </w:rPr>
        <w:t>Giurisprudenza Penale: dispositivo e motivazioni di primo grado (2018); testo della sentenza d'appello (2022); motivazioni Cassazione n. 45506/2023 - grado A (testi ripubblicati)</w:t>
      </w:r>
    </w:p>
    <w:p>
      <w:pPr>
        <w:spacing w:line="276" w:lineRule="auto" w:before="0" w:after="0"/>
        <w:ind w:firstLine="425"/>
        <w:jc w:val="both"/>
      </w:pPr>
      <w:r>
        <w:rPr>
          <w:rFonts w:ascii="Times New Roman" w:hAnsi="Times New Roman" w:cs="Times New Roman" w:eastAsia="Times New Roman"/>
          <w:b w:val="0"/>
          <w:sz w:val="24"/>
        </w:rPr>
        <w:t>Stampa di qualita' concorde (grado B): ANSA, AGI, Il Sole 24 Ore, Avvenire, Il Post, Giornale di Sicilia, PalermoToday, Quotidiano.net, Editoriale Domani, Sky TG24, La Sicilia, Il Fatto Quotidiano, LaPresse, Open, Il Dubbio, Filodiritto, lavialibera, Dire</w:t>
      </w:r>
    </w:p>
    <w:p>
      <w:pPr>
        <w:spacing w:line="276" w:lineRule="auto" w:before="0" w:after="0"/>
        <w:ind w:firstLine="425"/>
        <w:jc w:val="both"/>
      </w:pPr>
      <w:r>
        <w:rPr>
          <w:rFonts w:ascii="Times New Roman" w:hAnsi="Times New Roman" w:cs="Times New Roman" w:eastAsia="Times New Roman"/>
          <w:b w:val="0"/>
          <w:sz w:val="24"/>
        </w:rPr>
        <w:t>Fonti C segnalate: Wikipedia (corroborazione), antimafiaduemila (testata di parte, su atti verificabili), StrettoWeb (fonte unica, motivazioni depistaggio 2026)</w:t>
      </w:r>
    </w:p>
    <w:p>
      <w:pPr>
        <w:spacing w:line="276" w:lineRule="auto" w:before="0" w:after="0"/>
        <w:ind w:firstLine="425"/>
        <w:jc w:val="both"/>
      </w:pPr>
      <w:r>
        <w:rPr>
          <w:rFonts w:ascii="Times New Roman" w:hAnsi="Times New Roman" w:cs="Times New Roman" w:eastAsia="Times New Roman"/>
          <w:b w:val="0"/>
          <w:sz w:val="24"/>
        </w:rPr>
        <w:t>corpus: voce 70 (ITALIA_NERA_TRIANGOLAZIONE_TRATTATIVA_STATO_MAFIA) e schede citate (Ciancimino, Borsellino, Mancino, Riina)</w:t>
      </w:r>
    </w:p>
    <w:p>
      <w:pPr>
        <w:spacing w:line="276" w:lineRule="auto" w:before="0" w:after="0"/>
        <w:ind w:firstLine="425"/>
        <w:jc w:val="both"/>
      </w:pPr>
      <w:r>
        <w:rPr>
          <w:rFonts w:ascii="Times New Roman" w:hAnsi="Times New Roman" w:cs="Times New Roman" w:eastAsia="Times New Roman"/>
          <w:b w:val="0"/>
          <w:sz w:val="24"/>
        </w:rPr>
        <w:t>repertorio/ITALIA_NERA_PROCESSO_TRATTATIVA_100_BLOCCHI.xlsx (i 100 blocchi certificati)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