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Il lotto ricevuto con l'atto della voce settantaquattro - otto documenti nuovi, una monografia verificata per impronta e due attestazioni crittografiche - viene qui triangolato per intero, documento per documento e capoverso per capoverso, con duemila blocchi mirati esatti. L'architettura e' a piu' strati: novanta blocchi di sintesi mirata, dieci per ciascun documento, scritti a mano sul contenuto reale; milleduecentoventotto blocchi di triangolazione automatica, uno per ogni capoverso sostanziale del lotto, ciascuno cercato contro l'intero grafo del corpus - le quattrocentottantasei schede-nodo, i cinquecentoquarantasette capi del connettoma decodificato e un apparato di alias curati; centosessantadue ponti documento-nodo; duecentonovantanove sinapsi documentali nuove, ossia coppie di entita' del corpus che il lotto fa co-occorrere nello stesso capoverso e che si propongono come archi futuri del connettoma; duecentouno unita' interne certificate; e le sezioni di metodo e di verdetto che tengono il conto.</w:t>
      </w:r>
    </w:p>
    <w:p>
      <w:pPr>
        <w:spacing w:line="276" w:lineRule="auto" w:before="0" w:after="0"/>
        <w:ind w:firstLine="425"/>
        <w:jc w:val="both"/>
      </w:pPr>
      <w:r>
        <w:rPr>
          <w:rFonts w:ascii="Times New Roman" w:hAnsi="Times New Roman" w:cs="Times New Roman" w:eastAsia="Times New Roman"/>
          <w:b w:val="0"/>
          <w:sz w:val="24"/>
        </w:rPr>
        <w:t>Le tesi maggiori che il lotto consegna al corpus sono cinque, e convergono in modo notevole con cio' che l'opera aveva gia' stabilito per altra via. La Camera Istruttoria pronuncia la biforcazione delle filiere eversive e la confutazione formale del monolite dell'Internazionale Nera, con il disprezzo reciproco fra le filiere elevato a dato probatorio: e' la tesi bicefala del corpus, ora munita del criterio di demarcazione che le mancava. La sezione sulla diaspora nazionalsocialista compie l'operazione speculare sull'altro mito: la sigla unica dell'organizzazione di fuga e' una costruzione postuma - le reti esistono, il monolite no - e i cinque teatri dell'acquisizione del capitale umano del Reich, da Paperclip a Osoaviakhim, mostrano due superpotenze che applicano un solo pattern. La ricognizione sulle Nazioni Unite documenta l'inversione dei voti italiani sulla Namibia fra il millenovecentosettantasei e il millenovecentosettantasette - e la coincidenza cronologica con il quadro interno di quegli anni resta registrata come domanda, non come tesi. Il registro di triangolazione consegna il chiasmo portoghese: la stessa polizia politica che protegge Aginter sorveglia l'Opus Dei. E la scheda del Mondo Nero smonta con fonti coeve l'incontro fra Trump e Gorbaciov del dicembre millenovecentottantotto - un sosia, una produzione televisiva, tre Stati Zero dichiarati - lasciando in piedi il solo contatto reale della fila di ricevimento del millenovecentottantasette.</w:t>
      </w:r>
    </w:p>
    <w:p>
      <w:pPr>
        <w:spacing w:line="276" w:lineRule="auto" w:before="0" w:after="0"/>
        <w:ind w:firstLine="425"/>
        <w:jc w:val="both"/>
      </w:pPr>
      <w:r>
        <w:rPr>
          <w:rFonts w:ascii="Times New Roman" w:hAnsi="Times New Roman" w:cs="Times New Roman" w:eastAsia="Times New Roman"/>
          <w:b w:val="0"/>
          <w:sz w:val="24"/>
        </w:rPr>
        <w:t>La sezione esoterica e la monografia sul Sacro, che si federano a vicenda, meritano una menzione di metodo: entrano nel campo piu' esposto alla suggestione - tradizionalismo, satanismo, il fattore vaticano nel caso Moro - armate del divieto di inferenza simbolica e dei falsificatori designati, e distinguono i tre registri del sacro rifiutando di fonderli. La quarta serie, infine, certifica la linea del Dossier dalla sessantunesima alla settantesima edizione come linea cumulativa attestata per struttura: e' il gemello d'autore del registro delle verifiche, una seconda contabilita' indipendente della stessa opera.</w:t>
      </w:r>
    </w:p>
    <w:p>
      <w:pPr>
        <w:spacing w:line="276" w:lineRule="auto" w:before="0" w:after="0"/>
        <w:ind w:firstLine="425"/>
        <w:jc w:val="both"/>
      </w:pPr>
      <w:r>
        <w:rPr>
          <w:rFonts w:ascii="Times New Roman" w:hAnsi="Times New Roman" w:cs="Times New Roman" w:eastAsia="Times New Roman"/>
          <w:b w:val="0"/>
          <w:sz w:val="24"/>
        </w:rPr>
        <w:t>La triangolazione automatica racconta una cosa precisa. Ottocentodiciannove blocchi hanno trovato aggancio documentale nel corpus: il lotto parla ai nodi che l'opera gia' possiede - Evola, Freda e Rauti per la sezione esoterica, Barbie e i teatri della diaspora, Aginter e Guerin-Serac, la dorsale apartheid, Moro e la Santa Sede. Ma novecentoquattro capoversi non hanno trovato alcun aggancio: sono l'innesto puro, la materia genuinamente nuova che il lotto porta - i nomi della catena Brighton Beach, il personale della diaspora, i canali onusiani - candidata a diventare nodi e sinapsi delle prossime edizioni. E le duecentonovantanove coppie co-occorrenti sono la mappa gia' pronta di quegli archi futuri.</w:t>
      </w:r>
    </w:p>
    <w:p>
      <w:pPr>
        <w:spacing w:line="276" w:lineRule="auto" w:before="0" w:after="0"/>
        <w:ind w:firstLine="425"/>
        <w:jc w:val="both"/>
      </w:pPr>
      <w:r>
        <w:rPr>
          <w:rFonts w:ascii="Times New Roman" w:hAnsi="Times New Roman" w:cs="Times New Roman" w:eastAsia="Times New Roman"/>
          <w:b w:val="0"/>
          <w:sz w:val="24"/>
        </w:rPr>
        <w:t>Il lotto ha inaugurato anche una novita' d'integrita': le impronte crittografiche d'autore. La copia della monografia sul Sacro e' stata verificata contro l'impronta dichiarata - la prima verifica crittografica dell'opera - mentre il Quinto Registro della Tavola Unica resta atteso: ne e' giunta l'impronta ma non il file, sicche' al suo arrivo la verifica sara' immediata contro l'hash gia' depositato. E' il primo caso di impronta che precede il documento, ed e' un meccanismo da mantenere per ogni conferimento futuro.</w:t>
      </w:r>
    </w:p>
    <w:p>
      <w:pPr>
        <w:spacing w:line="276" w:lineRule="auto" w:before="0" w:after="0"/>
        <w:ind w:firstLine="425"/>
        <w:jc w:val="both"/>
      </w:pPr>
      <w:r>
        <w:rPr>
          <w:rFonts w:ascii="Times New Roman" w:hAnsi="Times New Roman" w:cs="Times New Roman" w:eastAsia="Times New Roman"/>
          <w:b w:val="0"/>
          <w:sz w:val="24"/>
        </w:rPr>
        <w:t>Il bilancio dei duemila blocchi: duecentosettantatre di grado massimo, ottocentodiciannove agganci documentali, novecentoquattro innesti puri dichiarati, quattro negativi - fra cui il documento atteso e le pendenze interne che la quarta serie stessa dichiara, dall'Oder-Neisse alla ricognizione keniota. Il limite della grana lessicale degli strati automatici e' dichiarato ed e' compensato dagli strati manuali. Il lotto entra nel corpus federato, non giustapposto: ogni documento ha la sua sintesi, ogni capoverso il suo blocco, ogni entita' il suo ponte.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I nove documenti del lotto (voce 74): MN-BB-18 ampliato + scheda .md; Camera Istruttoria; Registro di triangolazione 21ago; Quarta serie V70; Sezione esoterica; Sezione diaspora nazista; Italia-ONU embargo; Il Sacro e l'Eversione (sha256 verificata)</w:t>
      </w:r>
    </w:p>
    <w:p>
      <w:pPr>
        <w:spacing w:line="276" w:lineRule="auto" w:before="0" w:after="0"/>
        <w:ind w:firstLine="425"/>
        <w:jc w:val="both"/>
      </w:pPr>
      <w:r>
        <w:rPr>
          <w:rFonts w:ascii="Times New Roman" w:hAnsi="Times New Roman" w:cs="Times New Roman" w:eastAsia="Times New Roman"/>
          <w:b w:val="0"/>
          <w:sz w:val="24"/>
        </w:rPr>
        <w:t>corpus: 486 schede-nodo (nodi_parsed), Registro Sinaptico decodificato (voce 68), voci 60/64/66-73 per i raccordi</w:t>
      </w:r>
    </w:p>
    <w:p>
      <w:pPr>
        <w:spacing w:line="276" w:lineRule="auto" w:before="0" w:after="0"/>
        <w:ind w:firstLine="425"/>
        <w:jc w:val="both"/>
      </w:pPr>
      <w:r>
        <w:rPr>
          <w:rFonts w:ascii="Times New Roman" w:hAnsi="Times New Roman" w:cs="Times New Roman" w:eastAsia="Times New Roman"/>
          <w:b w:val="0"/>
          <w:sz w:val="24"/>
        </w:rPr>
        <w:t>repertorio/ITALIA_NERA_TRIANGOLAZIONE_LOTTO_2000_BLOCCHI.xlsx (i duemila blocchi in 25 fogli)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