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Dodicesima nota della campagna. Il documento è un compendio in ordine alfabetico delle operazioni antimafia condotte dalle forze dell'ordine italiane sotto il coordinamento delle direzioni distrettuali, ciascuna con una riga sul clan colpito e sull'area. È un inventario, ma di natura ben più solida di quello genovese: le voci sono operazioni reali e nominate, quasi tutte sfociate in ordinanze e processi. Il documento premette d'altronde che ogni voce è verificabile in sede giudiziaria. La verifica ne conferma la spina, valorizza due ponti col corpus e corregge un'affermazione sopravvalutata e una premessa troppo assoluta. Il controllo è del sei agosto duemilaventisei.</w:t>
      </w:r>
    </w:p>
    <w:p>
      <w:pPr>
        <w:spacing w:line="276" w:lineRule="auto" w:before="0" w:after="0"/>
        <w:ind w:firstLine="425"/>
        <w:jc w:val="both"/>
      </w:pPr>
      <w:r>
        <w:rPr>
          <w:rFonts w:ascii="Times New Roman" w:hAnsi="Times New Roman" w:cs="Times New Roman" w:eastAsia="Times New Roman"/>
          <w:b/>
          <w:sz w:val="24"/>
        </w:rPr>
        <w:t>La spina delle grandi operazioni regge al grado pieno.</w:t>
      </w:r>
      <w:r>
        <w:rPr>
          <w:rFonts w:ascii="Times New Roman" w:hAnsi="Times New Roman" w:cs="Times New Roman" w:eastAsia="Times New Roman"/>
          <w:b w:val="0"/>
          <w:sz w:val="24"/>
        </w:rPr>
        <w:t xml:space="preserve"> Trovano riscontro puntuale le inchieste cardine: l'operazione congiunta delle procure di Milano e Reggio Calabria del duemiladieci, che dimostrò l'esistenza della 'ndrangheta come struttura unitaria e verticistica con le sue proiezioni al Nord, con oltre trecento arresti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il grande processo guidato da Nicola Gratteri, avviato nel dicembre del duemiladiciannove con oltre trecentotrenta arresti contro la cosca Mancuso di Limbadi e le sue diramazioni, fino alle logge coperte e alla politica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l'operazione della procura di Caltanissetta che portò alla condanna dei responsabili delle stragi del millenovecentonovantadue, di Capaci e di via D'Amelio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il maxi-processo emiliano contro la cosca Grande Aracri, il ciclo contro i Casalesi e quello contro la famiglia di Barcellona Pozzo di Gotto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l'operazione del duemiladiciotto che sventò il tentativo di ricostituire la commissione provinciale di Cosa Nostra dopo la morte di Salvatore Riina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Due ponti col corpus vanno segnalati e valorizzati.</w:t>
      </w:r>
      <w:r>
        <w:rPr>
          <w:rFonts w:ascii="Times New Roman" w:hAnsi="Times New Roman" w:cs="Times New Roman" w:eastAsia="Times New Roman"/>
          <w:b w:val="0"/>
          <w:sz w:val="24"/>
        </w:rPr>
        <w:t xml:space="preserve"> L'operazione condotta insieme dall'ufficio investigativo federale statunitense e dalla procura reggina nel duemilaquattordici, che colpì l'asse del narcotraffico fra la cosca Ursino di Gioiosa Ionica e la famiglia italo-americana dei Gambino a New York, si salda direttamente al repertorio della famiglia Genovese verificato nella nota nona: è il versante 'ndranghetista, e odierno, dello stesso ponte fra Cosa Nostra americana e criminalità nostrana </w:t>
      </w:r>
      <w:r>
        <w:rPr>
          <w:rFonts w:ascii="Times New Roman" w:hAnsi="Times New Roman" w:cs="Times New Roman" w:eastAsia="Times New Roman"/>
          <w:b/>
          <w:sz w:val="24"/>
        </w:rPr>
        <w:t>(Livello A, coerente)</w:t>
      </w:r>
      <w:r>
        <w:rPr>
          <w:rFonts w:ascii="Times New Roman" w:hAnsi="Times New Roman" w:cs="Times New Roman" w:eastAsia="Times New Roman"/>
          <w:b w:val="0"/>
          <w:sz w:val="24"/>
        </w:rPr>
        <w:t xml:space="preserve">. E l'inchiesta romana sul cosiddetto «mondo di mezzo» chiama in causa Massimo Carminati, già dei Nuclei Armati Rivoluzionari, la stessa figura del terrorismo nero che la nota decima incrociava attorno all'arsenale della Magliana: il filo fra eversione nera e crimine organizzato romano ritorna, e va tenuto </w:t>
      </w:r>
      <w:r>
        <w:rPr>
          <w:rFonts w:ascii="Times New Roman" w:hAnsi="Times New Roman" w:cs="Times New Roman" w:eastAsia="Times New Roman"/>
          <w:b/>
          <w:sz w:val="24"/>
        </w:rPr>
        <w:t>(Livello A come esistenza del nesso Carminati-eversione-crimine)</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Ma su quel «mondo di mezzo» il documento va corretto.</w:t>
      </w:r>
      <w:r>
        <w:rPr>
          <w:rFonts w:ascii="Times New Roman" w:hAnsi="Times New Roman" w:cs="Times New Roman" w:eastAsia="Times New Roman"/>
          <w:b w:val="0"/>
          <w:sz w:val="24"/>
        </w:rPr>
        <w:t xml:space="preserve"> Esso lo definisce senz'altro «un'organizzazione mafiosa autoctona e originale romana». Questa qualificazione è proprio quella che la giustizia ha infine respinto: la corte di cassazione, nell'ottobre del duemiladiciannove, escluse l'associazione di stampo mafioso e derubricò il sodalizio ad associazione per delinquere con gravi reati contro la pubblica amministrazione, e in questi termini le condanne di Carminati e Salvatore Buzzi divennero definitive nel duemilaventidue. Restano dunque pienamente accertati la corruzione sistematica, il controllo degli appalti, l'infiltrazione nell'accoglienza dei migranti e nei campi rom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ma la patente di «mafia» a quel sistema è stata negata in via definitiva e non va usata </w:t>
      </w:r>
      <w:r>
        <w:rPr>
          <w:rFonts w:ascii="Times New Roman" w:hAnsi="Times New Roman" w:cs="Times New Roman" w:eastAsia="Times New Roman"/>
          <w:b/>
          <w:sz w:val="24"/>
        </w:rPr>
        <w:t>(Livello C; la rettifica è di grado A)</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E una cautela sulla premessa, e su un'inchiesta ancora aperta.</w:t>
      </w:r>
      <w:r>
        <w:rPr>
          <w:rFonts w:ascii="Times New Roman" w:hAnsi="Times New Roman" w:cs="Times New Roman" w:eastAsia="Times New Roman"/>
          <w:b w:val="0"/>
          <w:sz w:val="24"/>
        </w:rPr>
        <w:t xml:space="preserve"> Il documento dichiara che ogni operazione elencata è sfociata in sentenze passate in giudicato: è vero per la gran parte, ma non per tutte, poiché diverse voci sono recenti e ancora nel pieno del percorso processuale, sicché la premessa va temperata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Ne è esempio l'inchiesta sulla cosiddetta 'ndrangheta stragista, che il documento dà per acquisita: la partecipazione della 'ndrangheta calabrese, con Giuseppe Graviano e Rocco Santo Filippone, agli agguati contro i carabinieri fra il millenovecentonovantatré e il millenovecentonovantaquattro è sostanzialmente fondata e ha già prodotto condanne all'ergastolo, ma il percorso non è chiuso: la cassazione annullò i reati di sangue nel dicembre del duemilaventiquattro e la corte d'appello, in sede di rinvio, ha riconfermato gli ergastoli solo il dieci luglio del duemilaventisei. Va perciò tenuta come tesi robusta ma non ancora irrevocabile </w:t>
      </w:r>
      <w:r>
        <w:rPr>
          <w:rFonts w:ascii="Times New Roman" w:hAnsi="Times New Roman" w:cs="Times New Roman" w:eastAsia="Times New Roman"/>
          <w:b/>
          <w:sz w:val="24"/>
        </w:rPr>
        <w:t>(Livello A nel merito, con riserva di definitività)</w:t>
      </w:r>
      <w:r>
        <w:rPr>
          <w:rFonts w:ascii="Times New Roman" w:hAnsi="Times New Roman" w:cs="Times New Roman" w:eastAsia="Times New Roman"/>
          <w:b w:val="0"/>
          <w:sz w:val="24"/>
        </w:rPr>
        <w:t>. Va infine accreditata al compilatore l'onestà d'aver segnalato che una voce dell'elenco appartiene in realtà al terrorismo anarchico e non alla mafia.</w:t>
      </w:r>
    </w:p>
    <w:p>
      <w:pPr>
        <w:spacing w:line="276" w:lineRule="auto" w:before="0" w:after="0"/>
        <w:ind w:firstLine="425"/>
        <w:jc w:val="both"/>
      </w:pPr>
      <w:r>
        <w:rPr>
          <w:rFonts w:ascii="Times New Roman" w:hAnsi="Times New Roman" w:cs="Times New Roman" w:eastAsia="Times New Roman"/>
          <w:b/>
          <w:sz w:val="24"/>
        </w:rPr>
        <w:t>Verdetto complessivo.</w:t>
      </w:r>
      <w:r>
        <w:rPr>
          <w:rFonts w:ascii="Times New Roman" w:hAnsi="Times New Roman" w:cs="Times New Roman" w:eastAsia="Times New Roman"/>
          <w:b w:val="0"/>
          <w:sz w:val="24"/>
        </w:rPr>
        <w:t xml:space="preserve"> Inventario solido e prezioso come mappa delle operazioni antimafia, con la spina delle grandi inchieste confermata al grado pieno e due ponti importanti verso il corpus — il nesso 'ndrangheta-Gambino e il ritorno di Carminati dal terrorismo nero. Va usato con due rettifiche: non chiamare «mafia» il «mondo di mezzo», che in via definitiva mafia non è stato giudicato, e non dare per definitive le inchieste più recenti, a partire dalla 'ndrangheta stragista, ancora sub iudice. Con questi accorgimenti l'elenco è pienamente utilizzabile come repertorio di piste solide. Se ne certifica la verifica con questo esito. È la dodicesima voce del registro.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Operazione Crimine-Infinito (2010; 'ndrangheta unitaria; oltre 300 arresti) — https://it.wikipedia.org/wiki/Operazione_Crimine</w:t>
      </w:r>
    </w:p>
    <w:p>
      <w:pPr>
        <w:spacing w:line="276" w:lineRule="auto" w:before="0" w:after="0"/>
        <w:ind w:firstLine="425"/>
        <w:jc w:val="both"/>
      </w:pPr>
      <w:r>
        <w:rPr>
          <w:rFonts w:ascii="Times New Roman" w:hAnsi="Times New Roman" w:cs="Times New Roman" w:eastAsia="Times New Roman"/>
          <w:b w:val="0"/>
          <w:sz w:val="24"/>
        </w:rPr>
        <w:t>Rinascita-Scott (Gratteri, dicembre 2019; cosca Mancuso) — https://it.wikipedia.org/wiki/Rinascita-Scott</w:t>
      </w:r>
    </w:p>
    <w:p>
      <w:pPr>
        <w:spacing w:line="276" w:lineRule="auto" w:before="0" w:after="0"/>
        <w:ind w:firstLine="425"/>
        <w:jc w:val="both"/>
      </w:pPr>
      <w:r>
        <w:rPr>
          <w:rFonts w:ascii="Times New Roman" w:hAnsi="Times New Roman" w:cs="Times New Roman" w:eastAsia="Times New Roman"/>
          <w:b w:val="0"/>
          <w:sz w:val="24"/>
        </w:rPr>
        <w:t>Mondo di mezzo: la Cassazione esclude il 416-bis (22 ottobre 2019) — https://www.ilfattoquotidiano.it/2019/10/22/mondo-di-mezzo-per-la-cassazione-a-roma-non-era-mafia-capitale-annullata-la-sentenza-dappello-per-buzzi-e-carminati/5527252/</w:t>
      </w:r>
    </w:p>
    <w:p>
      <w:pPr>
        <w:spacing w:line="276" w:lineRule="auto" w:before="0" w:after="0"/>
        <w:ind w:firstLine="425"/>
        <w:jc w:val="both"/>
      </w:pPr>
      <w:r>
        <w:rPr>
          <w:rFonts w:ascii="Times New Roman" w:hAnsi="Times New Roman" w:cs="Times New Roman" w:eastAsia="Times New Roman"/>
          <w:b w:val="0"/>
          <w:sz w:val="24"/>
        </w:rPr>
        <w:t>Mafia Capitale (condanne definitive 2022) — https://en.wikipedia.org/wiki/Mafia_Capitale</w:t>
      </w:r>
    </w:p>
    <w:p>
      <w:pPr>
        <w:spacing w:line="276" w:lineRule="auto" w:before="0" w:after="0"/>
        <w:ind w:firstLine="425"/>
        <w:jc w:val="both"/>
      </w:pPr>
      <w:r>
        <w:rPr>
          <w:rFonts w:ascii="Times New Roman" w:hAnsi="Times New Roman" w:cs="Times New Roman" w:eastAsia="Times New Roman"/>
          <w:b w:val="0"/>
          <w:sz w:val="24"/>
        </w:rPr>
        <w:t>'Ndrangheta stragista: ergastoli riconfermati in appello bis (10 luglio 2026) — https://ildispaccio.it/calabria/reggio-calabria/2026/07/10/ndrangheta-stragista-nuova-condanna-allergastolo-per-graviano-e-filippone-confermata-la-responsabilita-per-gli-attentati-ai-carabinieri/</w:t>
      </w:r>
    </w:p>
    <w:p>
      <w:pPr>
        <w:spacing w:line="276" w:lineRule="auto" w:before="0" w:after="0"/>
        <w:ind w:firstLine="425"/>
        <w:jc w:val="both"/>
      </w:pPr>
      <w:r>
        <w:rPr>
          <w:rFonts w:ascii="Times New Roman" w:hAnsi="Times New Roman" w:cs="Times New Roman" w:eastAsia="Times New Roman"/>
          <w:b w:val="0"/>
          <w:sz w:val="24"/>
        </w:rPr>
        <w:t>Operazione New Bridge (2014; DDA Reggio Calabria e FBI; Ursino–Gambino) — https://it.wikipedia.org/wiki/Famiglia_Gambino</w:t>
      </w:r>
    </w:p>
    <w:p>
      <w:pPr>
        <w:spacing w:line="276" w:lineRule="auto" w:before="0" w:after="0"/>
        <w:ind w:firstLine="425"/>
        <w:jc w:val="both"/>
      </w:pPr>
      <w:r>
        <w:rPr>
          <w:rFonts w:ascii="Times New Roman" w:hAnsi="Times New Roman" w:cs="Times New Roman" w:eastAsia="Times New Roman"/>
          <w:b w:val="0"/>
          <w:sz w:val="24"/>
        </w:rPr>
        <w:t>Riscontro interno al corpus: note di verifica n.9 (famiglia Genovese/Gambino) e n.10 (Carminati/Magliana) — corpus/diagnostica/</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