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La verifica del processo Trattativa si era chiusa con sette pendenze dichiarate, e l'autore ha ordinato di procedervi. Questa unita' le lavora una per una: un tentativo diretto di acquisizione per i testi delle sentenze, tre agenti di ricerca paralleli per il papello, il regime carcerario speciale, l'agenda rossa, lo stato del processo sul depistaggio e le biografie dei protagonisti non ancora censiti. L'esito complessivo: cinque pendenze chiuse, una chiusa con esito negativo certificato, e un raccolto di fatti sopravvenuti che nessuna delle voci precedenti conosceva - dalle perquisizioni in casa dell'ex procuratore Tinebra all'archiviazione fiorentina di Dell'Utri.</w:t>
      </w:r>
    </w:p>
    <w:p>
      <w:pPr>
        <w:spacing w:line="276" w:lineRule="auto" w:before="0" w:after="0"/>
        <w:ind w:firstLine="425"/>
        <w:jc w:val="both"/>
      </w:pPr>
      <w:r>
        <w:rPr>
          <w:rFonts w:ascii="Times New Roman" w:hAnsi="Times New Roman" w:cs="Times New Roman" w:eastAsia="Times New Roman"/>
          <w:b w:val="0"/>
          <w:sz w:val="24"/>
        </w:rPr>
        <w:t>La pendenza negativa e' la prima: i quattro testi integrali delle sentenze non sono acquisibili da questo ambiente. Il tentativo diretto e' fallito con il blocco del tunnel di rete, che e' policy dichiarata del proxy e non guasto; il negativo e' certificato e la via d'uscita indicata - l'autore puo' scaricare i testi dagli indirizzi censiti e caricarli fra le fonti, dove li attendera' un atto di ricezione con il riancoraggio al grado massimo dei passi citati finora per via di stampa. Alla lista si aggiungono due testi che questa unita' ha reso desiderabili: il resoconto stenografico dell'audizione di Conso alla Commissione Antimafia e le motivazioni d'appello del processo sul depistaggio.</w:t>
      </w:r>
    </w:p>
    <w:p>
      <w:pPr>
        <w:spacing w:line="276" w:lineRule="auto" w:before="0" w:after="0"/>
        <w:ind w:firstLine="425"/>
        <w:jc w:val="both"/>
      </w:pPr>
      <w:r>
        <w:rPr>
          <w:rFonts w:ascii="Times New Roman" w:hAnsi="Times New Roman" w:cs="Times New Roman" w:eastAsia="Times New Roman"/>
          <w:b w:val="0"/>
          <w:sz w:val="24"/>
        </w:rPr>
        <w:t>Il papello entra finalmente nel corpus, e vi entra con il suo statuto esatto, che e' piu' istruttivo della sua fama. L'elenco delle dodici richieste attribuite a Riina - dalla revisione del maxiprocesso all'annullamento del regime speciale, fino alla defiscalizzazione della benzina siciliana - esiste nel processo solo come FOTOCOPIA, consegnata da Massimo Ciancimino ai pubblici ministeri il quindici ottobre del duemilanove, con un foglietto adesivo attribuito al padre. La perizia del duemilasedici non vi trovo' manomissioni ma nemmeno pote' datarla o attribuirla, perche' una fotocopia non lo consente; la sentenza di primo grado non fondo' su di esso l'accertamento e demoli' anzi l'attendibilita' del consegnante; l'appello arrivo' a non escludere che l'originale non sia mai esistito nelle mani del figlio. La conclusione e' un risultato per assenza di prima grandezza: l'autenticita' del papello non e' mai stata accertata giudizialmente. Che Cosa Nostra avanzasse pretese allo Stato resta affermato per altra via; il documento-simbolo, in se', resta un reperto non autenticato.</w:t>
      </w:r>
    </w:p>
    <w:p>
      <w:pPr>
        <w:spacing w:line="276" w:lineRule="auto" w:before="0" w:after="0"/>
        <w:ind w:firstLine="425"/>
        <w:jc w:val="both"/>
      </w:pPr>
      <w:r>
        <w:rPr>
          <w:rFonts w:ascii="Times New Roman" w:hAnsi="Times New Roman" w:cs="Times New Roman" w:eastAsia="Times New Roman"/>
          <w:b w:val="0"/>
          <w:sz w:val="24"/>
        </w:rPr>
        <w:t>Il quarantuno-bis ha una doppia verita', e ora il corpus le possiede entrambe. Il decreto dell'otto giugno millenovecentonovantadue introdusse il regime speciale; nella notte dopo via D'Amelio il ministro Martelli firmo' i primi trecento decreti circa. Nel novembre del millenovecentonovantatre il ministro Conso non ne prorogo' trecentotrentaquattro, e diciassette anni dopo, davanti alla Commissione Antimafia, rivendico' quella scelta come presa in completa solitudine, non per aprire una trattativa ma per fermare la minaccia di altre stragi, assecondando l'ala moderata dei corleonesi. I giudici d'appello confermarono la ricostruzione storica del segnale; la Cassazione escluse ogni rilievo penale. Ecco la doppia verita': il segnale del millenovecentonovantatre e' storia confermata, e non e' reato di nessuno.</w:t>
      </w:r>
    </w:p>
    <w:p>
      <w:pPr>
        <w:spacing w:line="276" w:lineRule="auto" w:before="0" w:after="0"/>
        <w:ind w:firstLine="425"/>
        <w:jc w:val="both"/>
      </w:pPr>
      <w:r>
        <w:rPr>
          <w:rFonts w:ascii="Times New Roman" w:hAnsi="Times New Roman" w:cs="Times New Roman" w:eastAsia="Times New Roman"/>
          <w:b w:val="0"/>
          <w:sz w:val="24"/>
        </w:rPr>
        <w:t>Sull'agenda rossa la ricerca ha portato la novita' piu' grande dal millenovecentonovantadue. Il fatto resta: la borsa recuperata, l'agenda mai ritrovata, il capitano Arcangioli fotografato con la borsa in mano e prosciolto in via definitiva nel duemilanove. Ma nel giugno del duemilaventicinque la procura di Caltanissetta ha perquisito immobili riconducibili a Giovanni Tinebra, l'ex procuratore capo che di quelle indagini fu il primo titolare, morto nel duemiladiciassette, nell'ipotesi che appartenesse a una loggia massonica segreta; e l'elemento che ha mosso tutto e' un appunto del venti luglio millenovecentonovantadue, a firma di Arnaldo La Barbera, mai trasmesso all'epoca alla procura, secondo cui una scatola con una borsa in cuoio e un'agenda del giudice fu consegnata proprio a Tinebra. Quale agenda fosse e' oggetto d'indagine; ma il nome di La Barbera e' lo stesso che le motivazioni d'appello del processo sul depistaggio, depositate quest'anno, indicano come l'uomo che protesse interessi e centri di potere esterni a Cosa Nostra. L'appunto e la sentenza convergono sullo stesso uomo: e' il cerchio che si stringe, registrato al grado che le fonti consentono.</w:t>
      </w:r>
    </w:p>
    <w:p>
      <w:pPr>
        <w:spacing w:line="276" w:lineRule="auto" w:before="0" w:after="0"/>
        <w:ind w:firstLine="425"/>
        <w:jc w:val="both"/>
      </w:pPr>
      <w:r>
        <w:rPr>
          <w:rFonts w:ascii="Times New Roman" w:hAnsi="Times New Roman" w:cs="Times New Roman" w:eastAsia="Times New Roman"/>
          <w:b w:val="0"/>
          <w:sz w:val="24"/>
        </w:rPr>
        <w:t>Sul depistaggio, appunto, tre aggiornamenti. Primo: la fonte unica della voce precedente e' ora corroborata da piu' testate indipendenti - le motivazioni dicono davvero che La Barbera protesse interessi esterni alla mafia e che i servizi quantomeno assecondarono: il dato sale di grado, ed e' la formula piu' vicina al doppio Stato mai scritta in una sentenza su via D'Amelio. Secondo: il ricorso della Procura generale contro le prescrizioni pende in Cassazione, che non si e' ancora pronunciata. Terzo: non va confuso con la pronuncia della primavera scorsa sulla cosiddetta pista nera, che ha dichiarato inammissibile il ricorso contro l'ordinanza del giudice che impone di proseguire le indagini sui concorrenti esterni alla strage: quelle indagini devono continuare. E a Firenze, sul fronte delle stragi continentali, Dell'Utri e' stato archiviato per la sesta volta mentre il filone su Mori e De Donno resta aperto. La vicenda giudiziaria di via D'Amelio, trentaquattro anni dopo, non e' chiusa.</w:t>
      </w:r>
    </w:p>
    <w:p>
      <w:pPr>
        <w:spacing w:line="276" w:lineRule="auto" w:before="0" w:after="0"/>
        <w:ind w:firstLine="425"/>
        <w:jc w:val="both"/>
      </w:pPr>
      <w:r>
        <w:rPr>
          <w:rFonts w:ascii="Times New Roman" w:hAnsi="Times New Roman" w:cs="Times New Roman" w:eastAsia="Times New Roman"/>
          <w:b w:val="0"/>
          <w:sz w:val="24"/>
        </w:rPr>
        <w:t>Le nove schede integrative completano l'unita' e chiudono la sesta e la settima pendenza. Sono i nodi processuali che il corpus non censiva: i tre ufficiali del ROS - Mori con le sue tre assoluzioni definitive e il filone fiorentino ancora aperto, Subranni morto nel marzo del duemilaventiquattro, De Donno che fu il collaboratore di Falcone sul dossier mafia-appalti prima d'essere l'uomo dei contatti con Ciancimino -; Dell'Utri, per il quale convivono e vanno sempre citate insieme la condanna definitiva per il concorso esterno fino al millenovecentonovantadue e l'assoluzione definitiva dalla Trattativa; Mannino, mai condannato in nulla; Massimo Ciancimino, la fonte screditata con due condanne definitive proprie; e i tre corleonesi, Provenzano, Brusca e Bagarella, ciascuno con il suo esito. Le schede sono dichiaratamente di grado intermedio, frutto di ricerca e non di mano d'autore: candidati alla formalizzazione nel registro dei nodi, quando l'autore vorra' innestarli.</w:t>
      </w:r>
    </w:p>
    <w:p>
      <w:pPr>
        <w:spacing w:line="276" w:lineRule="auto" w:before="0" w:after="0"/>
        <w:ind w:firstLine="425"/>
        <w:jc w:val="both"/>
      </w:pPr>
      <w:r>
        <w:rPr>
          <w:rFonts w:ascii="Times New Roman" w:hAnsi="Times New Roman" w:cs="Times New Roman" w:eastAsia="Times New Roman"/>
          <w:b w:val="0"/>
          <w:sz w:val="24"/>
        </w:rPr>
        <w:t>Il bilancio: ottanta blocchi - trentuno di grado massimo, quarantatre intermedi, uno di fonte unica, cinque negativi - piu' le nove schede. Restano aperte, dichiarate, le pendenze strutturali: i testi da acquisire, la Cassazione sul depistaggio, la pista nera, il filone fiorentino, l'agenda rossa in se'. Il corpus esce da questa unita' con la vicenda Trattativa completa in ogni suo strato: l'evento (voce settanta), il processo (voce settantuno), i suoi margini e i suoi protagonisti (questa voce). Il vincolo sulle fonti e' stato rispettato in ogni riga,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Normattiva (D.L. 8.6.1992 n. 306) e Gazzetta Ufficiale - grado A</w:t>
      </w:r>
    </w:p>
    <w:p>
      <w:pPr>
        <w:spacing w:line="276" w:lineRule="auto" w:before="0" w:after="0"/>
        <w:ind w:firstLine="425"/>
        <w:jc w:val="both"/>
      </w:pPr>
      <w:r>
        <w:rPr>
          <w:rFonts w:ascii="Times New Roman" w:hAnsi="Times New Roman" w:cs="Times New Roman" w:eastAsia="Times New Roman"/>
          <w:b w:val="0"/>
          <w:sz w:val="24"/>
        </w:rPr>
        <w:t>ANSA (26.6.2025 perquisizioni Tinebra; 27.4.2023; 10.11.2023; 4.6.2024), Sky TG24, PalermoToday, GdS, La Sicilia, L'Indipendente, Teleacras (motivazioni depistaggio: convergenza) - grado A/B</w:t>
      </w:r>
    </w:p>
    <w:p>
      <w:pPr>
        <w:spacing w:line="276" w:lineRule="auto" w:before="0" w:after="0"/>
        <w:ind w:firstLine="425"/>
        <w:jc w:val="both"/>
      </w:pPr>
      <w:r>
        <w:rPr>
          <w:rFonts w:ascii="Times New Roman" w:hAnsi="Times New Roman" w:cs="Times New Roman" w:eastAsia="Times New Roman"/>
          <w:b w:val="0"/>
          <w:sz w:val="24"/>
        </w:rPr>
        <w:t>Il Fatto Quotidiano, Il Post, Avvenire, AGI, Il Foglio, Adnkronos, Quotidiano.net, Domani, LaPresse, Open, Il Dubbio, Filodiritto, lavialibera, Vita.it, Live Sicilia, Blogsicilia, Guida Sicilia, studiocataldi.it, penitenziaria.it, Ristretti Orizzonti, ItaliaOggi, Dire, Infodifesa, l'Unita' - grado B</w:t>
      </w:r>
    </w:p>
    <w:p>
      <w:pPr>
        <w:spacing w:line="276" w:lineRule="auto" w:before="0" w:after="0"/>
        <w:ind w:firstLine="425"/>
        <w:jc w:val="both"/>
      </w:pPr>
      <w:r>
        <w:rPr>
          <w:rFonts w:ascii="Times New Roman" w:hAnsi="Times New Roman" w:cs="Times New Roman" w:eastAsia="Times New Roman"/>
          <w:b w:val="0"/>
          <w:sz w:val="24"/>
        </w:rPr>
        <w:t>Giurisprudenza Penale e Sistema Penale (testi e comunicati ripubblicati; analisi sentenza d'appello) - grado A</w:t>
      </w:r>
    </w:p>
    <w:p>
      <w:pPr>
        <w:spacing w:line="276" w:lineRule="auto" w:before="0" w:after="0"/>
        <w:ind w:firstLine="425"/>
        <w:jc w:val="both"/>
      </w:pPr>
      <w:r>
        <w:rPr>
          <w:rFonts w:ascii="Times New Roman" w:hAnsi="Times New Roman" w:cs="Times New Roman" w:eastAsia="Times New Roman"/>
          <w:b w:val="0"/>
          <w:sz w:val="24"/>
        </w:rPr>
        <w:t>Fonti C segnalate: Wikipedia (corroborazione), antimafiaduemila e il Giornale (testate di parte su tesi opposte), StrettoWeb, Tempi, Progetto San Francesco, il Fatto Nisseno, Leggo, WordNews, Radio Roma Sound, Fanpage, SiciliaFan, WikiMafia</w:t>
      </w:r>
    </w:p>
    <w:p>
      <w:pPr>
        <w:spacing w:line="276" w:lineRule="auto" w:before="0" w:after="0"/>
        <w:ind w:firstLine="425"/>
        <w:jc w:val="both"/>
      </w:pPr>
      <w:r>
        <w:rPr>
          <w:rFonts w:ascii="Times New Roman" w:hAnsi="Times New Roman" w:cs="Times New Roman" w:eastAsia="Times New Roman"/>
          <w:b w:val="0"/>
          <w:sz w:val="24"/>
        </w:rPr>
        <w:t>corpus: voci 70-71 e schede citate; repertorio/ITALIA_NERA_PENDENZE_TRATTATIVA.xlsx (gli 80 blocchi + 9 schede integrative)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