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Undicesima nota della campagna. Questo documento va trattato con particolare franchezza, perché è il più debole fra quelli finora esaminati. Il titolo promette una mappa del network finanziario sudafricano — cioè, nell'economia dell'opera, la continuità fra il capitale dell'apartheid e i poteri economici odierni —, ma ciò che la pagina contiene non è un testo d'indagine: è un elenco grezzo e indifferenziato di consigli d'amministrazione attuali, decine di società multinazionali con nomi, ruoli e descrizioni di mansione, senza una riga di racconto, senza una tesi e senza una sola fonte. La verifica perciò salva il poco che è ancorabile e mette in quarantena tutto il resto.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Esiste un nucleo verificabile, ed è proprio quello che interessa l'opera.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Al fondo dell'elenco c'è una spina reale e storicamente accertata: la casa madre Naspers, la Nasionale Pers, fu fondata nel millenovecentoquindici da ambienti del nazionalismo afrikaner e fu per decenni l'organo di stampa del Partito nazionale e dell'apartheid — il suo primo giornale, Die Burger, ebbe come direttore Daniel François Malan, poi primo ministro che nel millenovecentoquarantotto istituì l'apartheid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Sotto la guida di Koos Bekker quella stessa casa afrikaner si è trasformata in uno dei maggiori investitori tecnologici del mondo, con la storica partecipazione in Tencent poi conferita, insieme agli altri attivi tecnologici, nella società Prosus, mentre Bekker ne resta presidente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Sono reali e appartengono allo stesso ceto finanziario sudafricano anche Investec e la sua costola Ninety One, la casa diamantifera De Beers, il gruppo editoriale in lingua afrikaans e la borsa di Johannesburg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Questa continuità — dal capitale dell'apartheid alla finanza globale — è un nodo autentico e prezioso per l'opera.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Ma quel nodo il documento non lo costruisce: lo presuppone soltanto.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In tutta la pagina non c'è una frase che colleghi l'origine apartheid a questi consigli d'amministrazione, non un argomento, non una data messa in fila con un'altra. La mappa promessa dal titolo non è disegnata: restano i mattoni sparsi, cioè gli organigrammi. L'argomento va perciò costruito e documentato altrove, con fonti proprie, e questo elenco può al più servire da impalcatura grezza da cui partire, non da dimostrazione di alcunché </w:t>
      </w:r>
      <w:r>
        <w:rPr>
          <w:rFonts w:ascii="Times New Roman" w:hAnsi="Times New Roman" w:cs="Times New Roman" w:eastAsia="Times New Roman"/>
          <w:b/>
          <w:sz w:val="24"/>
        </w:rPr>
        <w:t>(la tesi implicita è tutta da documentare)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massa dei nominativi va tenuta al grado più basso, come materiale non verificato.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Le centinaia di voci — amministratori delegati, direttori finanziari, membri di consiglio di società che vanno da Naspers a Tencent, dalla compagnia aerea cilena alla banca indonesiana, dalle piattaforme di consegna europee agli studi legali della City — sono prive di qualunque fonte, spesso redatte in un gergo aziendale che pare ricalcato dalla comunicazione istituzionale delle società, e in più datate al presente e persino al futuro, con nomine e previsioni proiettate al biennio in corso e oltre. Nulla di tutto ciò è verificabile con il metodo della sezione sesta, e molto ha il tono del riempitivo generato più che del dato riscontrato: va quindi trattato come elenco non verificato e non può entrare nell'opera come fatto accertato </w:t>
      </w:r>
      <w:r>
        <w:rPr>
          <w:rFonts w:ascii="Times New Roman" w:hAnsi="Times New Roman" w:cs="Times New Roman" w:eastAsia="Times New Roman"/>
          <w:b/>
          <w:sz w:val="24"/>
        </w:rPr>
        <w:t>(Livello C, non verificato)</w:t>
      </w:r>
      <w:r>
        <w:rPr>
          <w:rFonts w:ascii="Times New Roman" w:hAnsi="Times New Roman" w:cs="Times New Roman" w:eastAsia="Times New Roman"/>
          <w:b w:val="0"/>
          <w:sz w:val="24"/>
        </w:rPr>
        <w:t>. Il pericolo specifico è che descrizioni levigate di mansione — sostenibilità, intelligenza artificiale, impatto sociale — vengano scambiate per informazione quando sono formule di facciata.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 rischio di metodo da segnalare.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A differenza dei documenti storici finora verificati, qui non c'è un impianto di fonti da graduare: c'è una compilazione anagrafica del presente societario, per giunta deperibile, che invecchierà nel giro di mesi a ogni cambio di consiglio. Se ne fa un uso corretto solo estraendone la spina storica — Naspers, apartheid, Bekker, Prosus, Tencent, e il ceto Investec–De Beers–Ninety One — e scartando il resto come materiale grezzo. Farne una prova d'un «network» occulto sarebbe un salto logico non autorizzato dai contenuti.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Documento largamente inutilizzabile come fonte: un dump di organigrammi societari attuali, senza racconto, senza tesi e senza una sola fonte, in parte di tono redazionale e proiettato al presente e al futuro. Se ne salva unicamente la spina storica verificabile — l'origine afrikaner e apartheid della casa madre Naspers e la sua metamorfosi in Prosus/Tencent sotto Bekker, con il contorno del grande capitale finanziario sudafricano —, che è un nodo autentico ma che l'opera dovrà documentare per proprio conto. Tutto il resto va tenuto in quarantena come inventario non verificato. Se ne certifica la verifica con questo esito. È l'undicesima voce del registro, e la prima in cui il difetto non è un errore di merito ma l'assenza stessa di un testo verificabile.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Naspers Ltd. (Nasionale Pers, 1915; organo del Partito nazionale) — https://www.encyclopedia.com/books/politics-and-business-magazines/naspers-ltd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Die Burger (primo direttore D.F. Malan) — https://en.wikipedia.org/wiki/Die_Burger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Naspers e il ruolo nell'apartheid (analisi) — https://www.iol.co.za/news/opinion/naspers-a-century-of-oppression-racism-and-apartheid-complicity-6ae6bc55-ba2c-4a6a-8ec7-d7847a965fd4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Koos Bekker (CEO Naspers 1997; investimento Tencent 2001; presidente Prosus) — https://en.wikipedia.org/wiki/Koos_Bekker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Prosus (scorporo 2019; partecipazione Tencent) — https://en.wikipedia.org/wiki/Prosus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monografie sull'asse apartheid / Sudafrica (corpus/opera) — corpus/opera/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