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lavoro nodizza tutte le evidenze raccolte su un oggetto preciso: la European Union Bank, la banca off-shore che a metà degli anni Novanta si presentò come la prima al mondo a operare interamente via Internet. È un nodo del dominio dell'economia e della finanza con diramazioni verso la criminalità organizzata e l'intelligence, e ha per l'opera un valore particolare: è l'archetipo storico della criminalità finanziaria digitale, la radice del filone che il censimento della criminalità ritrova oggi nei mixer di criptovaluta e nei recinti della truffa online. La disciplina probatoria è tenuta ferma, distinguendo ciò che è documentato da fonti ufficiali da ciò che è soltanto riferito o proviene da fonti interessate. Il lavoro è del sei agosto duemilaventisei.</w:t>
      </w:r>
    </w:p>
    <w:p>
      <w:pPr>
        <w:spacing w:line="276" w:lineRule="auto" w:before="0" w:after="0"/>
        <w:ind w:firstLine="425"/>
        <w:jc w:val="both"/>
      </w:pPr>
      <w:r>
        <w:rPr>
          <w:rFonts w:ascii="Times New Roman" w:hAnsi="Times New Roman" w:cs="Times New Roman" w:eastAsia="Times New Roman"/>
          <w:b/>
          <w:sz w:val="24"/>
        </w:rPr>
        <w:t>Il fatto accertato, al grado pieno.</w:t>
      </w:r>
      <w:r>
        <w:rPr>
          <w:rFonts w:ascii="Times New Roman" w:hAnsi="Times New Roman" w:cs="Times New Roman" w:eastAsia="Times New Roman"/>
          <w:b w:val="0"/>
          <w:sz w:val="24"/>
        </w:rPr>
        <w:t xml:space="preserve"> La European Union Bank fu registrata ad Antigua e Barbuda intorno al millenovecentonovantaquattro e si vantò d'essere la prima banca a servizio completo interamente su Internet: raccoglieva depositi in rete promettendo anonimato assoluto, nessuna domanda sull'origine del denaro e la protezione del segreto bancario antiguano. Non era assicurata da alcuna autorità statunitense e non era soggetta ad alcuna vigilanza. Nell'agosto del millenovecentonovantasette la banca crollò nel modo più clamoroso: i suoi operatori sparirono con i depositi, e — particolare che dice tutto del contesto — sotto la legge antiguana d'allora il furto degli attivi della banca non costituiva reato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Su questi fatti convergono fonti ufficiali e di stampa: un avviso del servizio antiriciclaggio del Tesoro statunitense, un'allerta speciale dell'ente federale di garanzia dei depositi, un atto del dipartimento di giustizia e la cronaca del quotidiano della capitale, che titolò sulla banca svanita nel cyberspazio </w:t>
      </w:r>
      <w:r>
        <w:rPr>
          <w:rFonts w:ascii="Times New Roman" w:hAnsi="Times New Roman" w:cs="Times New Roman" w:eastAsia="Times New Roman"/>
          <w:b/>
          <w:sz w:val="24"/>
        </w:rPr>
        <w:t>(Livello A come apparato probatorio)</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Le figure e le affiliazioni, al grado del probabile.</w:t>
      </w:r>
      <w:r>
        <w:rPr>
          <w:rFonts w:ascii="Times New Roman" w:hAnsi="Times New Roman" w:cs="Times New Roman" w:eastAsia="Times New Roman"/>
          <w:b w:val="0"/>
          <w:sz w:val="24"/>
        </w:rPr>
        <w:t xml:space="preserve"> Il fondatore fu Alex Konanykhin, banchiere russo un tempo vicino alla cerchia del presidente Eltsin e già creatore della prima banca autorizzata al cambio valuta dal nuovo governo russo. Secondo le ricostruzioni, la European Union Bank era affiliata alla banca MENATEP, di cui Mikhail Khodorkovsky era presidente e lo stesso Konanykhin vicepresidente, e Khodorkovsky è indicato come partner nella creazione dell'istituto </w:t>
      </w:r>
      <w:r>
        <w:rPr>
          <w:rFonts w:ascii="Times New Roman" w:hAnsi="Times New Roman" w:cs="Times New Roman" w:eastAsia="Times New Roman"/>
          <w:b/>
          <w:sz w:val="24"/>
        </w:rPr>
        <w:t>(Livello B, affiliazione e partnership riferite)</w:t>
      </w:r>
      <w:r>
        <w:rPr>
          <w:rFonts w:ascii="Times New Roman" w:hAnsi="Times New Roman" w:cs="Times New Roman" w:eastAsia="Times New Roman"/>
          <w:b w:val="0"/>
          <w:sz w:val="24"/>
        </w:rPr>
        <w:t xml:space="preserve">. Attorno a Konanykhin ruota una narrazione più fragile, che va tenuta al grado più basso perché proviene in larga parte dalla sua stessa voce: l'accusa russa d'aver sottratto alcuni milioni di dollari, da lui respinta come fabbricazione dei servizi; il rapimento a Budapest; gli ex ufficiali del servizio di sicurezza sovietico che avrebbe assunto per difendersi dalla mafia e che si sarebbero rivoltati contro di lui; e infine l'asilo politico ottenuto negli Stati Uniti nel millenovecentonovantanove </w:t>
      </w:r>
      <w:r>
        <w:rPr>
          <w:rFonts w:ascii="Times New Roman" w:hAnsi="Times New Roman" w:cs="Times New Roman" w:eastAsia="Times New Roman"/>
          <w:b/>
          <w:sz w:val="24"/>
        </w:rPr>
        <w:t>(Livello C, fonte di parte)</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Gli archi verso la criminalità e l'intelligence.</w:t>
      </w:r>
      <w:r>
        <w:rPr>
          <w:rFonts w:ascii="Times New Roman" w:hAnsi="Times New Roman" w:cs="Times New Roman" w:eastAsia="Times New Roman"/>
          <w:b w:val="0"/>
          <w:sz w:val="24"/>
        </w:rPr>
        <w:t xml:space="preserve"> La banca è un nodo di cerniera. Verso il dominio criminale, la European Union Bank e le transazioni antiguane furono oggetto di scrutinio nella grande indagine sul riciclaggio di denaro russo attraverso la Bank of New York, lo scandalo di fine anni Novanta che fece transitare miliardi di dollari per conti di comodo: nessuna banca fu poi incriminata, sicché il nesso va tenuto come accertato nell'esistenza dello scrutinio ma non come condanna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Verso il dominio dell'intelligence, il filo corre lungo la presenza di ex uomini del servizio di sicurezza nell'entourage di Konanykhin e lungo la sua tesi d'aver esposto uno schema di esfiltrazione di capitali dalla Russia, tesi che resta però al grado dell'affermazione di parte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È il quadro tipico della finanza post-sovietica dei primi anni Novanta, dove capitale in fuga, mafia e apparati si sovrappongono.</w:t>
      </w:r>
    </w:p>
    <w:p>
      <w:pPr>
        <w:spacing w:line="276" w:lineRule="auto" w:before="0" w:after="0"/>
        <w:ind w:firstLine="425"/>
        <w:jc w:val="both"/>
      </w:pPr>
      <w:r>
        <w:rPr>
          <w:rFonts w:ascii="Times New Roman" w:hAnsi="Times New Roman" w:cs="Times New Roman" w:eastAsia="Times New Roman"/>
          <w:b/>
          <w:sz w:val="24"/>
        </w:rPr>
        <w:t>Il lignaggio: perché questo nodo conta per l'opera.</w:t>
      </w:r>
      <w:r>
        <w:rPr>
          <w:rFonts w:ascii="Times New Roman" w:hAnsi="Times New Roman" w:cs="Times New Roman" w:eastAsia="Times New Roman"/>
          <w:b w:val="0"/>
          <w:sz w:val="24"/>
        </w:rPr>
        <w:t xml:space="preserve"> Il valore maggiore della European Union Bank non è il singolo crollo, ma la sua posizione di capostipite. Nel millenovecentonovantaquattro essa realizza, per la prima volta, la formula che diventerà il cuore della criminalità finanziaria digitale: una scatola bancaria senza sportelli, collocata in una giurisdizione compiacente, che offre in rete anonimato e opacità. Da qui parte una linea diretta con ciò che l'opera ha già registrato e verificato: le reti di riciclaggio transnazionale della categoria dedicata del censimento della criminalità, i mixer di criptovaluta come il servizio sanzionato dal Tesoro che la nota quarta ha incontrato nel corpus russo, e i recinti industriali della truffa online che l'estrazione del dominio primo ha appena censito </w:t>
      </w:r>
      <w:r>
        <w:rPr>
          <w:rFonts w:ascii="Times New Roman" w:hAnsi="Times New Roman" w:cs="Times New Roman" w:eastAsia="Times New Roman"/>
          <w:b/>
          <w:sz w:val="24"/>
        </w:rPr>
        <w:t>(arco ancestrale, coerente con la nota quarta e con l'estrazione del dominio primo)</w:t>
      </w:r>
      <w:r>
        <w:rPr>
          <w:rFonts w:ascii="Times New Roman" w:hAnsi="Times New Roman" w:cs="Times New Roman" w:eastAsia="Times New Roman"/>
          <w:b w:val="0"/>
          <w:sz w:val="24"/>
        </w:rPr>
        <w:t>. La European Union Bank è la radice novecentesca di quel ramo che oggi chiamiamo cyber-criminalità finanziaria.</w:t>
      </w:r>
    </w:p>
    <w:p>
      <w:pPr>
        <w:spacing w:line="276" w:lineRule="auto" w:before="0" w:after="0"/>
        <w:ind w:firstLine="425"/>
        <w:jc w:val="both"/>
      </w:pPr>
      <w:r>
        <w:rPr>
          <w:rFonts w:ascii="Times New Roman" w:hAnsi="Times New Roman" w:cs="Times New Roman" w:eastAsia="Times New Roman"/>
          <w:b/>
          <w:sz w:val="24"/>
        </w:rPr>
        <w:t>Verdetto e collocazione.</w:t>
      </w:r>
      <w:r>
        <w:rPr>
          <w:rFonts w:ascii="Times New Roman" w:hAnsi="Times New Roman" w:cs="Times New Roman" w:eastAsia="Times New Roman"/>
          <w:b w:val="0"/>
          <w:sz w:val="24"/>
        </w:rPr>
        <w:t xml:space="preserve"> Le evidenze sulla European Union Bank sono qui nodizzate: sette nodi collegati, otto documenti d'evidenza e sette archi, depositati nel foglio di servizio allegato con i rispettivi gradi. Il nodo si colloca nel dominio dell'economia e della finanza, con archi verso la criminalità organizzata, l'intelligence e la politica, e va iscritto fra gli hub off-shore accanto ai giacimenti già presenti nel registro — le isole caraibiche, Cipro, i grandi studi di comodo. Si tiene fermo lo statuto: il crollo e la natura digitale della banca sono al grado pieno, le affiliazioni al grado del probabile, la narrazione personale del fondatore al grado più basso. Se ne certifica la nodizzazione con questo esito. È l'ottava voce d'integrazione della sessione, e apre nel dominio finanziario il filone della criminalità digitale.</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FinCEN (US Treasury) — Advisory issue 11: European Union Bank, Antigua — https://www.fincen.gov/system/files/advisory/advis11.pdf</w:t>
      </w:r>
    </w:p>
    <w:p>
      <w:pPr>
        <w:spacing w:line="276" w:lineRule="auto" w:before="0" w:after="0"/>
        <w:ind w:firstLine="425"/>
        <w:jc w:val="both"/>
      </w:pPr>
      <w:r>
        <w:rPr>
          <w:rFonts w:ascii="Times New Roman" w:hAnsi="Times New Roman" w:cs="Times New Roman" w:eastAsia="Times New Roman"/>
          <w:b w:val="0"/>
          <w:sz w:val="24"/>
        </w:rPr>
        <w:t>FDIC — Special Alert: European Union Bank, Antigua, West Indies — https://archive.fdic.gov/view/fdic/8038</w:t>
      </w:r>
    </w:p>
    <w:p>
      <w:pPr>
        <w:spacing w:line="276" w:lineRule="auto" w:before="0" w:after="0"/>
        <w:ind w:firstLine="425"/>
        <w:jc w:val="both"/>
      </w:pPr>
      <w:r>
        <w:rPr>
          <w:rFonts w:ascii="Times New Roman" w:hAnsi="Times New Roman" w:cs="Times New Roman" w:eastAsia="Times New Roman"/>
          <w:b w:val="0"/>
          <w:sz w:val="24"/>
        </w:rPr>
        <w:t>US Department of Justice — comunicato (febbraio 1997) — https://www.justice.gov/archive/opa/pr/1997/February97/081civ.htm</w:t>
      </w:r>
    </w:p>
    <w:p>
      <w:pPr>
        <w:spacing w:line="276" w:lineRule="auto" w:before="0" w:after="0"/>
        <w:ind w:firstLine="425"/>
        <w:jc w:val="both"/>
      </w:pPr>
      <w:r>
        <w:rPr>
          <w:rFonts w:ascii="Times New Roman" w:hAnsi="Times New Roman" w:cs="Times New Roman" w:eastAsia="Times New Roman"/>
          <w:b w:val="0"/>
          <w:sz w:val="24"/>
        </w:rPr>
        <w:t>Washington Post — «Antigua Internet Bank Vanishes Into Cyberspace» (agosto 1997) — https://www.washingtonpost.com/wp-srv/inatl/daily/oct99/antigua083197.htm</w:t>
      </w:r>
    </w:p>
    <w:p>
      <w:pPr>
        <w:spacing w:line="276" w:lineRule="auto" w:before="0" w:after="0"/>
        <w:ind w:firstLine="425"/>
        <w:jc w:val="both"/>
      </w:pPr>
      <w:r>
        <w:rPr>
          <w:rFonts w:ascii="Times New Roman" w:hAnsi="Times New Roman" w:cs="Times New Roman" w:eastAsia="Times New Roman"/>
          <w:b w:val="0"/>
          <w:sz w:val="24"/>
        </w:rPr>
        <w:t>United Nations — «Financial Havens, Banking Secrecy and Money Laundering» — https://gfintegrity.org/wp-content/uploads/2022/06/UN-FINANCIAL-HAVENS-laundering.pdf</w:t>
      </w:r>
    </w:p>
    <w:p>
      <w:pPr>
        <w:spacing w:line="276" w:lineRule="auto" w:before="0" w:after="0"/>
        <w:ind w:firstLine="425"/>
        <w:jc w:val="both"/>
      </w:pPr>
      <w:r>
        <w:rPr>
          <w:rFonts w:ascii="Times New Roman" w:hAnsi="Times New Roman" w:cs="Times New Roman" w:eastAsia="Times New Roman"/>
          <w:b w:val="0"/>
          <w:sz w:val="24"/>
        </w:rPr>
        <w:t>Alex Konanykhin — https://en.wikipedia.org/wiki/Alex_Konanykhin ; Bank Menatep — https://en.wikipedia.org/wiki/Bank_Menatep</w:t>
      </w:r>
    </w:p>
    <w:p>
      <w:pPr>
        <w:spacing w:line="276" w:lineRule="auto" w:before="0" w:after="0"/>
        <w:ind w:firstLine="425"/>
        <w:jc w:val="both"/>
      </w:pPr>
      <w:r>
        <w:rPr>
          <w:rFonts w:ascii="Times New Roman" w:hAnsi="Times New Roman" w:cs="Times New Roman" w:eastAsia="Times New Roman"/>
          <w:b w:val="0"/>
          <w:sz w:val="24"/>
        </w:rPr>
        <w:t>Incrocio interno al corpus: nota di verifica n.4 (reti russe; mixer Tornado Cash/Roman Semenov) ed estrazione nodi D1 (categorie cyber e riciclaggio) — corpus/diagnostica/</w:t>
      </w:r>
    </w:p>
    <w:p>
      <w:pPr>
        <w:spacing w:line="276" w:lineRule="auto" w:before="0" w:after="0"/>
        <w:ind w:firstLine="425"/>
        <w:jc w:val="both"/>
      </w:pPr>
      <w:r>
        <w:rPr>
          <w:rFonts w:ascii="Times New Roman" w:hAnsi="Times New Roman" w:cs="Times New Roman" w:eastAsia="Times New Roman"/>
          <w:b w:val="0"/>
          <w:sz w:val="24"/>
        </w:rPr>
        <w:t>Registro di servizio allegato: repertorio/ITALIA_NERA_NODO_EUROPEAN_UNION_BANK.xlsx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