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Il presente documento stabilisce il raccordo fra due linee di lavoro che, nate separate, si rivelano governate da un medesimo metodo: da un lato l'opera dedicata al caso Moro e intitolata Il Registro dei Cinquantacinque Giorni, con i suoi settanta Capitoli e la Fase Settima delle appendici; dall'altro il corpus ITALIA NERA, con il suo registro delle verifiche documentali e i suoi domini tematici. La prima linea scava in profondita' archivistica entro un solo caso; la seconda percorre in ampiezza l'intera trama nera del secondo Novecento. Il raccordo mostra che esse non sono due opere estranee accostate, bensi' due applicazioni di un'unica disciplina probatoria, e che ciascuna corrobora l'altra là dove i loro territori si toccano.</w:t>
      </w:r>
    </w:p>
    <w:p>
      <w:pPr>
        <w:spacing w:line="276" w:lineRule="auto" w:before="0" w:after="0"/>
        <w:ind w:firstLine="425"/>
        <w:jc w:val="both"/>
      </w:pPr>
      <w:r>
        <w:rPr>
          <w:rFonts w:ascii="Times New Roman" w:hAnsi="Times New Roman" w:cs="Times New Roman" w:eastAsia="Times New Roman"/>
          <w:b w:val="0"/>
          <w:sz w:val="24"/>
        </w:rPr>
        <w:t>La Fase Settima e' un audit delle fonti, non un rifacimento dei fatti: le sue appendici, come esse stesse dichiarano in apertura, non modificano alcun Capitolo dell'opera Moro, e i settanta restano settanta. Cio' che esse eseguono e' la risalita di ciascuna fonte al proprio evento originario, allo scopo di stabilire quante catene realmente indipendenti sussistano dietro l'apparente moltitudine dei riferimenti. Il cuore del metodo, esposto nell'appendice seconda, e' la distinzione fra tre atti che la pratica corrente confonde: l'atto di produzione, con cui qualcuno forma un documento o rende una dichiarazione, e che e' il solo a generare una catena probatoria; l'atto di acquisizione, con cui un ufficio o una commissione inserisce quel documento nel proprio fascicolo, e che attesta soltanto la detenzione, non il contenuto; e l'atto di esposizione, con cui una relazione o una monografia riferisce cio' che il documento contiene, e che non accresce mai il computo delle catene. La regola che ne discende e' lapidaria: soltanto la produzione genera catena; l'acquisizione e l'esposizione non ne generano.</w:t>
      </w:r>
    </w:p>
    <w:p>
      <w:pPr>
        <w:spacing w:line="276" w:lineRule="auto" w:before="0" w:after="0"/>
        <w:ind w:firstLine="425"/>
        <w:jc w:val="both"/>
      </w:pPr>
      <w:r>
        <w:rPr>
          <w:rFonts w:ascii="Times New Roman" w:hAnsi="Times New Roman" w:cs="Times New Roman" w:eastAsia="Times New Roman"/>
          <w:b w:val="0"/>
          <w:sz w:val="24"/>
        </w:rPr>
        <w:t>E' impossibile non riconoscere, in questa tripartizione, la formulazione piu' rigorosa dello statuto che il corpus ITALIA NERA ha applicato lungo tutte le sue verifiche sotto il nome di Sistema Savona. Quando il corpus distingueva la fonte dal reperto, e dichiarava che un reperto e' registrato ma non prova cio' che non attesta, esso enunciava, negli attori e negli oggetti, la medesima differenza che la Fase Settima enuncia nelle fonti fra il detenere e l'attestare. E quando il corpus opponeva la convergenza di milieu alla catena di comando, negando che l'appartenenza di piu' uomini a un medesimo ambiente provasse un ordine unico, esso descriveva, sul piano degli attori, esattamente cio' che la Fase Settima chiama, sul piano delle fonti, il collasso genealogico: tre fonti di natura diversa, una sentenza, una relazione parlamentare, una monografia, non sono tre catene indipendenti se tutte e tre risalgono al medesimo verbale originario. La diversita' della natura si vede a colpo d'occhio; l'indipendenza della genealogia non si vede affatto, e proprio in questa asimmetria si annida l'errore che entrambe le linee combattono.</w:t>
      </w:r>
    </w:p>
    <w:p>
      <w:pPr>
        <w:spacing w:line="276" w:lineRule="auto" w:before="0" w:after="0"/>
        <w:ind w:firstLine="425"/>
        <w:jc w:val="both"/>
      </w:pPr>
      <w:r>
        <w:rPr>
          <w:rFonts w:ascii="Times New Roman" w:hAnsi="Times New Roman" w:cs="Times New Roman" w:eastAsia="Times New Roman"/>
          <w:b w:val="0"/>
          <w:sz w:val="24"/>
        </w:rPr>
        <w:t>Il raccordo, dunque, non e' un accostamento estrinseco, ma il riconoscimento di un'identita' di metodo, che si puo' verificare punto per punto. La regola secondo cui il non reperito non e' automaticamente il distrutto o l'occultato, che la Fase Settima pone fra i propri principi, e' la stessa che il corpus ha applicato registrando come reperto negativo, e non come prova d'inesistenza, l'assenza di omicidi con la pistola Walther a canna corta prima del caso Moro, alla voce trentasette, e la sua sostanziale unicita' balistica alla voce trentanove. E la regola secondo cui il rifiuto a comparire e' una constatazione negativa netta, documentata dall'organo che lo subisce, e diversa dal semplice silenzio, e' la stessa disciplina per cui il corpus registra anche l'esito negativo come un risultato, e non lo tace.</w:t>
      </w:r>
    </w:p>
    <w:p>
      <w:pPr>
        <w:spacing w:line="276" w:lineRule="auto" w:before="0" w:after="0"/>
        <w:ind w:firstLine="425"/>
        <w:jc w:val="both"/>
      </w:pPr>
      <w:r>
        <w:rPr>
          <w:rFonts w:ascii="Times New Roman" w:hAnsi="Times New Roman" w:cs="Times New Roman" w:eastAsia="Times New Roman"/>
          <w:b w:val="0"/>
          <w:sz w:val="24"/>
        </w:rPr>
        <w:t>Applicando la prova genealogica alle conclusioni balistiche gia' fissate dal corpus, si ottiene una loro conferma differenziata, che ne rafforza alcune e ne mantiene altre al grado inferiore che era stato loro assegnato. La conclusione secondo cui sul corpo di Moro operarono due armi, la pistola Walther a canna corta poi inceppata e la mitraglietta cecoslovacca, regge alla risalita, poiche' le sue catene di produzione sono distinte e non collassano l'una sull'altra: la perizia necroscopica del millenovecentosettantotto da un lato, la catena del comparatore che nel millenovecentottantotto lega la mitraglietta di via Dogali ad altri delitti dall'altro. La conclusione secondo cui la pistola Walther non fu mai ritrovata, e resta un unicum balistico, regge del pari, ed anzi e' l'esempio piu' limpido della regola comune: l'assenza e' un fatto dell'organo che verbalizza il mancato rinvenimento, non una prova d'inesistenza dell'arma.</w:t>
      </w:r>
    </w:p>
    <w:p>
      <w:pPr>
        <w:spacing w:line="276" w:lineRule="auto" w:before="0" w:after="0"/>
        <w:ind w:firstLine="425"/>
        <w:jc w:val="both"/>
      </w:pPr>
      <w:r>
        <w:rPr>
          <w:rFonts w:ascii="Times New Roman" w:hAnsi="Times New Roman" w:cs="Times New Roman" w:eastAsia="Times New Roman"/>
          <w:b w:val="0"/>
          <w:sz w:val="24"/>
        </w:rPr>
        <w:t>Là dove, invece, il corpus aveva gia' declassato una tesi, la prova genealogica ne spiega la ragione con nettezza. L'identificazione, ricorrente nella pubblicistica, della mitraglietta di via Dogali con l'arma che uccise Moro era stata abbassata di grado alla voce quarantuno, in favore della ricostruzione a due mitragliette distinte, quella trovata nell'appartamento di un dirigente brigatista a Roma nel millenovecentosettantanove, indicata dalle perizie come l'arma dell'esecuzione, e quella di via Dogali, legata alla catena di altri omicidi. La Fase Settima consente di dire perche' quel declassamento fosse corretto: le molte esposizioni che ripetevano l'identificazione collassavano su un numero esiguo di atti di produzione, e la loro moltitudine non era una moltitudine di catene, ma la ripetizione di poche perizie attraverso molte penne. Il numero, per usare la formula della genealogia, non equivale al numero di catene indipendenti.</w:t>
      </w:r>
    </w:p>
    <w:p>
      <w:pPr>
        <w:spacing w:line="276" w:lineRule="auto" w:before="0" w:after="0"/>
        <w:ind w:firstLine="425"/>
        <w:jc w:val="both"/>
      </w:pPr>
      <w:r>
        <w:rPr>
          <w:rFonts w:ascii="Times New Roman" w:hAnsi="Times New Roman" w:cs="Times New Roman" w:eastAsia="Times New Roman"/>
          <w:b w:val="0"/>
          <w:sz w:val="24"/>
        </w:rPr>
        <w:t>Analogamente resta al grado del candidato, come il corpus aveva stabilito alla voce trentanove, l'ipotesi che la pistola a canna corta ricalibrata e sequestrata in un covo romano, il reperto contrassegnato dal numero quarantasette barra diciotto, fosse l'arma dell'esecuzione: essa e' un'esposizione di parte, non verificata al proprio atto di produzione, poiche' la perizia che avrebbe potuto confermarla non fu mai conclusa, essendo la rigatura dell'arma stata danneggiata dagli acidi impiegati per far riemergere la matricola. E resta materia da verificare sugli atti, come il corpus dichiarava alle voci trentacinque e trentasei, il numero esatto dei bossoli per calibro raccolti nel covo dell'esecuzione: di quell'atto di produzione, che e' la repertazione del millenovecentosettantotto, si conosce l'indirizzo ma non si possiede il documento, ed e' precisamente la distinzione, cara all'appendice nona, fra l'indirizzo e l'atto.</w:t>
      </w:r>
    </w:p>
    <w:p>
      <w:pPr>
        <w:spacing w:line="276" w:lineRule="auto" w:before="0" w:after="0"/>
        <w:ind w:firstLine="425"/>
        <w:jc w:val="both"/>
      </w:pPr>
      <w:r>
        <w:rPr>
          <w:rFonts w:ascii="Times New Roman" w:hAnsi="Times New Roman" w:cs="Times New Roman" w:eastAsia="Times New Roman"/>
          <w:b w:val="0"/>
          <w:sz w:val="24"/>
        </w:rPr>
        <w:t>Il raccordo si fa poi puntuale là dove le appendici toccano temi che il corpus ha censito in ampiezza. L'appendice ottava, operando sulla sesta relazione semestrale della Commissione della tredicesima legislatura, tratta del canale orientale, della quarta persona presente nella base durante la detenzione, e di uno Stato Zero formalizzato da quattro apparati. Ora, quel canale orientale non e' altro, sul piano del contesto, che il quadro che il corpus ha censito alla voce quaranta sotto il nome di lodo Moro e di canale palestinese: il patto di transito delle armi mediorientali attraverso l'Italia, e il viaggio con cui la dirigenza brigatista ando' a prelevarle in Libano. La quarta persona, la cui identificazione figurava fra gli otto interrogativi dichiarati irrisolti dalla Commissione della decima legislatura, e i reiterati rifiuti a comparire opposti da esponenti dell'organizzazione, sono, nel linguaggio comune alle due linee, fonti dichiarative negative: non il silenzio, ma il rifiuto documentato, che l'organo verbalizza e che vale come la piu' netta delle constatazioni in negativo.</w:t>
      </w:r>
    </w:p>
    <w:p>
      <w:pPr>
        <w:spacing w:line="276" w:lineRule="auto" w:before="0" w:after="0"/>
        <w:ind w:firstLine="425"/>
        <w:jc w:val="both"/>
      </w:pPr>
      <w:r>
        <w:rPr>
          <w:rFonts w:ascii="Times New Roman" w:hAnsi="Times New Roman" w:cs="Times New Roman" w:eastAsia="Times New Roman"/>
          <w:b w:val="0"/>
          <w:sz w:val="24"/>
        </w:rPr>
        <w:t>L'appendice undicesima, dal canto suo, mette alla prova un falsificatore misurando la catalogazione multipla su tre fascicoli, quello del caso Moro, quello del disastro aereo e quello della struttura clandestina. Questi tre fascicoli sono, per il corpus, tre dei suoi grandi nodi: il caso Moro attraversa l'intera balistica delle voci dalla trentacinque alla trentanove e la monografia degli hub alla voce quarantotto; la struttura clandestina e' l'organizzazione Gladio con i suoi depositi interrati, censiti alle voci quarantuno, quarantadue e quarantaquattro; il disastro aereo e' il nodo di Ustica, contiguo alla medesima stagione. Che la prova di un falsificatore si conduca proprio su questa terna non e' un caso, ma la conferma che i grandi fascicoli della Repubblica sono i medesimi grandi nodi della trama nera. E l'appendice nona, operando su cento pagine di catalogo provenienti dalla sala di lettura elettronica di un servizio informativo estero, adopera la distinzione fra l'indirizzo e l'atto sul medesimo archivio, quello della sala di lettura dell'agenzia statunitense, che il corpus aveva iscritto nella propria lista operativa degli archivi: dove il corpus segnava un dominio da consultare, la Fase Settima misura la differenza fra la pagina di catalogo posseduta e il documento allegato non posseduto.</w:t>
      </w:r>
    </w:p>
    <w:p>
      <w:pPr>
        <w:spacing w:line="276" w:lineRule="auto" w:before="0" w:after="0"/>
        <w:ind w:firstLine="425"/>
        <w:jc w:val="both"/>
      </w:pPr>
      <w:r>
        <w:rPr>
          <w:rFonts w:ascii="Times New Roman" w:hAnsi="Times New Roman" w:cs="Times New Roman" w:eastAsia="Times New Roman"/>
          <w:b w:val="0"/>
          <w:sz w:val="24"/>
        </w:rPr>
        <w:t>Fra tutte le appendici, la settima reca il contributo che piu' direttamente fonda il metodo comune, poiche' in essa la fonte medesima dichiara il proprio standard probatorio. Operando sulle due relazioni semestrali della dodicesima legislatura, comunicate nel millenovecentonovantacinque e stampate come documenti della serie ventitreesima ai numeri primo e terzo, l'appendice riporta la dichiarazione con cui la Commissione definisce il proprio grado: i suoi compiti non si identificano con quelli della magistratura, ed essa puo', e in taluni casi deve, andare oltre la prova intesa in senso strettamente processuale, che rispetto a fenomeni generalizzati e complessi potrebbe rivelarsi insufficiente o addirittura deformante. Da tale dichiarazione l'appendice trae quella che chiama l'undicesima regola della risalita: quando un organo dichiara il proprio standard, il grado delle sue ricostruzioni si fissa su quella dichiarazione e non sull'autorevolezza della sede, poiche' la sede conferisce pubblicita' e non conferisce grado, e una valutazione formulata dichiaratamente oltre la soglia della prova non acquista quella soglia per il fatto di essere stampata negli atti parlamentari. Questa regola non abbassa alcun grado, ma ne muta il fondamento: la cautela con cui il corpus assegnava agli atti delle Commissioni il grado massimo per le acquisizioni documentali e il grado intermedio per le ricostruzioni e le valutazioni, cautela adottata sin qui per prudenza dell'autore, riposa ora sulla dichiarazione dell'organo graduato medesimo. E' un mutamento di natura e non di esito, ed e' la piu' solida delle conferme che il corpus potesse ricevere: la sua prudenza, esemplificata alla voce quaranta là dove i documenti parlamentari del filone Hyperion furono registrati ma il proscioglimento finale li mantenne al grado del candidato, si scopre coincidente con l'autolimitazione dichiarata dalla fonte parlamentare stessa.</w:t>
      </w:r>
    </w:p>
    <w:p>
      <w:pPr>
        <w:spacing w:line="276" w:lineRule="auto" w:before="0" w:after="0"/>
        <w:ind w:firstLine="425"/>
        <w:jc w:val="both"/>
      </w:pPr>
      <w:r>
        <w:rPr>
          <w:rFonts w:ascii="Times New Roman" w:hAnsi="Times New Roman" w:cs="Times New Roman" w:eastAsia="Times New Roman"/>
          <w:b w:val="0"/>
          <w:sz w:val="24"/>
        </w:rPr>
        <w:t>Da questo raccordo discende un duplice arricchimento. La Fase Settima aggiunge al corpus la prova esplicita che la distinzione fra il detenere e l'attestare, e fra la produzione e l'esposizione, che il corpus applicava agli attori e ai reperti, vale con identico rigore per le fonti, e offre un banco su cui misurare il collasso genealogico delle conclusioni balistiche, distinguendo quante di esse poggino su catene realmente indipendenti. Il corpus, per parte sua, aggiunge alla Fase Settima l'ampiezza dei domini: colloca il canale orientale nel contesto del lodo Moro, riconosce nei tre fascicoli della prova tre grandi nodi gia' mappati, e nel servizio estero delle cento pagine un archivio gia' iscritto nella lista operativa. Le due linee, insomma, si scambiano cio' che a ciascuna manca: alla profondita' del caso singolo, l'ampiezza della trama; all'ampiezza della trama, la profondita' del singolo caso.</w:t>
      </w:r>
    </w:p>
    <w:p>
      <w:pPr>
        <w:spacing w:line="276" w:lineRule="auto" w:before="0" w:after="0"/>
        <w:ind w:firstLine="425"/>
        <w:jc w:val="both"/>
      </w:pPr>
      <w:r>
        <w:rPr>
          <w:rFonts w:ascii="Times New Roman" w:hAnsi="Times New Roman" w:cs="Times New Roman" w:eastAsia="Times New Roman"/>
          <w:b w:val="0"/>
          <w:sz w:val="24"/>
        </w:rPr>
        <w:t>Restano dichiarate, come lo statuto impone, le pendenze. Con l'acquisizione dell'appendice settima, che questo raccordo incorpora, della serie manca ora la sola appendice prima, non pervenuta; sino a che non sara' acquisita, il raccordo qui stabilito e' completo per le undici appendici possedute e sospeso per la sola assente. La quarta persona dell'appendice ottava resta non identificata al lettore di questo raccordo, e il contenuto dell'audizione del ventuno gennaio duemila resta non posseduto, essendone non disponibile il resoconto. Le diciannove unita' non individuate dell'appendice quarta restano aperte, e sono l'omologo archivistico di quelle code irrisolte che, sul piano balistico, il corpus additava nella pistola mai ritrovata. Nessuna interrogazione in rete e' stata effettuata per il presente raccordo, che opera per ritorno al solo corpus gia' acquisito, in adempimento della prescrizione di collazione preventiva che la Tavola Unica istituisce; e il vincolo sulle fonti e' stato rispettato, senza alcun uso di Grokipedia ne' del quotidiano il manifesto.</w:t>
      </w:r>
    </w:p>
    <w:p>
      <w:pPr>
        <w:spacing w:line="276" w:lineRule="auto" w:before="0" w:after="0"/>
        <w:ind w:firstLine="425"/>
        <w:jc w:val="both"/>
      </w:pPr>
      <w:r>
        <w:rPr>
          <w:rFonts w:ascii="Times New Roman" w:hAnsi="Times New Roman" w:cs="Times New Roman" w:eastAsia="Times New Roman"/>
          <w:b w:val="0"/>
          <w:sz w:val="24"/>
        </w:rPr>
        <w:t>La conclusione del raccordo puo' essere detta in una sola proposizione, che vale come lascito. Il Registro dei Cinquantacinque Giorni e ITALIA NERA sono due esecuzioni di un medesimo giuramento metodologico: risalire ogni asserzione al proprio atto di produzione, rifiutare che la ripetizione si spacci per conferma, tenere distinti il detenere dall'attestare e la convergenza dal comando, e dichiarare l'assenza come un risultato anziche' nasconderla. Dove la fonte documenta, l'opera certifica; dove la fonte tace, l'opera indaga e non afferma. Questo giuramento, che la Fase Settima ha scritto per il caso Moro e che il corpus aveva praticato per l'intera trama nera, e' il vero nodo che le congiunge: non un ponte fra due contenuti, ma l'identita' di un metodo.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corpus/opera/ALDO_MORO_APPENDICE_SECONDA_FASE_SETTIMA.docx</w:t>
      </w:r>
    </w:p>
    <w:p>
      <w:pPr>
        <w:spacing w:line="276" w:lineRule="auto" w:before="0" w:after="0"/>
        <w:ind w:firstLine="425"/>
        <w:jc w:val="both"/>
      </w:pPr>
      <w:r>
        <w:rPr>
          <w:rFonts w:ascii="Times New Roman" w:hAnsi="Times New Roman" w:cs="Times New Roman" w:eastAsia="Times New Roman"/>
          <w:b w:val="0"/>
          <w:sz w:val="24"/>
        </w:rPr>
        <w:t>corpus/opera/ALDO_MORO_APPENDICE_TERZA_FASE_SETTIMA.docx</w:t>
      </w:r>
    </w:p>
    <w:p>
      <w:pPr>
        <w:spacing w:line="276" w:lineRule="auto" w:before="0" w:after="0"/>
        <w:ind w:firstLine="425"/>
        <w:jc w:val="both"/>
      </w:pPr>
      <w:r>
        <w:rPr>
          <w:rFonts w:ascii="Times New Roman" w:hAnsi="Times New Roman" w:cs="Times New Roman" w:eastAsia="Times New Roman"/>
          <w:b w:val="0"/>
          <w:sz w:val="24"/>
        </w:rPr>
        <w:t>corpus/opera/ALDO_MORO_APPENDICE_QUARTA_FASE_SETTIMA.docx</w:t>
      </w:r>
    </w:p>
    <w:p>
      <w:pPr>
        <w:spacing w:line="276" w:lineRule="auto" w:before="0" w:after="0"/>
        <w:ind w:firstLine="425"/>
        <w:jc w:val="both"/>
      </w:pPr>
      <w:r>
        <w:rPr>
          <w:rFonts w:ascii="Times New Roman" w:hAnsi="Times New Roman" w:cs="Times New Roman" w:eastAsia="Times New Roman"/>
          <w:b w:val="0"/>
          <w:sz w:val="24"/>
        </w:rPr>
        <w:t>corpus/opera/ALDO_MORO_APPENDICE_QUINTA_FASE_SETTIMA.docx</w:t>
      </w:r>
    </w:p>
    <w:p>
      <w:pPr>
        <w:spacing w:line="276" w:lineRule="auto" w:before="0" w:after="0"/>
        <w:ind w:firstLine="425"/>
        <w:jc w:val="both"/>
      </w:pPr>
      <w:r>
        <w:rPr>
          <w:rFonts w:ascii="Times New Roman" w:hAnsi="Times New Roman" w:cs="Times New Roman" w:eastAsia="Times New Roman"/>
          <w:b w:val="0"/>
          <w:sz w:val="24"/>
        </w:rPr>
        <w:t>corpus/opera/ALDO_MORO_APPENDICE_SESTA_FASE_SETTIMA.docx</w:t>
      </w:r>
    </w:p>
    <w:p>
      <w:pPr>
        <w:spacing w:line="276" w:lineRule="auto" w:before="0" w:after="0"/>
        <w:ind w:firstLine="425"/>
        <w:jc w:val="both"/>
      </w:pPr>
      <w:r>
        <w:rPr>
          <w:rFonts w:ascii="Times New Roman" w:hAnsi="Times New Roman" w:cs="Times New Roman" w:eastAsia="Times New Roman"/>
          <w:b w:val="0"/>
          <w:sz w:val="24"/>
        </w:rPr>
        <w:t>corpus/opera/ALDO_MORO_APPENDICE_SETTIMA_FASE_SETTIMA.docx</w:t>
      </w:r>
    </w:p>
    <w:p>
      <w:pPr>
        <w:spacing w:line="276" w:lineRule="auto" w:before="0" w:after="0"/>
        <w:ind w:firstLine="425"/>
        <w:jc w:val="both"/>
      </w:pPr>
      <w:r>
        <w:rPr>
          <w:rFonts w:ascii="Times New Roman" w:hAnsi="Times New Roman" w:cs="Times New Roman" w:eastAsia="Times New Roman"/>
          <w:b w:val="0"/>
          <w:sz w:val="24"/>
        </w:rPr>
        <w:t>corpus/opera/ALDO_MORO_APPENDICE_OTTAVA_FASE_SETTIMA.docx</w:t>
      </w:r>
    </w:p>
    <w:p>
      <w:pPr>
        <w:spacing w:line="276" w:lineRule="auto" w:before="0" w:after="0"/>
        <w:ind w:firstLine="425"/>
        <w:jc w:val="both"/>
      </w:pPr>
      <w:r>
        <w:rPr>
          <w:rFonts w:ascii="Times New Roman" w:hAnsi="Times New Roman" w:cs="Times New Roman" w:eastAsia="Times New Roman"/>
          <w:b w:val="0"/>
          <w:sz w:val="24"/>
        </w:rPr>
        <w:t>corpus/opera/ALDO_MORO_APPENDICE_NONA_FASE_SETTIMA.docx</w:t>
      </w:r>
    </w:p>
    <w:p>
      <w:pPr>
        <w:spacing w:line="276" w:lineRule="auto" w:before="0" w:after="0"/>
        <w:ind w:firstLine="425"/>
        <w:jc w:val="both"/>
      </w:pPr>
      <w:r>
        <w:rPr>
          <w:rFonts w:ascii="Times New Roman" w:hAnsi="Times New Roman" w:cs="Times New Roman" w:eastAsia="Times New Roman"/>
          <w:b w:val="0"/>
          <w:sz w:val="24"/>
        </w:rPr>
        <w:t>corpus/opera/ALDO_MORO_APPENDICE_DECIMA_FASE_SETTIMA.docx</w:t>
      </w:r>
    </w:p>
    <w:p>
      <w:pPr>
        <w:spacing w:line="276" w:lineRule="auto" w:before="0" w:after="0"/>
        <w:ind w:firstLine="425"/>
        <w:jc w:val="both"/>
      </w:pPr>
      <w:r>
        <w:rPr>
          <w:rFonts w:ascii="Times New Roman" w:hAnsi="Times New Roman" w:cs="Times New Roman" w:eastAsia="Times New Roman"/>
          <w:b w:val="0"/>
          <w:sz w:val="24"/>
        </w:rPr>
        <w:t>corpus/opera/ALDO_MORO_APPENDICE_UNDICESIMA_FASE_SETTIMA.docx</w:t>
      </w:r>
    </w:p>
    <w:p>
      <w:pPr>
        <w:spacing w:line="276" w:lineRule="auto" w:before="0" w:after="0"/>
        <w:ind w:firstLine="425"/>
        <w:jc w:val="both"/>
      </w:pPr>
      <w:r>
        <w:rPr>
          <w:rFonts w:ascii="Times New Roman" w:hAnsi="Times New Roman" w:cs="Times New Roman" w:eastAsia="Times New Roman"/>
          <w:b w:val="0"/>
          <w:sz w:val="24"/>
        </w:rPr>
        <w:t>corpus/opera/ALDO_MORO_APPENDICE_DODICESIMA_FASE_SETTIMA.docx</w:t>
      </w:r>
    </w:p>
    <w:p>
      <w:pPr>
        <w:spacing w:line="276" w:lineRule="auto" w:before="0" w:after="0"/>
        <w:ind w:firstLine="425"/>
        <w:jc w:val="both"/>
      </w:pPr>
      <w:r>
        <w:rPr>
          <w:rFonts w:ascii="Times New Roman" w:hAnsi="Times New Roman" w:cs="Times New Roman" w:eastAsia="Times New Roman"/>
          <w:b w:val="0"/>
          <w:sz w:val="24"/>
        </w:rPr>
        <w:t>corpus/opera/ITALIA_NERA_PRIMA_SESSIONE_ESECUTIVA_TAVOLA_UNICA.docx</w:t>
      </w:r>
    </w:p>
    <w:p>
      <w:pPr>
        <w:spacing w:line="276" w:lineRule="auto" w:before="0" w:after="0"/>
        <w:ind w:firstLine="425"/>
        <w:jc w:val="both"/>
      </w:pPr>
      <w:r>
        <w:rPr>
          <w:rFonts w:ascii="Times New Roman" w:hAnsi="Times New Roman" w:cs="Times New Roman" w:eastAsia="Times New Roman"/>
          <w:b w:val="0"/>
          <w:sz w:val="24"/>
        </w:rPr>
        <w:t>corpus/opera/Opera_Aldo_Moro_Tutta_la_Verita_Triangolazione.docx</w:t>
      </w:r>
    </w:p>
    <w:p>
      <w:pPr>
        <w:spacing w:line="276" w:lineRule="auto" w:before="0" w:after="0"/>
        <w:ind w:firstLine="425"/>
        <w:jc w:val="both"/>
      </w:pPr>
      <w:r>
        <w:rPr>
          <w:rFonts w:ascii="Times New Roman" w:hAnsi="Times New Roman" w:cs="Times New Roman" w:eastAsia="Times New Roman"/>
          <w:b w:val="0"/>
          <w:sz w:val="24"/>
        </w:rPr>
        <w:t>corpus/diagnostica/ITALIA_NERA_REGISTRO_VERIFICHE_DOCUMENTALI.xlsx (voci 35-50)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