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SETTIMA ALLA FASE SETTIMA</w:t>
      </w:r>
    </w:p>
    <w:p>
      <w:pPr>
        <w:spacing w:line="276" w:lineRule="auto" w:after="120"/>
        <w:ind w:firstLine="0"/>
        <w:jc w:val="center"/>
      </w:pPr>
      <w:r>
        <w:rPr>
          <w:rFonts w:ascii="Times New Roman" w:hAnsi="Times New Roman" w:cs="Times New Roman" w:eastAsia="Times New Roman"/>
          <w:b/>
          <w:sz w:val="24"/>
        </w:rPr>
        <w:t>L'organismo successore e la dichiarazione del proprio standard</w:t>
      </w:r>
    </w:p>
    <w:p>
      <w:pPr>
        <w:spacing w:line="276" w:lineRule="auto" w:after="120"/>
        <w:ind w:firstLine="0"/>
        <w:jc w:val="center"/>
      </w:pPr>
      <w:r>
        <w:rPr>
          <w:rFonts w:ascii="Times New Roman" w:hAnsi="Times New Roman" w:cs="Times New Roman" w:eastAsia="Times New Roman"/>
          <w:b/>
          <w:sz w:val="24"/>
        </w:rPr>
        <w:t>Le due relazioni semestrali della XII legislatura, documenti XXIII numeri 1 e 3</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settima</w:t>
      </w:r>
    </w:p>
    <w:p>
      <w:pPr>
        <w:spacing w:line="276" w:lineRule="auto" w:after="120"/>
        <w:ind w:firstLine="425"/>
        <w:jc w:val="both"/>
      </w:pPr>
      <w:r>
        <w:rPr>
          <w:rFonts w:ascii="Times New Roman" w:hAnsi="Times New Roman" w:cs="Times New Roman" w:eastAsia="Times New Roman"/>
          <w:b w:val="0"/>
          <w:sz w:val="24"/>
        </w:rPr>
        <w:t>La presente è appendice settima alla Fase Settima e opera sulle due relazioni semestrali sullo stato dei lavori presentate nella XII legislatura dal Presidente della Commissione parlamentare d'inchiesta sul terrorismo e sulle stragi, comunicate alle Presidenze il ventisei gennaio e il venti luglio millenovecentonovantacinque e stampate come documenti XXIII numeri 1 e 3. Come le sei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L'unità è scelta per una ragione determinata. L'appendice sesta ha dichiarato uno Stato Zero sull'esecuzione della raccomandazione con la quale la Commissione della legislatura anteriore affidava all'organismo successore l'acquisizione dell'oggetto degli atti repertati presso il Gabinetto del Ministro dell'interno. L'organismo successore è quello del quale qui si esaminano le relazioni. Interrogarlo era, per la regola tratta a proprio sfavore due volte nella medesima giornata, l'operazione dovuta prima di ogni altra.</w:t>
      </w:r>
    </w:p>
    <w:p>
      <w:pPr>
        <w:spacing w:line="276" w:lineRule="auto" w:after="120" w:before="240"/>
        <w:ind w:firstLine="0"/>
        <w:jc w:val="left"/>
      </w:pPr>
      <w:r>
        <w:rPr>
          <w:rFonts w:ascii="Times New Roman" w:hAnsi="Times New Roman" w:cs="Times New Roman" w:eastAsia="Times New Roman"/>
          <w:b/>
          <w:sz w:val="24"/>
        </w:rPr>
        <w:t>Parte prima — La dichiarazione dello standard, e la sua conseguenza sul grado</w:t>
      </w:r>
    </w:p>
    <w:p>
      <w:pPr>
        <w:spacing w:line="276" w:lineRule="auto" w:after="120"/>
        <w:ind w:firstLine="425"/>
        <w:jc w:val="both"/>
      </w:pPr>
      <w:r>
        <w:rPr>
          <w:rFonts w:ascii="Times New Roman" w:hAnsi="Times New Roman" w:cs="Times New Roman" w:eastAsia="Times New Roman"/>
          <w:b w:val="0"/>
          <w:sz w:val="24"/>
        </w:rPr>
        <w:t>Le due relazioni contengono un passaggio che vale, ai fini dell'apparato dell'opera, più di ogni acquisizione documentale che esse recano, ed è la dichiarazione con la quale l'organo definisce il proprio standard probatorio.</w:t>
      </w:r>
    </w:p>
    <w:p>
      <w:pPr>
        <w:spacing w:line="276" w:lineRule="auto" w:after="120"/>
        <w:ind w:firstLine="425"/>
        <w:jc w:val="both"/>
      </w:pPr>
      <w:r>
        <w:rPr>
          <w:rFonts w:ascii="Times New Roman" w:hAnsi="Times New Roman" w:cs="Times New Roman" w:eastAsia="Times New Roman"/>
          <w:b w:val="0"/>
          <w:sz w:val="24"/>
        </w:rPr>
        <w:t>L'organo dichiara che i propri compiti non si identificano con quelli della magistratura; che la magistratura deve attenersi alla ricerca scrupolosa della prova con l'intento di perseguire responsabilità individuali; e che la Commissione può, e in alcuni casi deve, andare oltre la prova intesa in senso strettamente processuale, la quale potrebbe rivelarsi insufficiente alla comprensione di fenomeni generalizzati e complessi rispetto ai quali l'ottica del processo penale può apparire inadeguata se non addirittura deformante. Dichiara inoltre di essere in grado di assumere a criteri di giudizio elementi di prova che qualifica come sociale, e con essi comportamenti politici, orientamenti e linee di azione di gruppi e di fazioni.</w:t>
      </w:r>
    </w:p>
    <w:p>
      <w:pPr>
        <w:spacing w:line="276" w:lineRule="auto" w:after="120"/>
        <w:ind w:firstLine="425"/>
        <w:jc w:val="both"/>
      </w:pPr>
      <w:r>
        <w:rPr>
          <w:rFonts w:ascii="Times New Roman" w:hAnsi="Times New Roman" w:cs="Times New Roman" w:eastAsia="Times New Roman"/>
          <w:b w:val="0"/>
          <w:sz w:val="24"/>
        </w:rPr>
        <w:t>Questa dichiarazione va accolta per ciò che è, e ciò che è va detto senza attenuazioni in nessuna delle due direzioni.</w:t>
      </w:r>
    </w:p>
    <w:p>
      <w:pPr>
        <w:spacing w:line="276" w:lineRule="auto" w:after="120"/>
        <w:ind w:firstLine="425"/>
        <w:jc w:val="both"/>
      </w:pPr>
      <w:r>
        <w:rPr>
          <w:rFonts w:ascii="Times New Roman" w:hAnsi="Times New Roman" w:cs="Times New Roman" w:eastAsia="Times New Roman"/>
          <w:b w:val="0"/>
          <w:sz w:val="24"/>
        </w:rPr>
        <w:t>Essa non è un'ammissione di debolezza e non va letta come tale. L'organo argomenta che la propria specificità istituzionale si esalta là dove il magistrato si arresta, e osserva che ciò discende dalla stessa intitolazione della Commissione, alla quale è affidato il giudizio sulle cause della mancata individuazione — evidentemente in sede giudiziaria — dei responsabili. L'argomento è corretto: un organo istituito per accertare perché una prova non fu raggiunta non può essere vincolato allo standard di quella prova, altrimenti il suo oggetto gli sarebbe precluso per definizione.</w:t>
      </w:r>
    </w:p>
    <w:p>
      <w:pPr>
        <w:spacing w:line="276" w:lineRule="auto" w:after="120"/>
        <w:ind w:firstLine="425"/>
        <w:jc w:val="both"/>
      </w:pPr>
      <w:r>
        <w:rPr>
          <w:rFonts w:ascii="Times New Roman" w:hAnsi="Times New Roman" w:cs="Times New Roman" w:eastAsia="Times New Roman"/>
          <w:b w:val="0"/>
          <w:sz w:val="24"/>
        </w:rPr>
        <w:t>Essa è però, quanto al grado conferibile alle risultanze dell'organo, decisiva e in un solo verso. Il repertorio critico dell'opera assegna agli atti delle Commissioni il grado massimo per le acquisizioni documentali e il grado intermedio per le ricostruzioni e le valutazioni. Quella distinzione era, fino a oggi, una cautela dell'opera, adottata per prudenza e senza il conforto di una dichiarazione dell'organo graduato. Ora essa riposa sulla dichiarazione dell'organo medesimo, il quale afferma di adottare per le proprie valutazioni uno standard deliberatamente diverso da quello della prova e più largo di esso.</w:t>
      </w:r>
    </w:p>
    <w:p>
      <w:pPr>
        <w:spacing w:line="276" w:lineRule="auto" w:after="120"/>
        <w:ind w:firstLine="425"/>
        <w:jc w:val="both"/>
      </w:pPr>
      <w:r>
        <w:rPr>
          <w:rFonts w:ascii="Times New Roman" w:hAnsi="Times New Roman" w:cs="Times New Roman" w:eastAsia="Times New Roman"/>
          <w:b w:val="0"/>
          <w:sz w:val="24"/>
        </w:rPr>
        <w:t>Si enuncia la regola, che è l'undicesima della serie.</w:t>
      </w:r>
    </w:p>
    <w:p>
      <w:pPr>
        <w:spacing w:line="276" w:lineRule="auto" w:after="120"/>
        <w:ind w:firstLine="425"/>
        <w:jc w:val="both"/>
      </w:pPr>
      <w:r>
        <w:rPr>
          <w:rFonts w:ascii="Times New Roman" w:hAnsi="Times New Roman" w:cs="Times New Roman" w:eastAsia="Times New Roman"/>
          <w:b w:val="0"/>
          <w:sz w:val="24"/>
        </w:rPr>
        <w:t>Undicesima regola della risalita. Quando un organo dichiara il proprio standard, il grado delle sue ricostruzioni si fissa su quella dichiarazione e non sull'autorevolezza della sede. Una valutazione formulata dichiaratamente oltre la soglia della prova non acquista quella soglia per il fatto di essere stampata negli atti parlamentari. La sede conferisce pubblicità e non conferisce grado.</w:t>
      </w:r>
    </w:p>
    <w:p>
      <w:pPr>
        <w:spacing w:line="276" w:lineRule="auto" w:after="120"/>
        <w:ind w:firstLine="425"/>
        <w:jc w:val="both"/>
      </w:pPr>
      <w:r>
        <w:rPr>
          <w:rFonts w:ascii="Times New Roman" w:hAnsi="Times New Roman" w:cs="Times New Roman" w:eastAsia="Times New Roman"/>
          <w:b w:val="0"/>
          <w:sz w:val="24"/>
        </w:rPr>
        <w:t>Si dichiara che questa regola non abbassa alcun grado nell'opera, poiché l'opera aveva già collocato le ricostruzioni parlamentari al grado intermedio. Essa ne consolida il fondamento, che passa dalla prudenza dell'autore alla dichiarazione della fonte, ed è un mutamento di natura e non di esito.</w:t>
      </w:r>
    </w:p>
    <w:p>
      <w:pPr>
        <w:spacing w:line="276" w:lineRule="auto" w:after="120" w:before="240"/>
        <w:ind w:firstLine="0"/>
        <w:jc w:val="left"/>
      </w:pPr>
      <w:r>
        <w:rPr>
          <w:rFonts w:ascii="Times New Roman" w:hAnsi="Times New Roman" w:cs="Times New Roman" w:eastAsia="Times New Roman"/>
          <w:b/>
          <w:sz w:val="24"/>
        </w:rPr>
        <w:t>Parte seconda — Le relazioni che nessuna Assemblea ha discusso</w:t>
      </w:r>
    </w:p>
    <w:p>
      <w:pPr>
        <w:spacing w:line="276" w:lineRule="auto" w:after="120"/>
        <w:ind w:firstLine="425"/>
        <w:jc w:val="both"/>
      </w:pPr>
      <w:r>
        <w:rPr>
          <w:rFonts w:ascii="Times New Roman" w:hAnsi="Times New Roman" w:cs="Times New Roman" w:eastAsia="Times New Roman"/>
          <w:b w:val="0"/>
          <w:sz w:val="24"/>
        </w:rPr>
        <w:t>L'organo registra una circostanza che riguarda l'intera classe di fonti sulla quale l'opera poggia più largamente, e che va iscritta come risultanza di prim'ordine.</w:t>
      </w:r>
    </w:p>
    <w:p>
      <w:pPr>
        <w:spacing w:line="276" w:lineRule="auto" w:after="120"/>
        <w:ind w:firstLine="425"/>
        <w:jc w:val="both"/>
      </w:pPr>
      <w:r>
        <w:rPr>
          <w:rFonts w:ascii="Times New Roman" w:hAnsi="Times New Roman" w:cs="Times New Roman" w:eastAsia="Times New Roman"/>
          <w:b w:val="0"/>
          <w:sz w:val="24"/>
        </w:rPr>
        <w:t>Le relazioni trasmesse alle Camere dalle Commissioni delle legislature anteriori sono documenti la cui discussione non è stata mai posta all'ordine del giorno di alcuna delle Assemblee. L'organo ne trae che l'obiettivo ultimo dell'inchiesta parlamentare — l'acquisizione di elementi di conoscenza a beneficio del Parlamento, finalizzata all'espressione di un giudizio e a futuri orientamenti legislativi — è rimasto frustrato dall'incompiutezza di una procedura arrestatasi a una fase preliminare, senza pervenire al dibattito che ne costituisce la sede naturale.</w:t>
      </w:r>
    </w:p>
    <w:p>
      <w:pPr>
        <w:spacing w:line="276" w:lineRule="auto" w:after="120"/>
        <w:ind w:firstLine="425"/>
        <w:jc w:val="both"/>
      </w:pPr>
      <w:r>
        <w:rPr>
          <w:rFonts w:ascii="Times New Roman" w:hAnsi="Times New Roman" w:cs="Times New Roman" w:eastAsia="Times New Roman"/>
          <w:b w:val="0"/>
          <w:sz w:val="24"/>
        </w:rPr>
        <w:t>La conseguenza per la designazione delle fonti è precisa e va apportata. Una relazione approvata da una Commissione d'inchiesta e trasmessa alle Camere è un atto della Commissione. Non è un atto del Parlamento, e non lo diviene per effetto della trasmissione. Chi la designi come pronuncia parlamentare le attribuisce un'autorità che essa non ha ricevuto, e la differenza non è formale: fra un giudizio deliberato da quarantuno commissari e un giudizio discusso e votato da due Assemblee corre una distanza che il caso in esame non ha mai colmata.</w:t>
      </w:r>
    </w:p>
    <w:p>
      <w:pPr>
        <w:spacing w:line="276" w:lineRule="auto" w:after="120"/>
        <w:ind w:firstLine="425"/>
        <w:jc w:val="both"/>
      </w:pPr>
      <w:r>
        <w:rPr>
          <w:rFonts w:ascii="Times New Roman" w:hAnsi="Times New Roman" w:cs="Times New Roman" w:eastAsia="Times New Roman"/>
          <w:b w:val="0"/>
          <w:sz w:val="24"/>
        </w:rPr>
        <w:t>Si dispone pertanto che, nelle redazioni successive, le relazioni delle Commissioni siano designate per l'organo che le ha approvate e non per la sede alla quale sono state trasmesse, e che ove il grado di una proposizione riposi su una di esse ciò sia dichiarato in questa forma.</w:t>
      </w:r>
    </w:p>
    <w:p>
      <w:pPr>
        <w:spacing w:line="276" w:lineRule="auto" w:after="120" w:before="240"/>
        <w:ind w:firstLine="0"/>
        <w:jc w:val="left"/>
      </w:pPr>
      <w:r>
        <w:rPr>
          <w:rFonts w:ascii="Times New Roman" w:hAnsi="Times New Roman" w:cs="Times New Roman" w:eastAsia="Times New Roman"/>
          <w:b/>
          <w:sz w:val="24"/>
        </w:rPr>
        <w:t>Parte terza — La discontinuità della memoria istituzionale</w:t>
      </w:r>
    </w:p>
    <w:p>
      <w:pPr>
        <w:spacing w:line="276" w:lineRule="auto" w:after="120"/>
        <w:ind w:firstLine="425"/>
        <w:jc w:val="both"/>
      </w:pPr>
      <w:r>
        <w:rPr>
          <w:rFonts w:ascii="Times New Roman" w:hAnsi="Times New Roman" w:cs="Times New Roman" w:eastAsia="Times New Roman"/>
          <w:b w:val="0"/>
          <w:sz w:val="24"/>
        </w:rPr>
        <w:t>L'organo dichiara che alla propria ricostituzione quaranta commissari su quarantuno non avevano fatto parte della Commissione in precedenza, e che tale ricambio ha imposto un faticoso sforzo di aggiornamento per colmare l'inevitabile vuoto di informazione relativo ai temi di indagine e alle attività passate. Dichiara altresì di avere avuto a disposizione circa un anno e mezzo, per effetto della ricostituzione tardiva rispetto all'inizio della legislatura.</w:t>
      </w:r>
    </w:p>
    <w:p>
      <w:pPr>
        <w:spacing w:line="276" w:lineRule="auto" w:after="120"/>
        <w:ind w:firstLine="425"/>
        <w:jc w:val="both"/>
      </w:pPr>
      <w:r>
        <w:rPr>
          <w:rFonts w:ascii="Times New Roman" w:hAnsi="Times New Roman" w:cs="Times New Roman" w:eastAsia="Times New Roman"/>
          <w:b w:val="0"/>
          <w:sz w:val="24"/>
        </w:rPr>
        <w:t>Si registra la circostanza come dato strutturale sulla classe delle fonti parlamentari, e non come rilievo su alcuno. Un organo d'inchiesta che si rinnovi per intero a ogni legislatura ricomincia, quanto alla conoscenza del proprio oggetto, da una posizione prossima a quella di partenza, e la continuità è affidata al solo patrimonio documentale e al personale che lo custodisce. Ne segue che la profondità delle inchieste parlamentari in materia non cresce linearmente con il numero delle legislature che vi si dedicano, e che l'aspettativa contraria — implicita in ogni ricostruzione che sommi le conclusioni successive come strati di un accertamento progressivo — è infondata.</w:t>
      </w:r>
    </w:p>
    <w:p>
      <w:pPr>
        <w:spacing w:line="276" w:lineRule="auto" w:after="120" w:before="240"/>
        <w:ind w:firstLine="0"/>
        <w:jc w:val="left"/>
      </w:pPr>
      <w:r>
        <w:rPr>
          <w:rFonts w:ascii="Times New Roman" w:hAnsi="Times New Roman" w:cs="Times New Roman" w:eastAsia="Times New Roman"/>
          <w:b/>
          <w:sz w:val="24"/>
        </w:rPr>
        <w:t>Parte quarta — Lo Stato Zero sul repertorio del Gabinetto: esito</w:t>
      </w:r>
    </w:p>
    <w:p>
      <w:pPr>
        <w:spacing w:line="276" w:lineRule="auto" w:after="120"/>
        <w:ind w:firstLine="425"/>
        <w:jc w:val="both"/>
      </w:pPr>
      <w:r>
        <w:rPr>
          <w:rFonts w:ascii="Times New Roman" w:hAnsi="Times New Roman" w:cs="Times New Roman" w:eastAsia="Times New Roman"/>
          <w:b w:val="0"/>
          <w:sz w:val="24"/>
        </w:rPr>
        <w:t>Si riferisce l'esito dell'interrogazione che ha motivato la presente unità.</w:t>
      </w:r>
    </w:p>
    <w:p>
      <w:pPr>
        <w:spacing w:line="276" w:lineRule="auto" w:after="120"/>
        <w:ind w:firstLine="425"/>
        <w:jc w:val="both"/>
      </w:pPr>
      <w:r>
        <w:rPr>
          <w:rFonts w:ascii="Times New Roman" w:hAnsi="Times New Roman" w:cs="Times New Roman" w:eastAsia="Times New Roman"/>
          <w:b w:val="0"/>
          <w:sz w:val="24"/>
        </w:rPr>
        <w:t>Nessuna delle due relazioni semestrali menziona il repertorio generale degli atti concernenti il caso transitati per il Gabinetto del Ministro dell'interno, e nessuna menziona la raccomandazione della Commissione anteriore quanto all'acquisizione dell'oggetto delle voci repertate.</w:t>
      </w:r>
    </w:p>
    <w:p>
      <w:pPr>
        <w:spacing w:line="276" w:lineRule="auto" w:after="120"/>
        <w:ind w:firstLine="425"/>
        <w:jc w:val="both"/>
      </w:pPr>
      <w:r>
        <w:rPr>
          <w:rFonts w:ascii="Times New Roman" w:hAnsi="Times New Roman" w:cs="Times New Roman" w:eastAsia="Times New Roman"/>
          <w:b w:val="0"/>
          <w:sz w:val="24"/>
        </w:rPr>
        <w:t>Si dichiara con esattezza che cosa questo stabilisca e che cosa no. Esso non stabilisce che l'acquisizione non sia stata compiuta. Le relazioni semestrali sono, per loro natura, resoconti sintetici dello stato dei lavori e non indici completi delle acquisizioni; la seconda dedica alle acquisizioni documentali due paragrafi e vi espone per esteso una sola classe di operazioni. Esso stabilisce che, in due resoconti dell'attività svolta nell'arco di un anno da parte dell'organo espressamente destinatario della raccomandazione, la raccomandazione non è menzionata.</w:t>
      </w:r>
    </w:p>
    <w:p>
      <w:pPr>
        <w:spacing w:line="276" w:lineRule="auto" w:after="120"/>
        <w:ind w:firstLine="425"/>
        <w:jc w:val="both"/>
      </w:pPr>
      <w:r>
        <w:rPr>
          <w:rFonts w:ascii="Times New Roman" w:hAnsi="Times New Roman" w:cs="Times New Roman" w:eastAsia="Times New Roman"/>
          <w:b w:val="0"/>
          <w:sz w:val="24"/>
        </w:rPr>
        <w:t>Lo Stato Zero dichiarato dall'appendice sesta non si chiude e si restringe. Esso passa dalla forma indeterminata — non è accertato se la raccomandazione sia stata eseguita — alla forma determinata: non è menzionata nei due resoconti semestrali dell'organo destinatario, e la sua esecuzione va cercata negli indici di acquisizione della XII legislatura, che non sono posseduti, ovvero nella relazione conclusiva di quella legislatura.</w:t>
      </w:r>
    </w:p>
    <w:p>
      <w:pPr>
        <w:spacing w:line="276" w:lineRule="auto" w:after="120" w:before="240"/>
        <w:ind w:firstLine="0"/>
        <w:jc w:val="left"/>
      </w:pPr>
      <w:r>
        <w:rPr>
          <w:rFonts w:ascii="Times New Roman" w:hAnsi="Times New Roman" w:cs="Times New Roman" w:eastAsia="Times New Roman"/>
          <w:b/>
          <w:sz w:val="24"/>
        </w:rPr>
        <w:t>Parte quinta — Gli atti nuovi designati per estremi</w:t>
      </w:r>
    </w:p>
    <w:p>
      <w:pPr>
        <w:spacing w:line="276" w:lineRule="auto" w:after="120"/>
        <w:ind w:firstLine="425"/>
        <w:jc w:val="both"/>
      </w:pPr>
      <w:r>
        <w:rPr>
          <w:rFonts w:ascii="Times New Roman" w:hAnsi="Times New Roman" w:cs="Times New Roman" w:eastAsia="Times New Roman"/>
          <w:b w:val="0"/>
          <w:sz w:val="24"/>
        </w:rPr>
        <w:t>La seconda relazione reca l'elenco delle sedute con il rispettivo oggetto, ed è pertanto essa stessa uno strumento di designazione. Si estraggono le voci pertinenti al caso, ciascuna con seduta, data e oggetto.</w:t>
      </w:r>
    </w:p>
    <w:p>
      <w:pPr>
        <w:spacing w:line="276" w:lineRule="auto" w:after="120"/>
        <w:ind w:firstLine="425"/>
        <w:jc w:val="both"/>
      </w:pPr>
      <w:r>
        <w:rPr>
          <w:rFonts w:ascii="Times New Roman" w:hAnsi="Times New Roman" w:cs="Times New Roman" w:eastAsia="Times New Roman"/>
          <w:b w:val="0"/>
          <w:sz w:val="24"/>
        </w:rPr>
        <w:t>Nona seduta del nove marzo millenovecentonovantacinque, incontro di lavoro con tre magistrati che condussero le indagini sul caso nelle sue fasi recenti, sotto l'intitolazione degli ultimi sviluppi. È l'unico atto della serie nel quale i titolari delle tre istruttorie successive compaiono insieme dinanzi all'organo.</w:t>
      </w:r>
    </w:p>
    <w:p>
      <w:pPr>
        <w:spacing w:line="276" w:lineRule="auto" w:after="120"/>
        <w:ind w:firstLine="425"/>
        <w:jc w:val="both"/>
      </w:pPr>
      <w:r>
        <w:rPr>
          <w:rFonts w:ascii="Times New Roman" w:hAnsi="Times New Roman" w:cs="Times New Roman" w:eastAsia="Times New Roman"/>
          <w:b w:val="0"/>
          <w:sz w:val="24"/>
        </w:rPr>
        <w:t>Ventiduesima seduta del ventitré maggio millenovecentonovantacinque, audizione di un magistrato sulle vicende connesse al caso del falsario del comunicato apocrifo, sotto l'intitolazione congiunta degli ultimi sviluppi del caso e dei rapporti fra eversione e criminalità organizzata. L'organo riferisce che l'audito fornì informazioni sull'attività di un'associazione criminale romana e in particolare del pregiudicato ucciso nel settembre millenovecentottantaquattro.</w:t>
      </w:r>
    </w:p>
    <w:p>
      <w:pPr>
        <w:spacing w:line="276" w:lineRule="auto" w:after="120"/>
        <w:ind w:firstLine="425"/>
        <w:jc w:val="both"/>
      </w:pPr>
      <w:r>
        <w:rPr>
          <w:rFonts w:ascii="Times New Roman" w:hAnsi="Times New Roman" w:cs="Times New Roman" w:eastAsia="Times New Roman"/>
          <w:b w:val="0"/>
          <w:sz w:val="24"/>
        </w:rPr>
        <w:t>Questa è, per il filone del terzo soggetto, l'acquisizione più diretta dell'intera serie. La Voce ventiquattresima, iscritta dall'appendice quarta, domanda gli atti del procedimento-stralcio sul falsario. Qui si dispone in aggiunta di un'audizione parlamentare dedicata alla materia, con data, numero di seduta e qualità dell'audito. Un'audizione produce un resoconto stenografico, e un resoconto stenografico è un atto.</w:t>
      </w:r>
    </w:p>
    <w:p>
      <w:pPr>
        <w:spacing w:line="276" w:lineRule="auto" w:after="120"/>
        <w:ind w:firstLine="425"/>
        <w:jc w:val="both"/>
      </w:pPr>
      <w:r>
        <w:rPr>
          <w:rFonts w:ascii="Times New Roman" w:hAnsi="Times New Roman" w:cs="Times New Roman" w:eastAsia="Times New Roman"/>
          <w:b w:val="0"/>
          <w:sz w:val="24"/>
        </w:rPr>
        <w:t>Ventitreesima seduta del ventiquattro maggio millenovecentonovantacinque, audizione del magistrato titolare delle indagini sull'omicidio di un giornalista presso una Procura determinata, con acquisizione di materiale documentale di interesse. L'organo dichiara che di quella vicenda e dei suoi collegamenti con il caso si stava occupando quell'ufficio.</w:t>
      </w:r>
    </w:p>
    <w:p>
      <w:pPr>
        <w:spacing w:line="276" w:lineRule="auto" w:after="120"/>
        <w:ind w:firstLine="425"/>
        <w:jc w:val="both"/>
      </w:pPr>
      <w:r>
        <w:rPr>
          <w:rFonts w:ascii="Times New Roman" w:hAnsi="Times New Roman" w:cs="Times New Roman" w:eastAsia="Times New Roman"/>
          <w:b w:val="0"/>
          <w:sz w:val="24"/>
        </w:rPr>
        <w:t>Ventiquattresima seduta del sei giugno millenovecentonovantacinque, audizione di uno stretto collaboratore dello statista.</w:t>
      </w:r>
    </w:p>
    <w:p>
      <w:pPr>
        <w:spacing w:line="276" w:lineRule="auto" w:after="120"/>
        <w:ind w:firstLine="425"/>
        <w:jc w:val="both"/>
      </w:pPr>
      <w:r>
        <w:rPr>
          <w:rFonts w:ascii="Times New Roman" w:hAnsi="Times New Roman" w:cs="Times New Roman" w:eastAsia="Times New Roman"/>
          <w:b w:val="0"/>
          <w:sz w:val="24"/>
        </w:rPr>
        <w:t>Da quest'ultima discende l'acquisizione più circoscritta e più singolare della serie. L'organo dichiara che, a seguito delle risultanze di quell'audizione, l'Ufficio di Presidenza avvertì la necessità di acquisire una lettera consegnata il trenta luglio millenovecentonovantuno dall'allora Capo dello Stato al Presidente del Senato; che di tale lettera fu fatta richiesta, con riscontro positivo, alla Procura della Repubblica di Roma; e che quest'ufficio l'aveva nel frattempo acquisita dall'esecutore testamentario del destinatario.</w:t>
      </w:r>
    </w:p>
    <w:p>
      <w:pPr>
        <w:spacing w:line="276" w:lineRule="auto" w:after="120"/>
        <w:ind w:firstLine="425"/>
        <w:jc w:val="both"/>
      </w:pPr>
      <w:r>
        <w:rPr>
          <w:rFonts w:ascii="Times New Roman" w:hAnsi="Times New Roman" w:cs="Times New Roman" w:eastAsia="Times New Roman"/>
          <w:b w:val="0"/>
          <w:sz w:val="24"/>
        </w:rPr>
        <w:t>Si osservi la catena: un'audizione del millenovecentonovantacinque produce la ricerca di una lettera del millenovecentonovantuno, la quale si trova non presso alcuno dei due corrispondenti ma presso una Procura, che l'aveva ottenuta da un esecutore testamentario. Quattro passaggi di custodia, tutti documentati, per un atto di due righe di descrizione. È il modello esatto di ciò che la Voce ventesima domanda, ed è l'esempio migliore disponibile del fatto che un atto si designa per la propria storia di custodia e non per il proprio autore soltanto.</w:t>
      </w:r>
    </w:p>
    <w:p>
      <w:pPr>
        <w:spacing w:line="276" w:lineRule="auto" w:after="120"/>
        <w:ind w:firstLine="425"/>
        <w:jc w:val="both"/>
      </w:pPr>
      <w:r>
        <w:rPr>
          <w:rFonts w:ascii="Times New Roman" w:hAnsi="Times New Roman" w:cs="Times New Roman" w:eastAsia="Times New Roman"/>
          <w:b w:val="0"/>
          <w:sz w:val="24"/>
        </w:rPr>
        <w:t>Voce trentunesima — I resoconti delle audizioni sul caso nella XII legislatura. Oggetto: i resoconti stenografici delle sedute nona, ventiduesima, ventitreesima e ventiquattresima della XII legislatura, con particolare riguardo a quella dedicata alle vicende connesse al caso del falsario. Sede: atti della Commissione presso l'archivio storico competente. Chiusura: acquisizione dei quattro resoconti. Smentita: la constatazione che gli incontri di lavoro non producessero resoconto stenografico, nel qual caso resterebbero i soli processi verbali, che attestano lo svolgimento e non il contenuto.</w:t>
      </w:r>
    </w:p>
    <w:p>
      <w:pPr>
        <w:spacing w:line="276" w:lineRule="auto" w:after="120"/>
        <w:ind w:firstLine="425"/>
        <w:jc w:val="both"/>
      </w:pPr>
      <w:r>
        <w:rPr>
          <w:rFonts w:ascii="Times New Roman" w:hAnsi="Times New Roman" w:cs="Times New Roman" w:eastAsia="Times New Roman"/>
          <w:b w:val="0"/>
          <w:sz w:val="24"/>
        </w:rPr>
        <w:t>Voce trentaduesima — La lettera del trenta luglio millenovecentonovantuno. Oggetto: la lettera consegnata in quella data dall'allora Capo dello Stato al Presidente del Senato, acquisita dalla Procura della Repubblica di Roma presso l'esecutore testamentario del destinatario e da questa trasmessa alla Commissione. Sede: atti della Commissione della XII legislatura; in origine, atti della Procura. Chiusura: reperimento del testo. Smentita: non ricorre, trattandosi di reperimento di un atto la cui esistenza e la cui via di custodia sono dichiarate dall'organo che lo acquisì.</w:t>
      </w:r>
    </w:p>
    <w:p>
      <w:pPr>
        <w:spacing w:line="276" w:lineRule="auto" w:after="120" w:before="240"/>
        <w:ind w:firstLine="0"/>
        <w:jc w:val="left"/>
      </w:pPr>
      <w:r>
        <w:rPr>
          <w:rFonts w:ascii="Times New Roman" w:hAnsi="Times New Roman" w:cs="Times New Roman" w:eastAsia="Times New Roman"/>
          <w:b/>
          <w:sz w:val="24"/>
        </w:rPr>
        <w:t>Parte sesta — Le richieste rivolte all'estero</w:t>
      </w:r>
    </w:p>
    <w:p>
      <w:pPr>
        <w:spacing w:line="276" w:lineRule="auto" w:after="120"/>
        <w:ind w:firstLine="425"/>
        <w:jc w:val="both"/>
      </w:pPr>
      <w:r>
        <w:rPr>
          <w:rFonts w:ascii="Times New Roman" w:hAnsi="Times New Roman" w:cs="Times New Roman" w:eastAsia="Times New Roman"/>
          <w:b w:val="0"/>
          <w:sz w:val="24"/>
        </w:rPr>
        <w:t>L'organo dichiara di avere deciso di acquisire ogni possibile ulteriore documentazione esistente in Italia o all'estero, e di avere avanzato richieste presso gli archivi del Ministero dell'interno e del Ministero degli affari esteri, nonché presso numerosi enti culturali e istituzioni pubbliche di uno Stato estero d'oltreoceano; e di essersi infine rivolto alle ambasciate di due Stati dell'area orientale, le quali hanno entrambe assicurato il proprio interessamento presso i competenti organi dei rispettivi governi.</w:t>
      </w:r>
    </w:p>
    <w:p>
      <w:pPr>
        <w:spacing w:line="276" w:lineRule="auto" w:after="120"/>
        <w:ind w:firstLine="425"/>
        <w:jc w:val="both"/>
      </w:pPr>
      <w:r>
        <w:rPr>
          <w:rFonts w:ascii="Times New Roman" w:hAnsi="Times New Roman" w:cs="Times New Roman" w:eastAsia="Times New Roman"/>
          <w:b w:val="0"/>
          <w:sz w:val="24"/>
        </w:rPr>
        <w:t>Questa dichiarazione tocca una delle lacune più antiche della tavola. La Scheda dedicata alla comunicazione straniera osservava che non risulta essere mai stata tentata la via rogatoriale su un punto determinato, e la qualificava come la lacuna procedurale più semplice da colmare fra quelle censite. La presente relazione non contraddice quell'osservazione, che riguardava una rogatoria su un oggetto specifico; essa documenta però che una via diversa e più generale — la richiesta per canale diplomatico — fu percorsa nel millenovecentonovantacinque verso tre destinazioni, e che due di esse risposero assicurando interessamento.</w:t>
      </w:r>
    </w:p>
    <w:p>
      <w:pPr>
        <w:spacing w:line="276" w:lineRule="auto" w:after="120"/>
        <w:ind w:firstLine="425"/>
        <w:jc w:val="both"/>
      </w:pPr>
      <w:r>
        <w:rPr>
          <w:rFonts w:ascii="Times New Roman" w:hAnsi="Times New Roman" w:cs="Times New Roman" w:eastAsia="Times New Roman"/>
          <w:b w:val="0"/>
          <w:sz w:val="24"/>
        </w:rPr>
        <w:t>L'esito di quelle richieste non è dichiarato in alcuna delle due relazioni, le quali si arrestano alla data della seconda. Si dichiara Stato Zero sull'esito, con sede determinata negli atti della medesima Commissione e nella sua relazione conclusiva.</w:t>
      </w:r>
    </w:p>
    <w:p>
      <w:pPr>
        <w:spacing w:line="276" w:lineRule="auto" w:after="120"/>
        <w:ind w:firstLine="425"/>
        <w:jc w:val="both"/>
      </w:pPr>
      <w:r>
        <w:rPr>
          <w:rFonts w:ascii="Times New Roman" w:hAnsi="Times New Roman" w:cs="Times New Roman" w:eastAsia="Times New Roman"/>
          <w:b w:val="0"/>
          <w:sz w:val="24"/>
        </w:rPr>
        <w:t>Voce trentatreesima — L'esito delle richieste documentali rivolte all'estero nel 1995. Oggetto: le risposte pervenute alle richieste avanzate presso enti e istituzioni pubbliche estere e per il tramite di due ambasciate, e la documentazione eventualmente acquisita per tale via. Sede: atti della Commissione della XII legislatura; archivi del Ministero degli affari esteri. Chiusura: reperimento delle risposte, comprese quelle negative. Smentita: non ricorre; si segnala che una risposta negativa chiude ugualmente la voce ed è acquisizione di pieno valore.</w:t>
      </w:r>
    </w:p>
    <w:p>
      <w:pPr>
        <w:spacing w:line="276" w:lineRule="auto" w:after="120" w:before="240"/>
        <w:ind w:firstLine="0"/>
        <w:jc w:val="left"/>
      </w:pPr>
      <w:r>
        <w:rPr>
          <w:rFonts w:ascii="Times New Roman" w:hAnsi="Times New Roman" w:cs="Times New Roman" w:eastAsia="Times New Roman"/>
          <w:b/>
          <w:sz w:val="24"/>
        </w:rPr>
        <w:t>Parte settima — Gli accessi ai fondi riservati</w:t>
      </w:r>
    </w:p>
    <w:p>
      <w:pPr>
        <w:spacing w:line="276" w:lineRule="auto" w:after="120"/>
        <w:ind w:firstLine="425"/>
        <w:jc w:val="both"/>
      </w:pPr>
      <w:r>
        <w:rPr>
          <w:rFonts w:ascii="Times New Roman" w:hAnsi="Times New Roman" w:cs="Times New Roman" w:eastAsia="Times New Roman"/>
          <w:b w:val="0"/>
          <w:sz w:val="24"/>
        </w:rPr>
        <w:t>La seconda relazione dedica un paragrafo agli accessi agli archivi riservati di organi dello Stato, e ne riferisce nei termini seguenti. Dopo che il Ministro dell'interno aveva manifestato in sede di audizione piena disponibilità, furono raggiunte le intese per consentire che alcuni consulenti appositamente accreditati visionassero la documentazione esistente presso quel Dicastero, compresa quella riservata e non versata all'archivio storico dello Stato. L'ambito prevalente della ricerca fu quello delle formazioni paramilitari attive in Italia a partire dal secondo dopoguerra. La ricerca fu poi estesa ai fondi riservati dell'archivio centrale dello Stato, al materiale esistente presso la Presidenza del Consiglio e all'archivio storico dello Stato maggiore dell'Esercito.</w:t>
      </w:r>
    </w:p>
    <w:p>
      <w:pPr>
        <w:spacing w:line="276" w:lineRule="auto" w:after="120"/>
        <w:ind w:firstLine="425"/>
        <w:jc w:val="both"/>
      </w:pPr>
      <w:r>
        <w:rPr>
          <w:rFonts w:ascii="Times New Roman" w:hAnsi="Times New Roman" w:cs="Times New Roman" w:eastAsia="Times New Roman"/>
          <w:b w:val="0"/>
          <w:sz w:val="24"/>
        </w:rPr>
        <w:t>Si registra il fatto e lo si qualifica rispetto alla regolarità che il corpus maggiore ha iscritta fra le proprie risultanze, secondo la quale nessun archivio di apparato si è aperto per iniziativa propria e le aperture sono conseguite a pressione esterna.</w:t>
      </w:r>
    </w:p>
    <w:p>
      <w:pPr>
        <w:spacing w:line="276" w:lineRule="auto" w:after="120"/>
        <w:ind w:firstLine="425"/>
        <w:jc w:val="both"/>
      </w:pPr>
      <w:r>
        <w:rPr>
          <w:rFonts w:ascii="Times New Roman" w:hAnsi="Times New Roman" w:cs="Times New Roman" w:eastAsia="Times New Roman"/>
          <w:b w:val="0"/>
          <w:sz w:val="24"/>
        </w:rPr>
        <w:t>Il caso qui documentato è coerente con quella regolarità e non la contraddice. L'apertura fu preceduta da una audizione del Ministro dinanzi all'organo d'inchiesta, cioè dall'esercizio di un potere ispettivo, e fu regolata da intese e da accreditamento nominativo di consulenti. Essa non fu un versamento e non fu una desecretazione: fu una visione consentita a persone determinate. Ne segue che ciò che quei consulenti videro è documentato, se lo è, negli elaborati che ne redassero, e non in un inventario pubblico.</w:t>
      </w:r>
    </w:p>
    <w:p>
      <w:pPr>
        <w:spacing w:line="276" w:lineRule="auto" w:after="120"/>
        <w:ind w:firstLine="425"/>
        <w:jc w:val="both"/>
      </w:pPr>
      <w:r>
        <w:rPr>
          <w:rFonts w:ascii="Times New Roman" w:hAnsi="Times New Roman" w:cs="Times New Roman" w:eastAsia="Times New Roman"/>
          <w:b w:val="0"/>
          <w:sz w:val="24"/>
        </w:rPr>
        <w:t>Voce trentaquattresima — La documentazione degli accessi ai fondi riservati. Oggetto: gli elaborati redatti dai consulenti accreditati a seguito degli accessi presso il Ministero dell'interno, l'archivio centrale dello Stato, la Presidenza del Consiglio e l'archivio storico dello Stato maggiore dell'Esercito, e l'indicazione dei fondi visionati. Sede: atti della Commissione della XII legislatura. Chiusura: reperimento degli elaborati e dell'elenco dei fondi. Smentita: la constatazione che gli accessi non produssero elaborati scritti, nel qual caso resterebbe accertato l'accesso e non il suo oggetto, e la voce si trasformerebbe nella richiesta dell'elenco dei fondi presso le sedi che li custodiscono.</w:t>
      </w:r>
    </w:p>
    <w:p>
      <w:pPr>
        <w:spacing w:line="276" w:lineRule="auto" w:after="120"/>
        <w:ind w:firstLine="425"/>
        <w:jc w:val="both"/>
      </w:pPr>
      <w:r>
        <w:rPr>
          <w:rFonts w:ascii="Times New Roman" w:hAnsi="Times New Roman" w:cs="Times New Roman" w:eastAsia="Times New Roman"/>
          <w:b w:val="0"/>
          <w:sz w:val="24"/>
        </w:rPr>
        <w:t>Si segnala che questa voce, benché l'ambito prevalente dichiarato non sia il caso, è di rilievo per il corpus maggiore più che per l'opera, poiché l'ambito dichiarato coincide con uno dei suoi oggetti principali.</w:t>
      </w:r>
    </w:p>
    <w:p>
      <w:pPr>
        <w:spacing w:line="276" w:lineRule="auto" w:after="120" w:before="240"/>
        <w:ind w:firstLine="0"/>
        <w:jc w:val="left"/>
      </w:pPr>
      <w:r>
        <w:rPr>
          <w:rFonts w:ascii="Times New Roman" w:hAnsi="Times New Roman" w:cs="Times New Roman" w:eastAsia="Times New Roman"/>
          <w:b/>
          <w:sz w:val="24"/>
        </w:rPr>
        <w:t>Parte ottava — Il quinto procedimento</w:t>
      </w:r>
    </w:p>
    <w:p>
      <w:pPr>
        <w:spacing w:line="276" w:lineRule="auto" w:after="120"/>
        <w:ind w:firstLine="425"/>
        <w:jc w:val="both"/>
      </w:pPr>
      <w:r>
        <w:rPr>
          <w:rFonts w:ascii="Times New Roman" w:hAnsi="Times New Roman" w:cs="Times New Roman" w:eastAsia="Times New Roman"/>
          <w:b w:val="0"/>
          <w:sz w:val="24"/>
        </w:rPr>
        <w:t>L'organo dichiara che la fase delle indagini preliminari del quinto procedimento si è conclusa con richiesta di rinvio a giudizio avanzata dai pubblici ministeri e accolta dal giudice per le indagini preliminari nei confronti di più imputati, e che il processo riguarderà fra l'altro l'identità della quarta persona presente nella base durante la detenzione.</w:t>
      </w:r>
    </w:p>
    <w:p>
      <w:pPr>
        <w:spacing w:line="276" w:lineRule="auto" w:after="120"/>
        <w:ind w:firstLine="425"/>
        <w:jc w:val="both"/>
      </w:pPr>
      <w:r>
        <w:rPr>
          <w:rFonts w:ascii="Times New Roman" w:hAnsi="Times New Roman" w:cs="Times New Roman" w:eastAsia="Times New Roman"/>
          <w:b w:val="0"/>
          <w:sz w:val="24"/>
        </w:rPr>
        <w:t>Si registra il solo fatto processuale e nulla oltre. Un rinvio a giudizio non è un accertamento e non conferisce grado ad alcuna proposizione sul merito. L'esito di quel processo non è stabilito dalle presenti fonti, che si arrestano al luglio millenovecentonovantacinque, e l'opera non lo desume. Si segnala che tale esito è, alla data odierna, materia di giudicato e che la sua acquisizione per estremi appartiene alla classe delle sentenze già iscritte.</w:t>
      </w:r>
    </w:p>
    <w:p>
      <w:pPr>
        <w:spacing w:line="276" w:lineRule="auto" w:after="120" w:before="240"/>
        <w:ind w:firstLine="0"/>
        <w:jc w:val="left"/>
      </w:pPr>
      <w:r>
        <w:rPr>
          <w:rFonts w:ascii="Times New Roman" w:hAnsi="Times New Roman" w:cs="Times New Roman" w:eastAsia="Times New Roman"/>
          <w:b/>
          <w:sz w:val="24"/>
        </w:rPr>
        <w:t>Parte nona — Mutazioni di stato e Stati Zero</w:t>
      </w:r>
    </w:p>
    <w:p>
      <w:pPr>
        <w:spacing w:line="276" w:lineRule="auto" w:after="120"/>
        <w:ind w:firstLine="425"/>
        <w:jc w:val="both"/>
      </w:pPr>
      <w:r>
        <w:rPr>
          <w:rFonts w:ascii="Times New Roman" w:hAnsi="Times New Roman" w:cs="Times New Roman" w:eastAsia="Times New Roman"/>
          <w:b w:val="0"/>
          <w:sz w:val="24"/>
        </w:rPr>
        <w:t>Si iscrivono le Voci trentunesima, trentaduesima, trentatreesima e trentaquattresima. Si enuncia l'undicesima regola della risalita. Si dispone la designazione delle relazioni per l'organo che le approva e non per la sede alla quale sono trasmesse. Nessun grado di alcuna proposizione dell'opera muta, e il fondamento del grado intermedio conferito alle ricostruzioni parlamentari passa dalla cautela dell'autore alla dichiarazione della fonte.</w:t>
      </w:r>
    </w:p>
    <w:p>
      <w:pPr>
        <w:spacing w:line="276" w:lineRule="auto" w:after="120"/>
        <w:ind w:firstLine="425"/>
        <w:jc w:val="both"/>
      </w:pPr>
      <w:r>
        <w:rPr>
          <w:rFonts w:ascii="Times New Roman" w:hAnsi="Times New Roman" w:cs="Times New Roman" w:eastAsia="Times New Roman"/>
          <w:b w:val="0"/>
          <w:sz w:val="24"/>
        </w:rPr>
        <w:t>Si dichiarano gli Stati Zero. Primo: la raccomandazione sul repertorio del Gabinetto non è menzionata nei due resoconti semestrali dell'organo destinatario; la sua esecuzione resta non accertata e la ricerca si sposta sugli indici di acquisizione e sulla relazione conclusiva della XII legislatura, non posseduti. Secondo: l'esito delle richieste rivolte all'estero non è dichiarato. Terzo: gli elaborati dei consulenti accreditati non sono individuati. Quarto: il contenuto di nessuna delle audizioni qui designate è esaminato, poiché se ne possiedono le intitolazioni e non i resoconti.</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quinta del giorno sul medesimo cantiere. Cantiere: designazione per atto delle fonti. Materia: le due relazioni semestrali della XII legislatura, e l'interrogazione dell'organismo successore sulla raccomandazione rimasta in sospeso.</w:t>
      </w:r>
    </w:p>
    <w:p>
      <w:pPr>
        <w:spacing w:line="276" w:lineRule="auto" w:after="120"/>
        <w:ind w:firstLine="425"/>
        <w:jc w:val="both"/>
      </w:pPr>
      <w:r>
        <w:rPr>
          <w:rFonts w:ascii="Times New Roman" w:hAnsi="Times New Roman" w:cs="Times New Roman" w:eastAsia="Times New Roman"/>
          <w:b w:val="0"/>
          <w:sz w:val="24"/>
        </w:rPr>
        <w:t>Esito positivo: acquisizione della dichiarazione con la quale l'organo definisce il proprio standard probatorio come deliberatamente diverso e più largo di quello della prova processuale, con conseguente consolidamento del fondamento del grado intermedio conferito alle ricostruzioni parlamentari; accertamento che le relazioni delle Commissioni non furono mai poste all'ordine del giorno di alcuna Assemblea, con conseguente disposizione sulla loro designazione; accertamento della discontinuità di composizione fra legislature, con la conseguenza che le conclusioni successive non si sommano come strati di un accertamento progressivo; individuazione per seduta, data e oggetto di quattro atti pertinenti al caso, fra i quali un'audizione dedicata alle vicende connesse al falsario; individuazione della lettera del trenta luglio millenovecentonovantuno con la sua intera catena di custodia; documentazione delle richieste rivolte nel millenovecentonovantacinque a enti esteri e a due ambasciate; documentazione degli accessi ai fondi riservati di quattro sedi; enunciazione dell'undicesima regola della risalita; quattro voci nuove iscritte in tavola.</w:t>
      </w:r>
    </w:p>
    <w:p>
      <w:pPr>
        <w:spacing w:line="276" w:lineRule="auto" w:after="120"/>
        <w:ind w:firstLine="425"/>
        <w:jc w:val="both"/>
      </w:pPr>
      <w:r>
        <w:rPr>
          <w:rFonts w:ascii="Times New Roman" w:hAnsi="Times New Roman" w:cs="Times New Roman" w:eastAsia="Times New Roman"/>
          <w:b w:val="0"/>
          <w:sz w:val="24"/>
        </w:rPr>
        <w:t>Esito negativo: la raccomandazione sul repertorio generale del Gabinetto non è menzionata dall'organo destinatario nei due resoconti del proprio primo anno; l'esito delle richieste all'estero non è dichiarato; gli elaborati degli accessi riservati non sono individuati; nessun resoconto stenografico è posseduto.</w:t>
      </w:r>
    </w:p>
    <w:p>
      <w:pPr>
        <w:spacing w:line="276" w:lineRule="auto" w:after="120"/>
        <w:ind w:firstLine="425"/>
        <w:jc w:val="both"/>
      </w:pPr>
      <w:r>
        <w:rPr>
          <w:rFonts w:ascii="Times New Roman" w:hAnsi="Times New Roman" w:cs="Times New Roman" w:eastAsia="Times New Roman"/>
          <w:b w:val="0"/>
          <w:sz w:val="24"/>
        </w:rPr>
        <w:t>Riga di restringimento. Lo Stato Zero dichiarato dall'appendice sesta non si chiude e cambia forma: da indeterminato a determinato, con indicazione delle due sedi presso le quali l'esecuzione della raccomandazione va cercata. Si registra che un esito negativo che restringa il campo di ricerca è acquisizione di pieno valore, e che è il quarto della giornata.</w:t>
      </w:r>
    </w:p>
    <w:p>
      <w:pPr>
        <w:spacing w:line="276" w:lineRule="auto" w:after="120"/>
        <w:ind w:firstLine="425"/>
        <w:jc w:val="both"/>
      </w:pPr>
      <w:r>
        <w:rPr>
          <w:rFonts w:ascii="Times New Roman" w:hAnsi="Times New Roman" w:cs="Times New Roman" w:eastAsia="Times New Roman"/>
          <w:b w:val="0"/>
          <w:sz w:val="24"/>
        </w:rPr>
        <w:t>Riga di avvertenza. Le persone menzionate nelle fonti qui impiegate lo sono in quanto i loro nomi o le loro qualità appartengono agli estremi degli atti. Il rinvio a giudizio riferito alla Parte ottava è un fatto processuale e non un accertamento, e il presente atto non ne desume alcuna responsabilità, né riferisce le imputazioni. L'organo la cui relazione qui si esamina dichiara di adottare per le proprie valutazioni uno standard diverso da quello della prova: chi impieghi le sue conclusioni tenga ferma quella dichiarazione, che l'organo ha reso di propria iniziativa e in apertura.</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SETTIMA ALLA FASE SETTIMA, l'organismo successore e la dichiarazione del proprio standard, quindici agosto duemilaventisei. I settanta Capitoli restano settanta. Le redazioni anteriori non sono modificate: le pietre deposte non si scalpellano. Resta sovrana la Regola di Ferro: dove la fonte documenta, l'opera certifica; dove la fonte tace, l'opera indaga e non afferma. Quando un organo dichiara il proprio standard, il grado delle sue ricostruzioni si fissa su quella dichiarazione: la sede conferisce pubblicità e non conferisce grado.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