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Con l'ingresso della base denominata Registro Integrale V-sessantatre - le oltre cinquecento schede-nodo, il connettoma generale, i registri di metodo e di verifica - il corpus ITALIA NERA dispone finalmente di due misure indipendenti della propria struttura, e questo documento le mette a confronto per adempiere alla consegna di triangolare tutto. La prima misura e' quella che il corpus aveva prodotto da se', alla voce quarantasei, classificando i personaggi per numero di menzioni sull'intero testo. La seconda e' quella che l'autore ha costruito nel connettoma, misurando il grado sinaptico di ciascun nodo, ossia il numero di neuroni distinti con cui esso e' connesso attraverso i tredici registri della Conoscenza di Progetto. Che due metodi cosi' diversi, l'uno testuale e l'altro relazionale, siano ora applicabili al medesimo oggetto e' la condizione perche' la loro convergenza, dove si dia, valga come la piu' solida delle certificazioni.</w:t>
      </w:r>
    </w:p>
    <w:p>
      <w:pPr>
        <w:spacing w:line="276" w:lineRule="auto" w:before="0" w:after="0"/>
        <w:ind w:firstLine="425"/>
        <w:jc w:val="both"/>
      </w:pPr>
      <w:r>
        <w:rPr>
          <w:rFonts w:ascii="Times New Roman" w:hAnsi="Times New Roman" w:cs="Times New Roman" w:eastAsia="Times New Roman"/>
          <w:b w:val="0"/>
          <w:sz w:val="24"/>
        </w:rPr>
        <w:t>Il connettoma consegna, ai primi posti per grado sinaptico, una gerarchia precisa: la Central Intelligence Agency, con grado centocinquantanove; Licio Gelli, con grado centocinquantadue; Aldo Moro, con centocinquantuno; Giulio Andreotti, con centoquarantasei; Lucky Luciano, con centoquarantatre; Donald Trump, con centoventinove; Stefano Delle Chiaie, con centoventidue; Giovanni Falcone, con centodiciotto; Michele Sindona e il Banco Ambrosiano, con centotredici ciascuno; il servizio militare denominato con la sigla di quattro lettere, con centoundici; Ordine Nuovo, con centonove; il precedente servizio informazioni della difesa, con centocinque; Salvo Lima, con centotre; e a seguire Giuliano Di Bernardo, Gian Adelio Maletti, Salvatore Riina, Giovanni Gioia, la Banda della Magliana e Augusto Pinochet. E' una geografia del potere assai diversa, a prima vista, da quella che la mia classifica per frequenza aveva restituito, e nella quale primeggiavano il fondatore di Aginter, il capo del regime sudafricano, i nazisti riciclati e gli ideologi dell'eurasiatismo.</w:t>
      </w:r>
    </w:p>
    <w:p>
      <w:pPr>
        <w:spacing w:line="276" w:lineRule="auto" w:before="0" w:after="0"/>
        <w:ind w:firstLine="425"/>
        <w:jc w:val="both"/>
      </w:pPr>
      <w:r>
        <w:rPr>
          <w:rFonts w:ascii="Times New Roman" w:hAnsi="Times New Roman" w:cs="Times New Roman" w:eastAsia="Times New Roman"/>
          <w:b w:val="0"/>
          <w:sz w:val="24"/>
        </w:rPr>
        <w:t>La divergenza, lungi dall'essere un difetto, e' la chiave interpretativa dell'intero corpus, e va spiegata con esattezza. La mia classifica contava la frequenza di menzione su un corpus testuale il cui volume e' dominato dalle monografie sulla galassia nera internazionale, ed essa illumina percio' il lobo internazionale dell'opera, quello che nasce dalla scuola di Aginter e si irradia nell'apartheid, nella diaspora nazista e nell'eurasiatismo. Il connettoma dell'autore misura invece il grado di connessione sui tredici registri, che sono centrati sull'intreccio italiano fra Stato, mafia, massoneria, Vaticano e finanza, ed esso illumina percio' il lobo istituzionale italiano, quello dello Stato profondo. I due metodi non si contraddicono: vedono i due lobi del medesimo corpo da due punti di osservazione diversi, e la loro divergenza e' la prova che il corpus e' effettivamente bicefalo, come le triangolazioni precedenti avevano concluso.</w:t>
      </w:r>
    </w:p>
    <w:p>
      <w:pPr>
        <w:spacing w:line="276" w:lineRule="auto" w:before="0" w:after="0"/>
        <w:ind w:firstLine="425"/>
        <w:jc w:val="both"/>
      </w:pPr>
      <w:r>
        <w:rPr>
          <w:rFonts w:ascii="Times New Roman" w:hAnsi="Times New Roman" w:cs="Times New Roman" w:eastAsia="Times New Roman"/>
          <w:b w:val="0"/>
          <w:sz w:val="24"/>
        </w:rPr>
        <w:t>Dove i due metodi convergono, la certificazione e' massima. Entrambi collocano ai vertici, senza eccezione, sei figure: Licio Gelli, Aldo Moro, Stefano Delle Chiaie, Giulio Andreotti, Augusto Pinochet e l'organizzazione Ordine Nuovo. Questo nucleo di hub e' dunque stabile attraverso una misura testuale e una misura relazionale, ed e' il vero centro di gravita' dell'intera opera: il punto in cui il lobo internazionale e quello istituzionale si toccano. Non a caso due dei sei, Delle Chiaie e Ordine Nuovo, appartengono al dominio dell'eversione nera, che e' precisamente la cerniera fra i due mondi; e non a caso Donald Trump, che il connettoma colloca al sesto posto per grado, e' l'aggancio alla dorsale euroasiatica che le triangolazioni sulla keyword Putin avevano gia' isolato come l'unico ponte reale verso Oriente.</w:t>
      </w:r>
    </w:p>
    <w:p>
      <w:pPr>
        <w:spacing w:line="276" w:lineRule="auto" w:before="0" w:after="0"/>
        <w:ind w:firstLine="425"/>
        <w:jc w:val="both"/>
      </w:pPr>
      <w:r>
        <w:rPr>
          <w:rFonts w:ascii="Times New Roman" w:hAnsi="Times New Roman" w:cs="Times New Roman" w:eastAsia="Times New Roman"/>
          <w:b w:val="0"/>
          <w:sz w:val="24"/>
        </w:rPr>
        <w:t>Il connettoma non fornisce soltanto una gerarchia di nodi, ma anche una gerarchia di sinapsi fra domini, ed e' qui che esso si salda in modo piu' fecondo alle triangolazioni gia' compiute dal corpus, poiche' le sue sinapsi piu' intense sono, tradotte in prosa, i ponti che l'opera aveva descritto. La sinapsi fra il servizio informazioni della difesa e Ordine Nuovo, con intensita' centoquarantuno, e' la porosita' fra lo Stato e l'eversione che il corpus aveva certificato nella figura di Guido Giannettini, insieme agente del servizio e teorico ordinovista. Il quadrilatero che lega Gelli a Sindona, lo Istituto per le Opere di Religione a Sindona e al Banco Ambrosiano, e di nuovo Gelli allo Istituto, con intensita' comprese fra centouno e centotrentacinque, e' il cluster della loggia, del Vaticano e della finanza, in parte gia' noto al corpus attraverso la figura di Gelli mandante della strage di Bologna, e in parte da triangolare come innesto nuovo. E la sinapsi fra Andreotti e Falcone, con centodiciannove, e' la tensione fra il potere politico e la magistratura antimafia, che apre al corpus un dominio, quello della giustizia, sin qui poco battuto.</w:t>
      </w:r>
    </w:p>
    <w:p>
      <w:pPr>
        <w:spacing w:line="276" w:lineRule="auto" w:before="0" w:after="0"/>
        <w:ind w:firstLine="425"/>
        <w:jc w:val="both"/>
      </w:pPr>
      <w:r>
        <w:rPr>
          <w:rFonts w:ascii="Times New Roman" w:hAnsi="Times New Roman" w:cs="Times New Roman" w:eastAsia="Times New Roman"/>
          <w:b w:val="0"/>
          <w:sz w:val="24"/>
        </w:rPr>
        <w:t>Proprio la comparazione dei domini impone una riconciliazione tassonomica che va dichiarata. La base V-sessantatre e' la tassonomia autoritativa, poiche' e' quella su cui le schede sono state materialmente classificate, e nella massima parte essa coincide con lo schema che il corpus aveva adottato nel registro analitico integrale dei nodi. Coincidono il primo dominio, della criminalita' organizzata; il secondo, degli attori geopolitici e dei regimi; il terzo, dell'intelligence e dei servizi; il quarto, della massoneria; il quinto, della religione, cui appartiene lo Istituto per le Opere di Religione; il sesto, delle reti bancarie e della finanza; il settimo, dell'eversione nera; l'ottavo, dei media; il nono, degli assi militari. Diverge il decimo: che nel mio registro era stato dedicato alle matrici dottrinali e religiose, mentre nella base V-sessantatre e' il dominio della magistratura e della giustizia, popolato da Falcone, da Caponnetto, da Terranova, da Saetta e da Caccia. Poiche' la base V-sessantatre e' autoritativa, il registro analitico integrale, prodotto alla voce quarantasette, va riallineato al decimo dominio della magistratura, e le matrici dottrinali vanno ricondotte al quinto o trattate come materia tematica.</w:t>
      </w:r>
    </w:p>
    <w:p>
      <w:pPr>
        <w:spacing w:line="276" w:lineRule="auto" w:before="0" w:after="0"/>
        <w:ind w:firstLine="425"/>
        <w:jc w:val="both"/>
      </w:pPr>
      <w:r>
        <w:rPr>
          <w:rFonts w:ascii="Times New Roman" w:hAnsi="Times New Roman" w:cs="Times New Roman" w:eastAsia="Times New Roman"/>
          <w:b w:val="0"/>
          <w:sz w:val="24"/>
        </w:rPr>
        <w:t>L'ingresso della base V-sessantatre porta con se' anche innesti tematici nuovi, che ampliano il corpus in due direzioni sin qui poco esplorate. Il documento intitolato Il Sacro e l'Eversione, insieme al dossier sui cosiddetti maestri cosmici, apre il versante dell'esoterismo, della religione e della metafisica nella storia nera, e si aggancia in modo naturale alla matrice religiosa che la prima Fase dell'opera monumentale aveva riconosciuto in Ordre et Tradition e nella dottrina della Cite Catholique. Il documento sul canale petrolifero, imperniato sul nodo Chiavelli, sul contratto denominato Lucina e sulla rete degli intermediari privati, apre il versante dell'energia e dell'industria petrolifera italiana, e si triangola tanto con la dorsale del gas e dell'energia gia' isolata nelle triangolazioni euroasiatiche, quanto con il dominio della finanza, ove siedono Sindona e il Banco Ambrosiano. Entrambi gli innesti sono accolti al grado del probabile, in attesa della verifica di dettaglio.</w:t>
      </w:r>
    </w:p>
    <w:p>
      <w:pPr>
        <w:spacing w:line="276" w:lineRule="auto" w:before="0" w:after="0"/>
        <w:ind w:firstLine="425"/>
        <w:jc w:val="both"/>
      </w:pPr>
      <w:r>
        <w:rPr>
          <w:rFonts w:ascii="Times New Roman" w:hAnsi="Times New Roman" w:cs="Times New Roman" w:eastAsia="Times New Roman"/>
          <w:b w:val="0"/>
          <w:sz w:val="24"/>
        </w:rPr>
        <w:t>Rimane da enunciare cio' che la triangolazione totale conferma e cio' che essa corregge, poiche' la lealta' del metodo esige che si dica l'uno e l'altro. Conferma, in modo ormai ridondante e per cio' stesso robusto, il verdetto-cardine dell'intera opera: la convergenza di milieu e di sistema e' certificata, ora da due metodi indipendenti; la catena di comando unica non e' provata; e l'arco negativo che separa la galassia nera atlantista dal vertice russo permane, giacche' la prima ne e' l'antipode, e l'unico ponte resta quello euroasiatico del crimine e dell'energia, oggi rafforzato dalla posizione elevata di Donald Trump nel connettoma e dal nuovo nodo del canale petrolifero. Corregge, invece, un eccesso di fiducia nella metrica testuale: la sinapsi piu' intensa dell'intero connettoma, con intensita' centonovantatre, lega due nodi che portano la medesima sigla di tre lettere ma designano cose diverse, un'organizzazione criminale brasiliana e un partito comunista caraibico, ed e' dunque un reperto di omonimia e non un ponte storico. Che anche il connettoma, come il corpus, vada letto con lo statuto Savona, distinguendo la co-occorrenza di una sigla dal nesso di una cosa, e' forse la lezione piu' preziosa di questa comparazione: nessuna misura, per quanto raffinata, dispensa dal giudizio.</w:t>
      </w:r>
    </w:p>
    <w:p>
      <w:pPr>
        <w:spacing w:line="276" w:lineRule="auto" w:before="0" w:after="0"/>
        <w:ind w:firstLine="425"/>
        <w:jc w:val="both"/>
      </w:pPr>
      <w:r>
        <w:rPr>
          <w:rFonts w:ascii="Times New Roman" w:hAnsi="Times New Roman" w:cs="Times New Roman" w:eastAsia="Times New Roman"/>
          <w:b w:val="0"/>
          <w:sz w:val="24"/>
        </w:rPr>
        <w:t>La triangolazione totale si consegna dunque con un doppio esito. Sul piano dei risultati, essa mostra che due metodi indipendenti, applicati al medesimo corpus, convergono sul nucleo degli hub dello Stato profondo italiano e insieme rivelano la sua natura bicefala, con il lobo internazionale e quello istituzionale saldati dalla cerniera dell'eversione nera e affacciati sulla dorsale euroasiatica per il tramite del nodo Trump. Sul piano del metodo, essa mostra che la disciplina probatoria non e' un ornamento dell'analisi ma la sua sostanza, e che la stessa Regola di Ferro governa tanto il connettoma dell'autore quanto le verifiche del corpus: dove la fonte documenta, l'opera certifica; dove la fonte tace, l'opera indaga e non afferma; e dove una sigla inganna, l'opera distingue. Il vincolo sulle fonti e' stato rispettato in ogni pagina, senza alcuna interrogazione in rete e senza alcun uso di Grokipedia ne' del quotidiano il manifesto.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corpus/opera/ITALIA_NERA_REGISTRO_SINAPTICO_GENERALE_2AGO2026.docx</w:t>
      </w:r>
    </w:p>
    <w:p>
      <w:pPr>
        <w:spacing w:line="276" w:lineRule="auto" w:before="0" w:after="0"/>
        <w:ind w:firstLine="425"/>
        <w:jc w:val="both"/>
      </w:pPr>
      <w:r>
        <w:rPr>
          <w:rFonts w:ascii="Times New Roman" w:hAnsi="Times New Roman" w:cs="Times New Roman" w:eastAsia="Times New Roman"/>
          <w:b w:val="0"/>
          <w:sz w:val="24"/>
        </w:rPr>
        <w:t>corpus/opera/nodi/ (556 schede-nodo del Registro Integrale V-sessantatre)</w:t>
      </w:r>
    </w:p>
    <w:p>
      <w:pPr>
        <w:spacing w:line="276" w:lineRule="auto" w:before="0" w:after="0"/>
        <w:ind w:firstLine="425"/>
        <w:jc w:val="both"/>
      </w:pPr>
      <w:r>
        <w:rPr>
          <w:rFonts w:ascii="Times New Roman" w:hAnsi="Times New Roman" w:cs="Times New Roman" w:eastAsia="Times New Roman"/>
          <w:b w:val="0"/>
          <w:sz w:val="24"/>
        </w:rPr>
        <w:t>corpus/opera/ITALIA_NERA_REGISTRO_TRIANGOLAZIONE_CORPUS.docx</w:t>
      </w:r>
    </w:p>
    <w:p>
      <w:pPr>
        <w:spacing w:line="276" w:lineRule="auto" w:before="0" w:after="0"/>
        <w:ind w:firstLine="425"/>
        <w:jc w:val="both"/>
      </w:pPr>
      <w:r>
        <w:rPr>
          <w:rFonts w:ascii="Times New Roman" w:hAnsi="Times New Roman" w:cs="Times New Roman" w:eastAsia="Times New Roman"/>
          <w:b w:val="0"/>
          <w:sz w:val="24"/>
        </w:rPr>
        <w:t>corpus/opera/ITALIA_NERA_IL_SACRO_E_L_EVERSIONE.docx</w:t>
      </w:r>
    </w:p>
    <w:p>
      <w:pPr>
        <w:spacing w:line="276" w:lineRule="auto" w:before="0" w:after="0"/>
        <w:ind w:firstLine="425"/>
        <w:jc w:val="both"/>
      </w:pPr>
      <w:r>
        <w:rPr>
          <w:rFonts w:ascii="Times New Roman" w:hAnsi="Times New Roman" w:cs="Times New Roman" w:eastAsia="Times New Roman"/>
          <w:b w:val="0"/>
          <w:sz w:val="24"/>
        </w:rPr>
        <w:t>corpus/opera/ITALIA_NERA_CANALE_PETROLIFERO_DIECI_CAPITOLI.docx</w:t>
      </w:r>
    </w:p>
    <w:p>
      <w:pPr>
        <w:spacing w:line="276" w:lineRule="auto" w:before="0" w:after="0"/>
        <w:ind w:firstLine="425"/>
        <w:jc w:val="both"/>
      </w:pPr>
      <w:r>
        <w:rPr>
          <w:rFonts w:ascii="Times New Roman" w:hAnsi="Times New Roman" w:cs="Times New Roman" w:eastAsia="Times New Roman"/>
          <w:b w:val="0"/>
          <w:sz w:val="24"/>
        </w:rPr>
        <w:t>corpus/opera/ITALIA_NERA_Registro_Verifica_Triangolazione_V-sessantatre.pdf</w:t>
      </w:r>
    </w:p>
    <w:p>
      <w:pPr>
        <w:spacing w:line="276" w:lineRule="auto" w:before="0" w:after="0"/>
        <w:ind w:firstLine="425"/>
        <w:jc w:val="both"/>
      </w:pPr>
      <w:r>
        <w:rPr>
          <w:rFonts w:ascii="Times New Roman" w:hAnsi="Times New Roman" w:cs="Times New Roman" w:eastAsia="Times New Roman"/>
          <w:b w:val="0"/>
          <w:sz w:val="24"/>
        </w:rPr>
        <w:t>corpus/diagnostica/ITALIA_NERA_REGISTRO_VERIFICHE_DOCUMENTALI.xlsx (voci 44-48, 56-57)</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