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425"/>
        <w:jc w:val="both"/>
      </w:pPr>
      <w:r>
        <w:rPr>
          <w:rFonts w:ascii="Times New Roman" w:hAnsi="Times New Roman" w:cs="Times New Roman" w:eastAsia="Times New Roman"/>
          <w:b w:val="0"/>
          <w:sz w:val="24"/>
        </w:rPr>
        <w:t>Nona nota della campagna, e prima di quelle dedicate ai documenti privi di apparato interno. Il testo è un imponente repertorio prosopografico — oltre cinquemila righe — che schedano uno per uno i membri della famiglia Genovese negli anni fra il Trenta e il Cinquanta, con alias, parentele, precedenti penali e fonti indicate voce per voce. Non è una monografia argomentata ma un inventario grezzo, e come tale va verificato con lo stesso metodo già adottato per le reti russe nella nota quarta: si riscontra la spina storica al grado pieno e si tratta la lunghissima coda anagrafica come elenco di piste. Il controllo è del sei agosto duemilaventisei.</w:t>
      </w:r>
    </w:p>
    <w:p>
      <w:pPr>
        <w:spacing w:line="276" w:lineRule="auto" w:before="0" w:after="0"/>
        <w:ind w:firstLine="425"/>
        <w:jc w:val="both"/>
      </w:pPr>
      <w:r>
        <w:rPr>
          <w:rFonts w:ascii="Times New Roman" w:hAnsi="Times New Roman" w:cs="Times New Roman" w:eastAsia="Times New Roman"/>
          <w:b/>
          <w:sz w:val="24"/>
        </w:rPr>
        <w:t>La spina storica regge al grado pieno.</w:t>
      </w:r>
      <w:r>
        <w:rPr>
          <w:rFonts w:ascii="Times New Roman" w:hAnsi="Times New Roman" w:cs="Times New Roman" w:eastAsia="Times New Roman"/>
          <w:b w:val="0"/>
          <w:sz w:val="24"/>
        </w:rPr>
        <w:t xml:space="preserve"> Trovano riscontro puntuale la guerra castellammarese, il conflitto che dal Trenta al Trentuno oppose le fazioni di Giuseppe Masseria e Salvatore Maranzano con oltre sessanta morti, e la sua conclusione con l'uccisione di Masseria nell'aprile del millenovecentotrentuno e la successiva spartizione nelle cinque famiglie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la genealogia della famiglia da Luciano a Genovese, con la reggenza di Frank Costello dopo l'arresto di Luciano e la fuga di Genovese in Italia, e la lunga lotta di potere che, passando per l'attentato a Costello, consegnò la famiglia a Genovese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il divieto interno del traffico di stupefacenti entrato in vigore nel millenovecentoquarantotto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le udienze Kefauver del millenovecentocinquantuno e il conclave di Apalachin del millenovecentocinquantasette, con il centinaio di capi convenuti e i cinquantotto fermati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e la deposizione di Joseph Valachi nel millenovecentosessantatré, prima ammissione pubblica dell'esistenza dell'organizzazione </w:t>
      </w:r>
      <w:r>
        <w:rPr>
          <w:rFonts w:ascii="Times New Roman" w:hAnsi="Times New Roman" w:cs="Times New Roman" w:eastAsia="Times New Roman"/>
          <w:b/>
          <w:sz w:val="24"/>
        </w:rPr>
        <w:t>(Livello A)</w:t>
      </w:r>
      <w:r>
        <w:rPr>
          <w:rFonts w:ascii="Times New Roman" w:hAnsi="Times New Roman" w:cs="Times New Roman" w:eastAsia="Times New Roman"/>
          <w:b w:val="0"/>
          <w:sz w:val="24"/>
        </w:rPr>
        <w:t>. Su tutti questi cardini il documento è esatto, e le sue date collimano con la storiografia.</w:t>
      </w:r>
    </w:p>
    <w:p>
      <w:pPr>
        <w:spacing w:line="276" w:lineRule="auto" w:before="0" w:after="0"/>
        <w:ind w:firstLine="425"/>
        <w:jc w:val="both"/>
      </w:pPr>
      <w:r>
        <w:rPr>
          <w:rFonts w:ascii="Times New Roman" w:hAnsi="Times New Roman" w:cs="Times New Roman" w:eastAsia="Times New Roman"/>
          <w:b/>
          <w:sz w:val="24"/>
        </w:rPr>
        <w:t>La coda anagrafica va usata come inventario di piste, non come insieme di fatti accertati.</w:t>
      </w:r>
      <w:r>
        <w:rPr>
          <w:rFonts w:ascii="Times New Roman" w:hAnsi="Times New Roman" w:cs="Times New Roman" w:eastAsia="Times New Roman"/>
          <w:b w:val="0"/>
          <w:sz w:val="24"/>
        </w:rPr>
        <w:t xml:space="preserve"> Le centinaia di schede individuali poggiano su fonti disomogenee — la deposizione di Valachi, il rapporto dell'ufficio federale narcotici del millenovecentocinquanta, i registri dell'archivio nazionale statunitense e i censimenti, gli alberi genealogici della famiglia del Sessantatré, del Settantacinque, dell'Ottantatré e dell'Ottantanove, e una manciata di libri divulgativi. Il compilatore stesso è onestamente incerto, e dissemina le voci di «probabilmente», «si ritiene», «non si sa altro», arrivando a registrare per uno stesso soggetto due date di morte alternative. Questi nominativi non sono verificabili uno per uno e vanno perciò tenuti al grado del materiale grezzo da riscontrare </w:t>
      </w:r>
      <w:r>
        <w:rPr>
          <w:rFonts w:ascii="Times New Roman" w:hAnsi="Times New Roman" w:cs="Times New Roman" w:eastAsia="Times New Roman"/>
          <w:b/>
          <w:sz w:val="24"/>
        </w:rPr>
        <w:t>(Livello B/C, non verificato voce per voce)</w:t>
      </w:r>
      <w:r>
        <w:rPr>
          <w:rFonts w:ascii="Times New Roman" w:hAnsi="Times New Roman" w:cs="Times New Roman" w:eastAsia="Times New Roman"/>
          <w:b w:val="0"/>
          <w:sz w:val="24"/>
        </w:rPr>
        <w:t>. La solidità varia molto: le voci ancorate ai censimenti e alle carte di naturalizzazione sono più affidabili delle molte fondate sulla sola memoria di Valachi, testimone di parte e interessato.</w:t>
      </w:r>
    </w:p>
    <w:p>
      <w:pPr>
        <w:spacing w:line="276" w:lineRule="auto" w:before="0" w:after="0"/>
        <w:ind w:firstLine="425"/>
        <w:jc w:val="both"/>
      </w:pPr>
      <w:r>
        <w:rPr>
          <w:rFonts w:ascii="Times New Roman" w:hAnsi="Times New Roman" w:cs="Times New Roman" w:eastAsia="Times New Roman"/>
          <w:b/>
          <w:sz w:val="24"/>
        </w:rPr>
        <w:t>Alcune singole attribuzioni vanno tenute al grado più basso.</w:t>
      </w:r>
      <w:r>
        <w:rPr>
          <w:rFonts w:ascii="Times New Roman" w:hAnsi="Times New Roman" w:cs="Times New Roman" w:eastAsia="Times New Roman"/>
          <w:b w:val="0"/>
          <w:sz w:val="24"/>
        </w:rPr>
        <w:t xml:space="preserve"> Il documento implica Giuseppe Bernava nell'omicidio del giornalista antifascista Carlo Tresca: è un nodo che tocca da vicino la materia dell'opera, ma l'attribuzione corrente di quell'assassinio punta ad altri esecutori per volontà dello stesso Genovese, sicché il coinvolgimento di Bernava, di fonte unica, va segnalato come pista e non come fatto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Allo stesso grado va tenuta la storia, dichiaratamente tratta da un solo libro, che fa d'un membro della famiglia il padre del cantante indicato nel testo </w:t>
      </w:r>
      <w:r>
        <w:rPr>
          <w:rFonts w:ascii="Times New Roman" w:hAnsi="Times New Roman" w:cs="Times New Roman" w:eastAsia="Times New Roman"/>
          <w:b/>
          <w:sz w:val="24"/>
        </w:rPr>
        <w:t>(Livello C)</w:t>
      </w:r>
      <w:r>
        <w:rPr>
          <w:rFonts w:ascii="Times New Roman" w:hAnsi="Times New Roman" w:cs="Times New Roman" w:eastAsia="Times New Roman"/>
          <w:b w:val="0"/>
          <w:sz w:val="24"/>
        </w:rPr>
        <w:t>. Sono esempi d'una categoria diffusa: l'aneddoto di provenienza libraria singola, che il repertorio riporta con lealtà citando la fonte ma che non può considerarsi verificato.</w:t>
      </w:r>
    </w:p>
    <w:p>
      <w:pPr>
        <w:spacing w:line="276" w:lineRule="auto" w:before="0" w:after="0"/>
        <w:ind w:firstLine="425"/>
        <w:jc w:val="both"/>
      </w:pPr>
      <w:r>
        <w:rPr>
          <w:rFonts w:ascii="Times New Roman" w:hAnsi="Times New Roman" w:cs="Times New Roman" w:eastAsia="Times New Roman"/>
          <w:b/>
          <w:sz w:val="24"/>
        </w:rPr>
        <w:t>Un ponte col corpus, e ciò che questo documento non prova.</w:t>
      </w:r>
      <w:r>
        <w:rPr>
          <w:rFonts w:ascii="Times New Roman" w:hAnsi="Times New Roman" w:cs="Times New Roman" w:eastAsia="Times New Roman"/>
          <w:b w:val="0"/>
          <w:sz w:val="24"/>
        </w:rPr>
        <w:t xml:space="preserve"> Questa fonte era già stata richiamata nella nota quarta come l'aggancio italo-americano del nesso fra la mafia russa di Brighton Beach — Evsei Agron e Marat Balagula — e le famiglie di Cosa Nostra. Va però detto con nettezza: il repertorio si ferma agli anni Cinquanta e non contiene quel nesso, che appartiene a un'epoca successiva ed è documentato nell'altra fonte, quella sulle reti russe. Questo documento fornisce dunque l'ancoraggio prosopografico della famiglia Genovese, ma non corrobora di per sé il ponte con Brighton Beach: l'incrocio resta da compiere sui materiali di epoca giusta, e va evitato di far dire a questo repertorio più di quanto contenga </w:t>
      </w:r>
      <w:r>
        <w:rPr>
          <w:rFonts w:ascii="Times New Roman" w:hAnsi="Times New Roman" w:cs="Times New Roman" w:eastAsia="Times New Roman"/>
          <w:b/>
          <w:sz w:val="24"/>
        </w:rPr>
        <w:t>(esistenza del ponte da verificare altrove; qui solo l'anello italo-americano di partenza)</w:t>
      </w:r>
      <w:r>
        <w:rPr>
          <w:rFonts w:ascii="Times New Roman" w:hAnsi="Times New Roman" w:cs="Times New Roman" w:eastAsia="Times New Roman"/>
          <w:b w:val="0"/>
          <w:sz w:val="24"/>
        </w:rPr>
        <w:t>.</w:t>
      </w:r>
    </w:p>
    <w:p>
      <w:pPr>
        <w:spacing w:line="276" w:lineRule="auto" w:before="0" w:after="0"/>
        <w:ind w:firstLine="425"/>
        <w:jc w:val="both"/>
      </w:pPr>
      <w:r>
        <w:rPr>
          <w:rFonts w:ascii="Times New Roman" w:hAnsi="Times New Roman" w:cs="Times New Roman" w:eastAsia="Times New Roman"/>
          <w:b/>
          <w:sz w:val="24"/>
        </w:rPr>
        <w:t>Verdetto complessivo.</w:t>
      </w:r>
      <w:r>
        <w:rPr>
          <w:rFonts w:ascii="Times New Roman" w:hAnsi="Times New Roman" w:cs="Times New Roman" w:eastAsia="Times New Roman"/>
          <w:b w:val="0"/>
          <w:sz w:val="24"/>
        </w:rPr>
        <w:t xml:space="preserve"> Repertorio prezioso come materiale di lavoro, esatto e pienamente utilizzabile sulla spina storica della famiglia Genovese — guerra castellammarese, successioni, divieto del Quarantotto, Kefauver, Apalachin, Valachi —, ma privo di un apparato di fonti unitario e composto per il resto da un inventario anagrafico di affidabilità disuguale. Va usato attingendo alla spina al grado pieno e trattando le schede individuali come elenco di piste da riscontrare, non come attribuzioni chiuse, con particolare cautela per gli aneddoti di fonte libraria singola come quello su Tresca. Se ne certifica la verifica con questo esito. È la nona voce del registro, e segnala che il ponte italo-russo indicato dalla nota quarta va cercato nelle fonti di epoca posteriore, non qui.</w:t>
      </w:r>
    </w:p>
    <w:p>
      <w:pPr>
        <w:spacing w:line="276" w:lineRule="auto" w:before="0" w:after="0"/>
        <w:ind w:firstLine="425"/>
        <w:jc w:val="both"/>
      </w:pPr>
      <w:r>
        <w:rPr>
          <w:rFonts w:ascii="Times New Roman" w:hAnsi="Times New Roman" w:cs="Times New Roman" w:eastAsia="Times New Roman"/>
          <w:b/>
          <w:sz w:val="24"/>
        </w:rPr>
        <w:t>Fonti e URL</w:t>
      </w:r>
    </w:p>
    <w:p>
      <w:pPr>
        <w:spacing w:line="276" w:lineRule="auto" w:before="0" w:after="0"/>
        <w:ind w:firstLine="425"/>
        <w:jc w:val="both"/>
      </w:pPr>
      <w:r>
        <w:rPr>
          <w:rFonts w:ascii="Times New Roman" w:hAnsi="Times New Roman" w:cs="Times New Roman" w:eastAsia="Times New Roman"/>
          <w:b w:val="0"/>
          <w:sz w:val="24"/>
        </w:rPr>
        <w:t>Castellammarese War (26 febbraio 1930 – 15 aprile 1931; oltre 60 morti) — https://en.wikipedia.org/wiki/Castellammarese_War</w:t>
      </w:r>
    </w:p>
    <w:p>
      <w:pPr>
        <w:spacing w:line="276" w:lineRule="auto" w:before="0" w:after="0"/>
        <w:ind w:firstLine="425"/>
        <w:jc w:val="both"/>
      </w:pPr>
      <w:r>
        <w:rPr>
          <w:rFonts w:ascii="Times New Roman" w:hAnsi="Times New Roman" w:cs="Times New Roman" w:eastAsia="Times New Roman"/>
          <w:b w:val="0"/>
          <w:sz w:val="24"/>
        </w:rPr>
        <w:t>Joe Masseria (ucciso il 15 aprile 1931) — https://en.wikipedia.org/wiki/Joe_Masseria</w:t>
      </w:r>
    </w:p>
    <w:p>
      <w:pPr>
        <w:spacing w:line="276" w:lineRule="auto" w:before="0" w:after="0"/>
        <w:ind w:firstLine="425"/>
        <w:jc w:val="both"/>
      </w:pPr>
      <w:r>
        <w:rPr>
          <w:rFonts w:ascii="Times New Roman" w:hAnsi="Times New Roman" w:cs="Times New Roman" w:eastAsia="Times New Roman"/>
          <w:b w:val="0"/>
          <w:sz w:val="24"/>
        </w:rPr>
        <w:t>Genovese crime family (da Luciano a Genovese; le cinque famiglie) — http://www.fivefamiliesnyc.com/p/genovese-crime-family.html</w:t>
      </w:r>
    </w:p>
    <w:p>
      <w:pPr>
        <w:spacing w:line="276" w:lineRule="auto" w:before="0" w:after="0"/>
        <w:ind w:firstLine="425"/>
        <w:jc w:val="both"/>
      </w:pPr>
      <w:r>
        <w:rPr>
          <w:rFonts w:ascii="Times New Roman" w:hAnsi="Times New Roman" w:cs="Times New Roman" w:eastAsia="Times New Roman"/>
          <w:b w:val="0"/>
          <w:sz w:val="24"/>
        </w:rPr>
        <w:t>Vito Genovese (reggenza Costello; presa della famiglia) — https://themobmuseum.org/notable_names/vito-genovese/</w:t>
      </w:r>
    </w:p>
    <w:p>
      <w:pPr>
        <w:spacing w:line="276" w:lineRule="auto" w:before="0" w:after="0"/>
        <w:ind w:firstLine="425"/>
        <w:jc w:val="both"/>
      </w:pPr>
      <w:r>
        <w:rPr>
          <w:rFonts w:ascii="Times New Roman" w:hAnsi="Times New Roman" w:cs="Times New Roman" w:eastAsia="Times New Roman"/>
          <w:b w:val="0"/>
          <w:sz w:val="24"/>
        </w:rPr>
        <w:t>Apalachin meeting (14 novembre 1957; ~100 convenuti; 58 fermati) — https://en.wikipedia.org/wiki/Apalachin_meeting</w:t>
      </w:r>
    </w:p>
    <w:p>
      <w:pPr>
        <w:spacing w:line="276" w:lineRule="auto" w:before="0" w:after="0"/>
        <w:ind w:firstLine="425"/>
        <w:jc w:val="both"/>
      </w:pPr>
      <w:r>
        <w:rPr>
          <w:rFonts w:ascii="Times New Roman" w:hAnsi="Times New Roman" w:cs="Times New Roman" w:eastAsia="Times New Roman"/>
          <w:b w:val="0"/>
          <w:sz w:val="24"/>
        </w:rPr>
        <w:t>Joseph Valachi (deposizione 1963; divieto narcotici del 1948) — https://en.wikipedia.org/wiki/Joseph_Valachi</w:t>
      </w:r>
    </w:p>
    <w:p>
      <w:pPr>
        <w:spacing w:line="276" w:lineRule="auto" w:before="0" w:after="0"/>
        <w:ind w:firstLine="425"/>
        <w:jc w:val="both"/>
      </w:pPr>
      <w:r>
        <w:rPr>
          <w:rFonts w:ascii="Times New Roman" w:hAnsi="Times New Roman" w:cs="Times New Roman" w:eastAsia="Times New Roman"/>
          <w:b w:val="0"/>
          <w:sz w:val="24"/>
        </w:rPr>
        <w:t>Carlo Tresca (omicidio del giornalista antifascista, 1943) — https://en.wikipedia.org/wiki/Carlo_Tresca</w:t>
      </w:r>
    </w:p>
    <w:p>
      <w:pPr>
        <w:spacing w:line="276" w:lineRule="auto" w:before="0" w:after="0"/>
        <w:ind w:firstLine="425"/>
        <w:jc w:val="both"/>
      </w:pPr>
      <w:r>
        <w:rPr>
          <w:rFonts w:ascii="Times New Roman" w:hAnsi="Times New Roman" w:cs="Times New Roman" w:eastAsia="Times New Roman"/>
          <w:b w:val="0"/>
          <w:sz w:val="24"/>
        </w:rPr>
        <w:t>Riscontro interno al corpus: nota di verifica n.4 (reti russe; ponte Brighton Beach–Cosa Nostra) — corpus/diagnostica/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