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0"/>
        <w:ind w:firstLine="425"/>
        <w:jc w:val="both"/>
      </w:pPr>
      <w:r>
        <w:rPr>
          <w:rFonts w:ascii="Times New Roman" w:hAnsi="Times New Roman" w:cs="Times New Roman" w:eastAsia="Times New Roman"/>
          <w:b w:val="0"/>
          <w:sz w:val="24"/>
        </w:rPr>
        <w:t>È stato fornito un secondo lotto di sedici documenti, per la maggior parte materiali canonici del progetto — il repertorio, lo stato complessivo della verifica, il registro unico federato, i registri analitici dei nodi delle varie sessioni, il bilancio e il piano dell'opera. Come per il primo lotto, questa scheda certifica ciò che è stato compiuto — l'acquisizione, l'estrazione integrale e la collazione contro ciò che il repository già conserva — e dichiara ciò che resta da verificare. Il controllo è del sei agosto duemilaventisei. La regola osservata è che nulla si sovrascrive e nulla si duplica: ogni file è stato confrontato per impronta del testo con quanto già presente.</w:t>
      </w:r>
    </w:p>
    <w:p>
      <w:pPr>
        <w:spacing w:line="276" w:lineRule="auto" w:before="0" w:after="0"/>
        <w:ind w:firstLine="425"/>
        <w:jc w:val="both"/>
      </w:pPr>
      <w:r>
        <w:rPr>
          <w:rFonts w:ascii="Times New Roman" w:hAnsi="Times New Roman" w:cs="Times New Roman" w:eastAsia="Times New Roman"/>
          <w:b/>
          <w:sz w:val="24"/>
        </w:rPr>
        <w:t>Esito della collazione.</w:t>
      </w:r>
      <w:r>
        <w:rPr>
          <w:rFonts w:ascii="Times New Roman" w:hAnsi="Times New Roman" w:cs="Times New Roman" w:eastAsia="Times New Roman"/>
          <w:b w:val="0"/>
          <w:sz w:val="24"/>
        </w:rPr>
        <w:t xml:space="preserve"> Dei quindici documenti testuali, dieci sono risultati identici, nel contenuto, a documenti già presenti nel repository, inviati in precedenza con nomi lievemente diversi: lo stato complessivo, il registro federato — la cui edizione coincide con quella già conservata —, e i registri analitici delle sessioni su Aginter e i mondi sunniti, sulla sessione del due agosto, sull'asse asiatico-pacifico, su Sudafrica e Sudamerica, su PayPal e apartheid, e sulla guerra fredda. Due erano duplicati interni al lotto stesso. Tre erano versioni in formato a stampa di documenti già presenti nel formato di videoscrittura o testuale — la sessione Antartide-Golfo, il corpus Aginter e l'adjudicazione dei servizi. In tutti questi casi il contenuto è già conservato: non si è riversato nulla, per non duplicare, e nulla è andato perduto </w:t>
      </w:r>
      <w:r>
        <w:rPr>
          <w:rFonts w:ascii="Times New Roman" w:hAnsi="Times New Roman" w:cs="Times New Roman" w:eastAsia="Times New Roman"/>
          <w:b/>
          <w:sz w:val="24"/>
        </w:rPr>
        <w:t>(Livello A)</w:t>
      </w:r>
      <w:r>
        <w:rPr>
          <w:rFonts w:ascii="Times New Roman" w:hAnsi="Times New Roman" w:cs="Times New Roman" w:eastAsia="Times New Roman"/>
          <w:b w:val="0"/>
          <w:sz w:val="24"/>
        </w:rPr>
        <w:t>.</w:t>
      </w:r>
    </w:p>
    <w:p>
      <w:pPr>
        <w:spacing w:line="276" w:lineRule="auto" w:before="0" w:after="0"/>
        <w:ind w:firstLine="425"/>
        <w:jc w:val="both"/>
      </w:pPr>
      <w:r>
        <w:rPr>
          <w:rFonts w:ascii="Times New Roman" w:hAnsi="Times New Roman" w:cs="Times New Roman" w:eastAsia="Times New Roman"/>
          <w:b/>
          <w:sz w:val="24"/>
        </w:rPr>
        <w:t>I documenti genuinamente nuovi, acquisiti.</w:t>
      </w:r>
      <w:r>
        <w:rPr>
          <w:rFonts w:ascii="Times New Roman" w:hAnsi="Times New Roman" w:cs="Times New Roman" w:eastAsia="Times New Roman"/>
          <w:b w:val="0"/>
          <w:sz w:val="24"/>
        </w:rPr>
        <w:t xml:space="preserve"> Due soli documenti recavano contenuto non ancora presente, e sono stati riversati e certificati nell'acquisizione: il bilancio complessivo della verifica del foglio degli atti giudiziari e normativi, posto fra i documenti diagnostici; e il piano dell'opera nella sua terza architettura, redatto dopo l'espunzione del Volume Zero, posto fra i documenti dell'opera. Di entrambi è stata conservata l'estrazione integrale del testo, e l'estrazione è integra. </w:t>
      </w:r>
      <w:r>
        <w:rPr>
          <w:rFonts w:ascii="Times New Roman" w:hAnsi="Times New Roman" w:cs="Times New Roman" w:eastAsia="Times New Roman"/>
          <w:b/>
          <w:sz w:val="24"/>
        </w:rPr>
        <w:t>Su questi si rilascia certificazione di acquisizione, Livello A.</w:t>
      </w:r>
    </w:p>
    <w:p>
      <w:pPr>
        <w:spacing w:line="276" w:lineRule="auto" w:before="0" w:after="0"/>
        <w:ind w:firstLine="425"/>
        <w:jc w:val="both"/>
      </w:pPr>
      <w:r>
        <w:rPr>
          <w:rFonts w:ascii="Times New Roman" w:hAnsi="Times New Roman" w:cs="Times New Roman" w:eastAsia="Times New Roman"/>
          <w:b/>
          <w:sz w:val="24"/>
        </w:rPr>
        <w:t>Il repertorio.</w:t>
      </w:r>
      <w:r>
        <w:rPr>
          <w:rFonts w:ascii="Times New Roman" w:hAnsi="Times New Roman" w:cs="Times New Roman" w:eastAsia="Times New Roman"/>
          <w:b w:val="0"/>
          <w:sz w:val="24"/>
        </w:rPr>
        <w:t xml:space="preserve"> La copia del repertorio fornita in questo lotto è la versione anteriore allo scorporo del foglio primo: vi figurano gli archivi e le note ancora uniti nel medesimo foglio, e manca il registro analitico-diagnostico che la lavorazione aveva creato. È dunque una baseline superata, non la versione corrente. È stata conservata fra le versioni precedenti del repertorio, a testimonianza dello stato iniziale, mentre resta canonica la versione lavorata, con gli archivi e le note separati e le annotazioni di verifica </w:t>
      </w:r>
      <w:r>
        <w:rPr>
          <w:rFonts w:ascii="Times New Roman" w:hAnsi="Times New Roman" w:cs="Times New Roman" w:eastAsia="Times New Roman"/>
          <w:b/>
          <w:sz w:val="24"/>
        </w:rPr>
        <w:t>(Livello A)</w:t>
      </w:r>
      <w:r>
        <w:rPr>
          <w:rFonts w:ascii="Times New Roman" w:hAnsi="Times New Roman" w:cs="Times New Roman" w:eastAsia="Times New Roman"/>
          <w:b w:val="0"/>
          <w:sz w:val="24"/>
        </w:rPr>
        <w:t>. Nessuna sovrascrittura è stata operata, in ossequio alla conservazione cumulativa.</w:t>
      </w:r>
    </w:p>
    <w:p>
      <w:pPr>
        <w:spacing w:line="276" w:lineRule="auto" w:before="0" w:after="0"/>
        <w:ind w:firstLine="425"/>
        <w:jc w:val="both"/>
      </w:pPr>
      <w:r>
        <w:rPr>
          <w:rFonts w:ascii="Times New Roman" w:hAnsi="Times New Roman" w:cs="Times New Roman" w:eastAsia="Times New Roman"/>
          <w:b/>
          <w:sz w:val="24"/>
        </w:rPr>
        <w:t>Che cosa non è ancora verificato.</w:t>
      </w:r>
      <w:r>
        <w:rPr>
          <w:rFonts w:ascii="Times New Roman" w:hAnsi="Times New Roman" w:cs="Times New Roman" w:eastAsia="Times New Roman"/>
          <w:b w:val="0"/>
          <w:sz w:val="24"/>
        </w:rPr>
        <w:t xml:space="preserve"> Come per il primo lotto, la certificazione riguarda l'acquisizione e non la verità dei contenuti. I due documenti nuovi non sono stati sottoposti al protocollo di verifica del repertorio; e i registri analitici dei nodi, già presenti, restano anch'essi da vagliare voce per voce quando si aprirà la campagna di verifica documentale. Dichiararli verificati sarebbe falso. Il censimento generale degli URL non muta, poiché i due documenti nuovi non recano collegamenti esterni </w:t>
      </w:r>
      <w:r>
        <w:rPr>
          <w:rFonts w:ascii="Times New Roman" w:hAnsi="Times New Roman" w:cs="Times New Roman" w:eastAsia="Times New Roman"/>
          <w:b/>
          <w:sz w:val="24"/>
        </w:rPr>
        <w:t>(Livello A)</w:t>
      </w:r>
      <w:r>
        <w:rPr>
          <w:rFonts w:ascii="Times New Roman" w:hAnsi="Times New Roman" w:cs="Times New Roman" w:eastAsia="Times New Roman"/>
          <w:b w:val="0"/>
          <w:sz w:val="24"/>
        </w:rPr>
        <w:t>.</w:t>
      </w:r>
    </w:p>
    <w:p>
      <w:pPr>
        <w:spacing w:line="276" w:lineRule="auto" w:before="0" w:after="0"/>
        <w:ind w:firstLine="425"/>
        <w:jc w:val="both"/>
      </w:pPr>
      <w:r>
        <w:rPr>
          <w:rFonts w:ascii="Times New Roman" w:hAnsi="Times New Roman" w:cs="Times New Roman" w:eastAsia="Times New Roman"/>
          <w:b/>
          <w:sz w:val="24"/>
        </w:rPr>
        <w:t>Conclusione.</w:t>
      </w:r>
      <w:r>
        <w:rPr>
          <w:rFonts w:ascii="Times New Roman" w:hAnsi="Times New Roman" w:cs="Times New Roman" w:eastAsia="Times New Roman"/>
          <w:b w:val="0"/>
          <w:sz w:val="24"/>
        </w:rPr>
        <w:t xml:space="preserve"> Si certifica che il secondo lotto è stato acquisito ed estratto integralmente, che di esso solo due documenti erano nuovi e sono stati riversati, che gli altri erano già conservati e non sono stati duplicati, e che il repertorio anteriore è stato preservato senza intaccare la versione corrente. La coda operativa resta quella già indicata: la verifica documento per documento secondo il protocollo del repertorio, che sola trasforma l'acquisizione certificata in conoscenza certificata.</w:t>
      </w:r>
    </w:p>
    <w:p>
      <w:pPr>
        <w:spacing w:line="276" w:lineRule="auto" w:before="0" w:after="0"/>
        <w:ind w:firstLine="425"/>
        <w:jc w:val="both"/>
      </w:pPr>
      <w:r>
        <w:rPr>
          <w:rFonts w:ascii="Times New Roman" w:hAnsi="Times New Roman" w:cs="Times New Roman" w:eastAsia="Times New Roman"/>
          <w:b/>
          <w:sz w:val="24"/>
        </w:rPr>
        <w:t>Fonti e URL</w:t>
      </w:r>
    </w:p>
    <w:p>
      <w:pPr>
        <w:spacing w:line="276" w:lineRule="auto" w:before="0" w:after="0"/>
        <w:ind w:firstLine="425"/>
        <w:jc w:val="both"/>
      </w:pPr>
      <w:r>
        <w:rPr>
          <w:rFonts w:ascii="Times New Roman" w:hAnsi="Times New Roman" w:cs="Times New Roman" w:eastAsia="Times New Roman"/>
          <w:b w:val="0"/>
          <w:sz w:val="24"/>
        </w:rPr>
        <w:t>Certificato del primo lotto — corpus/diagnostica/ITALIA_NERA_CERTIFICATO_ACQUISIZIONE.docx</w:t>
      </w:r>
    </w:p>
    <w:p>
      <w:pPr>
        <w:spacing w:line="276" w:lineRule="auto" w:before="0" w:after="0"/>
        <w:ind w:firstLine="425"/>
        <w:jc w:val="both"/>
      </w:pPr>
      <w:r>
        <w:rPr>
          <w:rFonts w:ascii="Times New Roman" w:hAnsi="Times New Roman" w:cs="Times New Roman" w:eastAsia="Times New Roman"/>
          <w:b w:val="0"/>
          <w:sz w:val="24"/>
        </w:rPr>
        <w:t>Prospetto per documento (primo lotto) — corpus/diagnostica/ITALIA_NERA_CERTIFICATO_ACQUISIZIONE.xlsx</w:t>
      </w:r>
    </w:p>
    <w:p>
      <w:pPr>
        <w:spacing w:line="276" w:lineRule="auto" w:before="0" w:after="0"/>
        <w:ind w:firstLine="425"/>
        <w:jc w:val="both"/>
      </w:pPr>
      <w:r>
        <w:rPr>
          <w:rFonts w:ascii="Times New Roman" w:hAnsi="Times New Roman" w:cs="Times New Roman" w:eastAsia="Times New Roman"/>
          <w:b w:val="0"/>
          <w:sz w:val="24"/>
        </w:rPr>
        <w:t>Repertorio anteriore preservato — repertorio/versioni-precedenti/ITALIA_NERA_REPERTORIO_RIPARATO_E_FOGLIO_DI_VERIFICA_pre-scorporo.xlsx</w:t>
      </w:r>
    </w:p>
    <w:p>
      <w:pPr>
        <w:spacing w:line="276" w:lineRule="auto" w:before="0" w:after="0"/>
        <w:ind w:firstLine="425"/>
        <w:jc w:val="both"/>
      </w:pPr>
      <w:r>
        <w:rPr>
          <w:rFonts w:ascii="Times New Roman" w:hAnsi="Times New Roman" w:cs="Times New Roman" w:eastAsia="Times New Roman"/>
          <w:b w:val="0"/>
          <w:sz w:val="24"/>
        </w:rPr>
        <w:t>Repertorio canonico lavorato — repertorio/ITALIA_NERA_REPERTORIO_RIPARATO_E_FOGLIO_DI_VERIFICA2.xlsx</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