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80" w:after="80"/>
        <w:jc w:val="center"/>
      </w:pPr>
      <w:r>
        <w:rPr>
          <w:rFonts w:ascii="Times New Roman" w:hAnsi="Times New Roman" w:cs="Times New Roman" w:eastAsia="Times New Roman"/>
          <w:b/>
          <w:sz w:val="28"/>
        </w:rPr>
        <w:t>ITALIA NERA — OPERA SECONDA</w:t>
      </w:r>
    </w:p>
    <w:p>
      <w:pPr>
        <w:spacing w:line="276" w:lineRule="auto" w:before="80" w:after="80"/>
        <w:jc w:val="center"/>
      </w:pPr>
      <w:r>
        <w:rPr>
          <w:rFonts w:ascii="Times New Roman" w:hAnsi="Times New Roman" w:cs="Times New Roman" w:eastAsia="Times New Roman"/>
          <w:b/>
          <w:sz w:val="28"/>
        </w:rPr>
        <w:t>TUTTA LA VERITÀ — REGISTRO DEI CINQUANTACINQUE GIORNI</w:t>
      </w:r>
    </w:p>
    <w:p>
      <w:pPr>
        <w:spacing w:line="276" w:lineRule="auto" w:before="80" w:after="80"/>
        <w:jc w:val="center"/>
      </w:pPr>
      <w:r>
        <w:rPr>
          <w:rFonts w:ascii="Times New Roman" w:hAnsi="Times New Roman" w:cs="Times New Roman" w:eastAsia="Times New Roman"/>
          <w:b/>
          <w:sz w:val="26"/>
        </w:rPr>
        <w:t>PROSECUZIONE TITANICA — LA SEQUENZA GIORNALIERA</w:t>
      </w:r>
    </w:p>
    <w:p>
      <w:pPr>
        <w:spacing w:line="276" w:lineRule="auto" w:before="80" w:after="80"/>
        <w:jc w:val="center"/>
      </w:pPr>
      <w:r>
        <w:rPr>
          <w:rFonts w:ascii="Times New Roman" w:hAnsi="Times New Roman" w:cs="Times New Roman" w:eastAsia="Times New Roman"/>
          <w:b/>
          <w:sz w:val="26"/>
        </w:rPr>
        <w:t>PARTE PRIMA: DAL SEDICI AL DICIANNOVE MARZO</w:t>
      </w:r>
    </w:p>
    <w:p>
      <w:pPr>
        <w:spacing w:line="276" w:lineRule="auto" w:before="80" w:after="80"/>
        <w:jc w:val="center"/>
      </w:pPr>
      <w:r>
        <w:rPr>
          <w:rFonts w:ascii="Times New Roman" w:hAnsi="Times New Roman" w:cs="Times New Roman" w:eastAsia="Times New Roman"/>
          <w:b/>
          <w:sz w:val="24"/>
        </w:rPr>
        <w:t>Luigi De Michele</w:t>
      </w:r>
    </w:p>
    <w:p>
      <w:pPr>
        <w:spacing w:line="276" w:lineRule="auto" w:before="80" w:after="80"/>
        <w:jc w:val="center"/>
      </w:pPr>
      <w:r>
        <w:rPr>
          <w:rFonts w:ascii="Times New Roman" w:hAnsi="Times New Roman" w:cs="Times New Roman" w:eastAsia="Times New Roman"/>
          <w:b w:val="0"/>
          <w:sz w:val="24"/>
        </w:rPr>
        <w:t>Ventitré agosto duemilaventisei</w:t>
      </w:r>
    </w:p>
    <w:p>
      <w:pPr>
        <w:keepNext/>
        <w:pageBreakBefore/>
        <w:spacing w:line="276" w:lineRule="auto" w:before="320" w:after="160"/>
        <w:jc w:val="left"/>
      </w:pPr>
      <w:r>
        <w:rPr>
          <w:rFonts w:ascii="Times New Roman" w:hAnsi="Times New Roman" w:cs="Times New Roman" w:eastAsia="Times New Roman"/>
          <w:b/>
        </w:rPr>
        <w:t>CAPITOLO PRIMO — ATTO DI RIPRESA E STATUTO DEL CONFERIMENTO</w:t>
      </w:r>
    </w:p>
    <w:p>
      <w:pPr>
        <w:spacing w:line="276" w:lineRule="auto" w:before="0" w:after="0"/>
        <w:ind w:firstLine="425"/>
        <w:jc w:val="both"/>
      </w:pPr>
      <w:r>
        <w:rPr>
          <w:rFonts w:ascii="Times New Roman" w:hAnsi="Times New Roman" w:cs="Times New Roman" w:eastAsia="Times New Roman"/>
          <w:b w:val="0"/>
        </w:rPr>
        <w:t>La presente prosecuzione riceve un conferimento di quindici unità documentali. La verifica preliminare di identità, condotta secondo il precedente stabilito per gli assemblaggi non revisionati, riduce il conferimento a quattordici unità uniche: la prima e la dodicesima unità risultano identiche parola per parola, e il duplicato esatto viene espunto dal conteggio di lavoro. L'espunzione è iscritta come fatto del conferimento e non del corpus: nulla del contenuto va perduto, e la duplicazione stessa resta registrata quale dato d'ordine, utile a chi dovrà un giorno ricostruire la storia materiale dei depositi.</w:t>
      </w:r>
    </w:p>
    <w:p>
      <w:pPr>
        <w:spacing w:line="276" w:lineRule="auto" w:before="0" w:after="0"/>
        <w:ind w:firstLine="425"/>
        <w:jc w:val="both"/>
      </w:pPr>
      <w:r>
        <w:rPr>
          <w:rFonts w:ascii="Times New Roman" w:hAnsi="Times New Roman" w:cs="Times New Roman" w:eastAsia="Times New Roman"/>
          <w:b w:val="0"/>
        </w:rPr>
        <w:t>Le quattordici unità appartengono a due corpora distinti. Il primo corpus raccoglie le prosecuzioni dell'Opera seconda: il metodo della cronologia epistemica, il sedici marzo come punto di rottura, la macchina informativa, la finalità ultima seguita lungo i binari paralleli, il cuore più interno dei cinquantacinque giorni. Il secondo corpus raccoglie i capitoli secondo, terzo e quarto del confronto fra la Formazione Alfa e la Formazione Beta, con il corridoio biografico documentato e la quadripartizione della continuità. Gli atti di chiusura del primo corpus convergono tutti sulla medesima soglia dichiarata: l'ingresso nella sequenza giorno per giorno del Registro dei Cinquantacinque Giorni. Il comando di prosecuzione viene qui eseguito su quella soglia. La linea Alfa–Beta conserva intatto il proprio filo e attende il proprio capitolo quinto in sessione dedicata: nulla di essa viene consumato o anticipato nella presente parte.</w:t>
      </w:r>
    </w:p>
    <w:p>
      <w:pPr>
        <w:spacing w:line="276" w:lineRule="auto" w:before="0" w:after="0"/>
        <w:ind w:firstLine="425"/>
        <w:jc w:val="both"/>
      </w:pPr>
      <w:r>
        <w:rPr>
          <w:rFonts w:ascii="Times New Roman" w:hAnsi="Times New Roman" w:cs="Times New Roman" w:eastAsia="Times New Roman"/>
          <w:b w:val="0"/>
        </w:rPr>
        <w:t xml:space="preserve">Lo statuto della sessione è interno: nessuna deroga di ricerca esterna è stata richiesta né esercitata, e ogni asserzione poggia esclusivamente sugli atti in possesso del progetto — la relazione conclusiva della seconda Commissione parlamentare d'inchiesta sul caso Moro, il Doc. XXIII n. 37 nella sua sezione settima, l'elaborato sul caso Moro contenuto nel Doc. XXIII n. 64, Volume I, Tomo VI, le schede delle sedute e delle audizioni delle Commissioni della undicesima e della decima legislatura, e il volume di parte commissariale presente in corpus. Vigono senza eccezione la Regola di Ferro — certificare dove le fonti documentano, indagare dove tacciono, non asserire mai senza base —, la distinzione fra ordo expositionis e ordo probandi, la salvaguardia del Pollo di Popper per la quale la sequenza si organizza attorno agli atti e non attorno ad alcuna ipotesi, la presunzione di innocenza rafforzata verso ogni persona nominata, il divieto di attore monolitico, la genealogia delle fonti con l'indice di contaminazione. La macro-ipotesi H1 resta iscritta al grado </w:t>
      </w:r>
      <w:r>
        <w:rPr>
          <w:rFonts w:ascii="Times New Roman" w:hAnsi="Times New Roman" w:cs="Times New Roman" w:eastAsia="Times New Roman"/>
          <w:b/>
        </w:rPr>
        <w:t>C</w:t>
      </w:r>
      <w:r>
        <w:rPr>
          <w:rFonts w:ascii="Times New Roman" w:hAnsi="Times New Roman" w:cs="Times New Roman" w:eastAsia="Times New Roman"/>
          <w:b w:val="0"/>
        </w:rPr>
        <w:t xml:space="preserve"> con il proprio falsificatore designato e non viene interrogata dal presente segmento. I numeri sono scritti in lettere, salvo sigle e segnature; il grassetto è riservato ai soli gradi della scala Savona.</w:t>
      </w:r>
    </w:p>
    <w:p>
      <w:pPr>
        <w:spacing w:line="276" w:lineRule="auto" w:before="0" w:after="0"/>
        <w:ind w:firstLine="425"/>
        <w:jc w:val="both"/>
      </w:pPr>
      <w:r>
        <w:rPr>
          <w:rFonts w:ascii="Times New Roman" w:hAnsi="Times New Roman" w:cs="Times New Roman" w:eastAsia="Times New Roman"/>
          <w:b w:val="0"/>
        </w:rPr>
        <w:t>Sintesi del dato nuovo acquisito: il conferimento è ridotto da quindici a quattordici unità uniche mediante espunzione di un duplicato esatto; la sequenza giornaliera del Registro è formalmente aperta sotto statuto di sessione interna.</w:t>
      </w:r>
    </w:p>
    <w:p>
      <w:pPr>
        <w:keepNext/>
        <w:spacing w:line="276" w:lineRule="auto" w:before="320" w:after="160"/>
        <w:jc w:val="left"/>
      </w:pPr>
      <w:r>
        <w:rPr>
          <w:rFonts w:ascii="Times New Roman" w:hAnsi="Times New Roman" w:cs="Times New Roman" w:eastAsia="Times New Roman"/>
          <w:b/>
        </w:rPr>
        <w:t>CAPITOLO SECONDO — IL DOPPIO REGISTRO APPLICATO AL GIORNO</w:t>
      </w:r>
    </w:p>
    <w:p>
      <w:pPr>
        <w:spacing w:line="276" w:lineRule="auto" w:before="0" w:after="0"/>
        <w:ind w:firstLine="425"/>
        <w:jc w:val="both"/>
      </w:pPr>
      <w:r>
        <w:rPr>
          <w:rFonts w:ascii="Times New Roman" w:hAnsi="Times New Roman" w:cs="Times New Roman" w:eastAsia="Times New Roman"/>
          <w:b w:val="0"/>
        </w:rPr>
        <w:t>La cronologia epistemica prescritta dagli elaborati conferiti viene qui resa operativa nella forma del doppio registro. Il registro primo — il conosciuto-allora — raccoglie, per ciascun giorno, ciò che entrò quel giorno nel campo del conoscibile: gli atti, le ore, i protocolli, i soggetti che seppero e il momento in cui seppero. Vige la regola dell'ora: dove l'ora è negli atti, l'ora si scrive; dove non è, se ne scrive l'assenza, perché anche il tempo non registrato è un dato. Il registro secondo — il conosciuto-poi — raccoglie le acquisizioni successive che retroilluminano il giorno, ciascuna accompagnata dalla propria data di acquisizione, e le tiene rigorosamente separate dal registro primo.</w:t>
      </w:r>
    </w:p>
    <w:p>
      <w:pPr>
        <w:spacing w:line="276" w:lineRule="auto" w:before="0" w:after="0"/>
        <w:ind w:firstLine="425"/>
        <w:jc w:val="both"/>
      </w:pPr>
      <w:r>
        <w:rPr>
          <w:rFonts w:ascii="Times New Roman" w:hAnsi="Times New Roman" w:cs="Times New Roman" w:eastAsia="Times New Roman"/>
          <w:b w:val="0"/>
        </w:rPr>
        <w:t>Fra i due registri vige la clausola anti-anacronistica: nulla del registro secondo può essere convertito in giudizio sulla condotta degli attori del registro primo. La clausola protegge due cose insieme: protegge l'analisi dalla teleologia, che è la malattia professionale di ogni ricostruzione retrospettiva, e protegge le persone dall'imputazione retroattiva, che è la forma più insidiosa di ingiustizia storiografica. Ciò che qualcuno non poteva sapere non gli può essere rimproverato; ciò che qualcuno poteva sapere va misurato sugli atti coevi, non sulle conclusioni maturate decenni dopo.</w:t>
      </w:r>
    </w:p>
    <w:p>
      <w:pPr>
        <w:spacing w:line="276" w:lineRule="auto" w:before="0" w:after="0"/>
        <w:ind w:firstLine="425"/>
        <w:jc w:val="both"/>
      </w:pPr>
      <w:r>
        <w:rPr>
          <w:rFonts w:ascii="Times New Roman" w:hAnsi="Times New Roman" w:cs="Times New Roman" w:eastAsia="Times New Roman"/>
          <w:b w:val="0"/>
        </w:rPr>
        <w:t>Terza regola del segmento: il dato negativo ha pieno statuto. Una strada che non parla, una porta che non si apre, una sorveglianza che non risulta sono iscritte con la stessa cura degli eventi positivi, secondo la disciplina degli Stati Zero in vigore nel corpus, con l'obbligo di qualificare ogni assenza — deposito inesplorato ovvero assenza coerente con la collocazione — prima di trarne alcunché.</w:t>
      </w:r>
    </w:p>
    <w:p>
      <w:pPr>
        <w:spacing w:line="276" w:lineRule="auto" w:before="0" w:after="0"/>
        <w:ind w:firstLine="425"/>
        <w:jc w:val="both"/>
      </w:pPr>
      <w:r>
        <w:rPr>
          <w:rFonts w:ascii="Times New Roman" w:hAnsi="Times New Roman" w:cs="Times New Roman" w:eastAsia="Times New Roman"/>
          <w:b w:val="0"/>
        </w:rPr>
        <w:t>Sintesi del dato nuovo acquisito: il giorno diventa unità di misura a doppio registro, con regola dell'ora, clausola anti-anacronistica e pieno statuto del dato negativo.</w:t>
      </w:r>
    </w:p>
    <w:p>
      <w:pPr>
        <w:keepNext/>
        <w:spacing w:line="276" w:lineRule="auto" w:before="320" w:after="160"/>
        <w:jc w:val="left"/>
      </w:pPr>
      <w:r>
        <w:rPr>
          <w:rFonts w:ascii="Times New Roman" w:hAnsi="Times New Roman" w:cs="Times New Roman" w:eastAsia="Times New Roman"/>
          <w:b/>
        </w:rPr>
        <w:t>CAPITOLO TERZO — GIORNO PRIMO. IL POMERIGGIO E LA SERA DEL SEDICI: LA STRADA CHE PARLA PER PRIMA</w:t>
      </w:r>
    </w:p>
    <w:p>
      <w:pPr>
        <w:spacing w:line="276" w:lineRule="auto" w:before="0" w:after="0"/>
        <w:ind w:firstLine="425"/>
        <w:jc w:val="both"/>
      </w:pPr>
      <w:r>
        <w:rPr>
          <w:rFonts w:ascii="Times New Roman" w:hAnsi="Times New Roman" w:cs="Times New Roman" w:eastAsia="Times New Roman"/>
          <w:b w:val="0"/>
        </w:rPr>
        <w:t xml:space="preserve">La mattina del sedici appartiene all'elaborato già conferito sul punto di rottura, e la sequenza non la riscrive: la riprende dal minuto in cui il campo del conoscibile comincia ad allargarsi oltre via Fani. Il primo luogo che parla non è un palazzo: è una strada. In via Licinio Calvo la Fiat 132 di colore blu, con applicata la targa Roma P79560, risulta parcheggiata fra le nove e quindici e le nove e ventitré della mattina. La finestra è fissata dalla convergenza di tre atti di natura diversa: la segnalazione della Polizia alle nove e ventitré; il registro delle comunicazioni della Questura, che alle nove e ventisette annota che da via Licinio Calvo «si sono allontanati due giovani a piedi, una donna e un uomo armati»; la deposizione della teste Maria Assunta Perugini, che fra le nove e quindici e le nove e trenta vide a bordo della vettura due uomini e una donna, e che tornando sul posto pochi minuti dopo vi trovò già il personale di Polizia. Il verbale di rinvenimento, a firma del commissario Fabbri e del brigadiere Faranda, registra l'avvistamento di due o tre persone, fra cui una donna con «una pistola alla cintola dei pantaloni». La finestra di parcheggio e la presenza di una donna armata fra gli occupanti sono acquisite al grado </w:t>
      </w:r>
      <w:r>
        <w:rPr>
          <w:rFonts w:ascii="Times New Roman" w:hAnsi="Times New Roman" w:cs="Times New Roman" w:eastAsia="Times New Roman"/>
          <w:b/>
        </w:rPr>
        <w:t>A</w:t>
      </w:r>
      <w:r>
        <w:rPr>
          <w:rFonts w:ascii="Times New Roman" w:hAnsi="Times New Roman" w:cs="Times New Roman" w:eastAsia="Times New Roman"/>
          <w:b w:val="0"/>
        </w:rPr>
        <w:t>. L'identità di quella donna non esiste negli atti in possesso: viene iscritta come Stato Zero, e il Registro non le sovrappone alcun nome, perché la sequenza registra ciò che gli atti danno e il vuoto dove gli atti tacciono.</w:t>
      </w:r>
    </w:p>
    <w:p>
      <w:pPr>
        <w:spacing w:line="276" w:lineRule="auto" w:before="0" w:after="0"/>
        <w:ind w:firstLine="425"/>
        <w:jc w:val="both"/>
      </w:pPr>
      <w:r>
        <w:rPr>
          <w:rFonts w:ascii="Times New Roman" w:hAnsi="Times New Roman" w:cs="Times New Roman" w:eastAsia="Times New Roman"/>
          <w:b w:val="0"/>
        </w:rPr>
        <w:t xml:space="preserve">Il registro primo della sera raccoglie tre fatti pubblici e datati. Le confederazioni sindacali proclamano lo sciopero generale. Il Governo presentatosi quel giorno alle Camere riceve nella notte la fiducia. Entrambi i dati sono certificati dalla cronologia parlamentare al grado </w:t>
      </w:r>
      <w:r>
        <w:rPr>
          <w:rFonts w:ascii="Times New Roman" w:hAnsi="Times New Roman" w:cs="Times New Roman" w:eastAsia="Times New Roman"/>
          <w:b/>
        </w:rPr>
        <w:t>A</w:t>
      </w:r>
      <w:r>
        <w:rPr>
          <w:rFonts w:ascii="Times New Roman" w:hAnsi="Times New Roman" w:cs="Times New Roman" w:eastAsia="Times New Roman"/>
          <w:b w:val="0"/>
        </w:rPr>
        <w:t xml:space="preserve">. Il terzo fatto è istituzionale e meno visibile: presso il Ministero dell'Interno prende corpo la struttura di gestione della crisi. L'esistenza dei comitati di crisi costituiti dal Ministro dell'Interno è certificata dagli atti delle Commissioni successive — le audizioni del Ministro dell'epoca davanti alla Commissione della undicesima legislatura nel dicembre millenovecentonovantatré, l'audizione del coordinatore del comitato informale di esperti del ventitré febbraio duemila — ed è acquisita al grado </w:t>
      </w:r>
      <w:r>
        <w:rPr>
          <w:rFonts w:ascii="Times New Roman" w:hAnsi="Times New Roman" w:cs="Times New Roman" w:eastAsia="Times New Roman"/>
          <w:b/>
        </w:rPr>
        <w:t>A</w:t>
      </w:r>
      <w:r>
        <w:rPr>
          <w:rFonts w:ascii="Times New Roman" w:hAnsi="Times New Roman" w:cs="Times New Roman" w:eastAsia="Times New Roman"/>
          <w:b w:val="0"/>
        </w:rPr>
        <w:t>. Il giorno esatto e l'atto formale della loro costituzione non sono invece certificati dalle fonti in possesso: la sequenza li iscrive come Stato Zero di reperimento e non colma con la plausibilità ciò che gli atti non danno.</w:t>
      </w:r>
    </w:p>
    <w:p>
      <w:pPr>
        <w:spacing w:line="276" w:lineRule="auto" w:before="0" w:after="0"/>
        <w:ind w:firstLine="425"/>
        <w:jc w:val="both"/>
      </w:pPr>
      <w:r>
        <w:rPr>
          <w:rFonts w:ascii="Times New Roman" w:hAnsi="Times New Roman" w:cs="Times New Roman" w:eastAsia="Times New Roman"/>
          <w:b w:val="0"/>
        </w:rPr>
        <w:t xml:space="preserve">Il registro secondo del giorno primo contiene una sola annotazione, che qui si deposita e che tornerà al proprio posto nei giorni suoi. La composizione degli apparati che da questa sera prendono in mano la crisi diverrà materia documentale tre anni più tardi, con le liste sequestrate nel marzo millenovecentottantuno, e materia testimoniale ventidue anni più tardi, quando il coordinatore del comitato informale di esperti riferirà in audizione che nel comitato «vi erano personaggi aderenti alla P2 e vicini alla Cia», aggiungendo di non essere mai stato ascoltato da alcun magistrato. L'esistenza e il contenuto di quella audizione sono al grado </w:t>
      </w:r>
      <w:r>
        <w:rPr>
          <w:rFonts w:ascii="Times New Roman" w:hAnsi="Times New Roman" w:cs="Times New Roman" w:eastAsia="Times New Roman"/>
          <w:b/>
        </w:rPr>
        <w:t>A</w:t>
      </w:r>
      <w:r>
        <w:rPr>
          <w:rFonts w:ascii="Times New Roman" w:hAnsi="Times New Roman" w:cs="Times New Roman" w:eastAsia="Times New Roman"/>
          <w:b w:val="0"/>
        </w:rPr>
        <w:t xml:space="preserve">; la constatazione sulla composizione degli apparati è acquisita nel registro secondo al grado </w:t>
      </w:r>
      <w:r>
        <w:rPr>
          <w:rFonts w:ascii="Times New Roman" w:hAnsi="Times New Roman" w:cs="Times New Roman" w:eastAsia="Times New Roman"/>
          <w:b/>
        </w:rPr>
        <w:t>B</w:t>
      </w:r>
      <w:r>
        <w:rPr>
          <w:rFonts w:ascii="Times New Roman" w:hAnsi="Times New Roman" w:cs="Times New Roman" w:eastAsia="Times New Roman"/>
          <w:b w:val="0"/>
        </w:rPr>
        <w:t>, accompagnata dalla cautela che lo stesso elaborato parlamentare detta e che il Registro fa integralmente propria: la constatazione va messa nero su bianco, e non equivale a dire che il sequestro fu gestito dalla loggia. La clausola anti-anacronistica chiude l'annotazione: nulla di tutto questo apparteneva, la sera del sedici, al campo del conoscibile del registro primo.</w:t>
      </w:r>
    </w:p>
    <w:p>
      <w:pPr>
        <w:spacing w:line="276" w:lineRule="auto" w:before="0" w:after="0"/>
        <w:ind w:firstLine="425"/>
        <w:jc w:val="both"/>
      </w:pPr>
      <w:r>
        <w:rPr>
          <w:rFonts w:ascii="Times New Roman" w:hAnsi="Times New Roman" w:cs="Times New Roman" w:eastAsia="Times New Roman"/>
          <w:b w:val="0"/>
        </w:rPr>
        <w:t>Sintesi del dato nuovo acquisito: la finestra di parcheggio della 132 e la presenza di una donna armata sono acquisite al grado A; l'identità della donna e l'atto costitutivo dei comitati restano Stati Zero; la composizione degli apparati è depositata nel registro secondo al grado B con clausola anti-anacronistica.</w:t>
      </w:r>
    </w:p>
    <w:p>
      <w:pPr>
        <w:keepNext/>
        <w:spacing w:line="276" w:lineRule="auto" w:before="320" w:after="160"/>
        <w:jc w:val="left"/>
      </w:pPr>
      <w:r>
        <w:rPr>
          <w:rFonts w:ascii="Times New Roman" w:hAnsi="Times New Roman" w:cs="Times New Roman" w:eastAsia="Times New Roman"/>
          <w:b/>
        </w:rPr>
        <w:t>CAPITOLO QUARTO — GIORNO SECONDO. IL DICIASSETTE: LA SECONDA AUTO, LA SCENA DI VIA BITOSSI, IL PERIMETRO</w:t>
      </w:r>
    </w:p>
    <w:p>
      <w:pPr>
        <w:spacing w:line="276" w:lineRule="auto" w:before="0" w:after="0"/>
        <w:ind w:firstLine="425"/>
        <w:jc w:val="both"/>
      </w:pPr>
      <w:r>
        <w:rPr>
          <w:rFonts w:ascii="Times New Roman" w:hAnsi="Times New Roman" w:cs="Times New Roman" w:eastAsia="Times New Roman"/>
          <w:b w:val="0"/>
        </w:rPr>
        <w:t xml:space="preserve">Alle quattro e dieci del diciassette la Fiat 128 di colore bianco, con applicata la targa Roma M53955, viene reperita all'altezza del civico ventitré di via Licinio Calvo, sul lato destro della strada. Il dato, certificato dal verbale di reperimento richiamato dalla relazione conclusiva, è al grado </w:t>
      </w:r>
      <w:r>
        <w:rPr>
          <w:rFonts w:ascii="Times New Roman" w:hAnsi="Times New Roman" w:cs="Times New Roman" w:eastAsia="Times New Roman"/>
          <w:b/>
        </w:rPr>
        <w:t>A</w:t>
      </w:r>
      <w:r>
        <w:rPr>
          <w:rFonts w:ascii="Times New Roman" w:hAnsi="Times New Roman" w:cs="Times New Roman" w:eastAsia="Times New Roman"/>
          <w:b w:val="0"/>
        </w:rPr>
        <w:t>, e pesa più di quanto sembri: la strada era, dalla mattina precedente, luogo di rinvenimento, battuta e osservata. Un'auto dell'azione che vi compare alle quattro del mattino del secondo giorno non è un dettaglio di parcheggio: è un'informazione sulla logistica, e la sequenza la tratta come tale.</w:t>
      </w:r>
    </w:p>
    <w:p>
      <w:pPr>
        <w:spacing w:line="276" w:lineRule="auto" w:before="0" w:after="0"/>
        <w:ind w:firstLine="425"/>
        <w:jc w:val="both"/>
      </w:pPr>
      <w:r>
        <w:rPr>
          <w:rFonts w:ascii="Times New Roman" w:hAnsi="Times New Roman" w:cs="Times New Roman" w:eastAsia="Times New Roman"/>
          <w:b w:val="0"/>
        </w:rPr>
        <w:t xml:space="preserve">Sul punto la sequenza esegue il confronto formale delle ipotesi. L'ipotesi M, condensata nel memoriale attribuito a uno degli esecutori, afferma che tutte e tre le auto furono parcheggiate in via Licinio Calvo la stessa mattina del sedici, fra le nove e dieci e le nove e trenta, e che la 132 vi giunse dopo il trasbordo del prigioniero su un furgone in piazza Madonna del Cenacolo. L'ipotesi R, avanzata dalla relazione conclusiva, afferma il rilascio progressivo delle automobili e l'appoggio in un punto della zona. L'evidenza diagnostica è costituita dai verbali di reperimento: quattro e dieci del diciassette per la seconda auto, ventuno del diciannove per la terza. L'ipotesi M è direttamente contraddetta dall'evidenza diagnostica; l'ipotesi R non ne è contraddetta. Secondo il criterio in vigore, che assegna la prevalenza non all'ipotesi più confermata ma a quella meno smentita, R prevale ed è acquisita al grado </w:t>
      </w:r>
      <w:r>
        <w:rPr>
          <w:rFonts w:ascii="Times New Roman" w:hAnsi="Times New Roman" w:cs="Times New Roman" w:eastAsia="Times New Roman"/>
          <w:b/>
        </w:rPr>
        <w:t>B</w:t>
      </w:r>
      <w:r>
        <w:rPr>
          <w:rFonts w:ascii="Times New Roman" w:hAnsi="Times New Roman" w:cs="Times New Roman" w:eastAsia="Times New Roman"/>
          <w:b w:val="0"/>
        </w:rPr>
        <w:t>: fondata su atti convergenti, ma dichiarata dalla stessa relazione come ipotesi oggetto di ulteriori indagini. Il falsificatore di R è dichiarato: un verbale o un rilievo coevo che collochi le tre automobili in strada già nella mattina del sedici la falsificherebbe e riabiliterebbe M. Il falsificatore di M risulta invece già attivato dagli stessi verbali di reperimento.</w:t>
      </w:r>
    </w:p>
    <w:p>
      <w:pPr>
        <w:spacing w:line="276" w:lineRule="auto" w:before="0" w:after="0"/>
        <w:ind w:firstLine="425"/>
        <w:jc w:val="both"/>
      </w:pPr>
      <w:r>
        <w:rPr>
          <w:rFonts w:ascii="Times New Roman" w:hAnsi="Times New Roman" w:cs="Times New Roman" w:eastAsia="Times New Roman"/>
          <w:b w:val="0"/>
        </w:rPr>
        <w:t xml:space="preserve">Il diciassette è anche il giorno in cui la scena di via Bitossi entra negli atti. La teste Elsa Maria Stocco, residente al civico ventisei, dichiara in data diciassette marzo di avere visto, la mattina precedente fra le nove e venti e le nove e venticinque, un'auto blu di grossa cilindrata giungere in velocità, un giovane vestito da pilota civile con un impermeabile blu scenderne e gettare in successione due borse su un furgone chiaro fermo lì accanto, i due uomini non scambiarsi parola, l'auto ripartire in velocità e il furgone allontanarsi ad andatura normale. L'esistenza e il contenuto della deposizione sono al grado </w:t>
      </w:r>
      <w:r>
        <w:rPr>
          <w:rFonts w:ascii="Times New Roman" w:hAnsi="Times New Roman" w:cs="Times New Roman" w:eastAsia="Times New Roman"/>
          <w:b/>
        </w:rPr>
        <w:t>A</w:t>
      </w:r>
      <w:r>
        <w:rPr>
          <w:rFonts w:ascii="Times New Roman" w:hAnsi="Times New Roman" w:cs="Times New Roman" w:eastAsia="Times New Roman"/>
          <w:b w:val="0"/>
        </w:rPr>
        <w:t xml:space="preserve">. La lettura che ne dà la Commissione — il furgone come ritiro delle armi lunghe, l'inconsistenza del trasbordo in piazza Madonna del Cenacolo, la possibilità che lo spostamento del prigioniero fosse già avvenuto nella zona di via Massimi — è acquisita come lettura, al grado </w:t>
      </w:r>
      <w:r>
        <w:rPr>
          <w:rFonts w:ascii="Times New Roman" w:hAnsi="Times New Roman" w:cs="Times New Roman" w:eastAsia="Times New Roman"/>
          <w:b/>
        </w:rPr>
        <w:t>B</w:t>
      </w:r>
      <w:r>
        <w:rPr>
          <w:rFonts w:ascii="Times New Roman" w:hAnsi="Times New Roman" w:cs="Times New Roman" w:eastAsia="Times New Roman"/>
          <w:b w:val="0"/>
        </w:rPr>
        <w:t>, con falsificatore dichiarato: un atto che documenti il trasbordo al Cenacolo con riscontri indipendenti dalla sola versione memorialistica.</w:t>
      </w:r>
    </w:p>
    <w:p>
      <w:pPr>
        <w:spacing w:line="276" w:lineRule="auto" w:before="0" w:after="0"/>
        <w:ind w:firstLine="425"/>
        <w:jc w:val="both"/>
      </w:pPr>
      <w:r>
        <w:rPr>
          <w:rFonts w:ascii="Times New Roman" w:hAnsi="Times New Roman" w:cs="Times New Roman" w:eastAsia="Times New Roman"/>
          <w:b w:val="0"/>
        </w:rPr>
        <w:t xml:space="preserve">Lo stesso diciassette porta la data di una notizia della Guardia di Finanza che circoscrive la zona. Quella notizia sarà richiamata due anni più tardi dal direttore del servizio militare, che in audizione del primo luglio millenovecentottanta dichiarerà l'avviso che il prigioniero non si fosse allontanato più di un chilometro da via Fani, attribuendo l'informazione appunto alla Guardia di Finanza; e il questore di Roma, in audizione del sei ottobre millenovecentottantuno, parlerà di due o più luoghi di detenzione, il primo dei quali forse avente carattere di extraterritorialità, in località non distante da via Fani. Negli atti in possesso i due dati viaggiano su una catena genealogica unica di richiamo, e restano perciò al grado </w:t>
      </w:r>
      <w:r>
        <w:rPr>
          <w:rFonts w:ascii="Times New Roman" w:hAnsi="Times New Roman" w:cs="Times New Roman" w:eastAsia="Times New Roman"/>
          <w:b/>
        </w:rPr>
        <w:t>B</w:t>
      </w:r>
      <w:r>
        <w:rPr>
          <w:rFonts w:ascii="Times New Roman" w:hAnsi="Times New Roman" w:cs="Times New Roman" w:eastAsia="Times New Roman"/>
          <w:b w:val="0"/>
        </w:rPr>
        <w:t xml:space="preserve">. La relazione conclusiva dichiara in corso l'individuazione di un complesso di edifici che potrebbe avere avuto una funzione importante nel sequestro: il cantiere è acquisito al grado </w:t>
      </w:r>
      <w:r>
        <w:rPr>
          <w:rFonts w:ascii="Times New Roman" w:hAnsi="Times New Roman" w:cs="Times New Roman" w:eastAsia="Times New Roman"/>
          <w:b/>
        </w:rPr>
        <w:t>B</w:t>
      </w:r>
      <w:r>
        <w:rPr>
          <w:rFonts w:ascii="Times New Roman" w:hAnsi="Times New Roman" w:cs="Times New Roman" w:eastAsia="Times New Roman"/>
          <w:b w:val="0"/>
        </w:rPr>
        <w:t xml:space="preserve"> come cantiere, non come esito. Ogni attribuzione proprietaria specifica degli immobili della zona resta al grado </w:t>
      </w:r>
      <w:r>
        <w:rPr>
          <w:rFonts w:ascii="Times New Roman" w:hAnsi="Times New Roman" w:cs="Times New Roman" w:eastAsia="Times New Roman"/>
          <w:b/>
        </w:rPr>
        <w:t>C</w:t>
      </w:r>
      <w:r>
        <w:rPr>
          <w:rFonts w:ascii="Times New Roman" w:hAnsi="Times New Roman" w:cs="Times New Roman" w:eastAsia="Times New Roman"/>
          <w:b w:val="0"/>
        </w:rPr>
        <w:t>, sotto obbligo di verifica pre-pubblicazione sugli atti primari e con presunzione piena verso gli enti e le persone che la letteratura nomina: il Registro non converte la toponomastica in imputazione.</w:t>
      </w:r>
    </w:p>
    <w:p>
      <w:pPr>
        <w:spacing w:line="276" w:lineRule="auto" w:before="0" w:after="0"/>
        <w:ind w:firstLine="425"/>
        <w:jc w:val="both"/>
      </w:pPr>
      <w:r>
        <w:rPr>
          <w:rFonts w:ascii="Times New Roman" w:hAnsi="Times New Roman" w:cs="Times New Roman" w:eastAsia="Times New Roman"/>
          <w:b w:val="0"/>
        </w:rPr>
        <w:t>Sintesi del dato nuovo acquisito: seconda auto al grado A con ora e civico; ipotesi del rilascio progressivo prevalente al grado B con falsificatore dichiarato; scena di via Bitossi acquisita con doppio grado; perimetro entro il chilometro e pluralità dei luoghi al grado B su catena unica; attribuzioni immobiliari al grado C sotto verifica.</w:t>
      </w:r>
    </w:p>
    <w:p>
      <w:pPr>
        <w:keepNext/>
        <w:spacing w:line="276" w:lineRule="auto" w:before="320" w:after="160"/>
        <w:jc w:val="left"/>
      </w:pPr>
      <w:r>
        <w:rPr>
          <w:rFonts w:ascii="Times New Roman" w:hAnsi="Times New Roman" w:cs="Times New Roman" w:eastAsia="Times New Roman"/>
          <w:b/>
        </w:rPr>
        <w:t>CAPITOLO QUINTO — GIORNO TERZO. IL DICIOTTO: LA GIORNATA A DUE FACCE</w:t>
      </w:r>
    </w:p>
    <w:p>
      <w:pPr>
        <w:spacing w:line="276" w:lineRule="auto" w:before="0" w:after="0"/>
        <w:ind w:firstLine="425"/>
        <w:jc w:val="both"/>
      </w:pPr>
      <w:r>
        <w:rPr>
          <w:rFonts w:ascii="Times New Roman" w:hAnsi="Times New Roman" w:cs="Times New Roman" w:eastAsia="Times New Roman"/>
          <w:b w:val="0"/>
        </w:rPr>
        <w:t xml:space="preserve">La prima faccia del diciotto è pubblica e ha un canale di consegna. Una telefonata al «Messaggero» fa trovare il Comunicato numero uno, che contiene la fotografia del prigioniero e annuncia l'inizio del suo «processo». Il dato è al grado </w:t>
      </w:r>
      <w:r>
        <w:rPr>
          <w:rFonts w:ascii="Times New Roman" w:hAnsi="Times New Roman" w:cs="Times New Roman" w:eastAsia="Times New Roman"/>
          <w:b/>
        </w:rPr>
        <w:t>A</w:t>
      </w:r>
      <w:r>
        <w:rPr>
          <w:rFonts w:ascii="Times New Roman" w:hAnsi="Times New Roman" w:cs="Times New Roman" w:eastAsia="Times New Roman"/>
          <w:b w:val="0"/>
        </w:rPr>
        <w:t xml:space="preserve"> sulla cronologia parlamentare. Con questo atto la macchina informativa descritta dall'elaborato conferito entra nella sequenza: da questa giornata è l'organizzazione a scrivere il tempo pubblico — comunicati numerati, fotografia come prova di vita e come messa in scena — e lo Stato a leggere. L'asimmetria di iniziativa è un dato strutturale dei cinquantacinque giorni, non un episodio, e la sequenza la iscrive come tale al suo primo manifestarsi. La stessa cronologia parlamentare certifica, come sintesi fondata sui memoriali e sugli atti processuali, il regime interno dell'interrogatorio: domande scritte recapitate nel covo, risposte registrate e trascritte. La sintesi è acquisita al grado </w:t>
      </w:r>
      <w:r>
        <w:rPr>
          <w:rFonts w:ascii="Times New Roman" w:hAnsi="Times New Roman" w:cs="Times New Roman" w:eastAsia="Times New Roman"/>
          <w:b/>
        </w:rPr>
        <w:t>B</w:t>
      </w:r>
      <w:r>
        <w:rPr>
          <w:rFonts w:ascii="Times New Roman" w:hAnsi="Times New Roman" w:cs="Times New Roman" w:eastAsia="Times New Roman"/>
          <w:b w:val="0"/>
        </w:rPr>
        <w:t>, perché poggia in ultima istanza su fonte memorialistica riscontrata in sede processuale e non su atto coevo.</w:t>
      </w:r>
    </w:p>
    <w:p>
      <w:pPr>
        <w:spacing w:line="276" w:lineRule="auto" w:before="0" w:after="0"/>
        <w:ind w:firstLine="425"/>
        <w:jc w:val="both"/>
      </w:pPr>
      <w:r>
        <w:rPr>
          <w:rFonts w:ascii="Times New Roman" w:hAnsi="Times New Roman" w:cs="Times New Roman" w:eastAsia="Times New Roman"/>
          <w:b w:val="0"/>
        </w:rPr>
        <w:t xml:space="preserve">La seconda faccia del diciotto è, per il registro primo, invisibile, e diventerà visibile solo per stratificazione documentale. Secondo una relazione informativa a firma del maresciallo che guidò l'operazione, quello stesso giorno cinque agenti del commissariato Flaminio Nuovo eseguirono perquisizioni negli appartamenti del civico novantasei di via Gradoli. L'interno undici non venne aperto: nessuno rispose, i vicini parlarono di una persona distinta, forse un rappresentante, che usciva la mattina e rientrava la sera tardi; mancando l'autorizzazione a forzare le porte, l'appartamento fu lasciato stare, e l'esito complessivo dell'operazione fu negativo. Il fatto è acquisito al grado </w:t>
      </w:r>
      <w:r>
        <w:rPr>
          <w:rFonts w:ascii="Times New Roman" w:hAnsi="Times New Roman" w:cs="Times New Roman" w:eastAsia="Times New Roman"/>
          <w:b/>
        </w:rPr>
        <w:t>B</w:t>
      </w:r>
      <w:r>
        <w:rPr>
          <w:rFonts w:ascii="Times New Roman" w:hAnsi="Times New Roman" w:cs="Times New Roman" w:eastAsia="Times New Roman"/>
          <w:b w:val="0"/>
        </w:rPr>
        <w:t>: lo sostengono due atti di natura diversa — la testimonianza dibattimentale resa al primo processo e la relazione informativa —, ma la relazione emerge soltanto nel millenovecentottantadue, consegnata ai giudici dal questore, e reca, come annota lo stesso elaborato parlamentare, un timbro con denominazione adottata dall'amministrazione soltanto nel millenovecentottantuno. L'anomalia documentale impedisce la salita al grado A, è iscritta come oggetto proprio di scavo, e riceve il proprio falsificatore: il reperimento dell'originale con protocollo coevo, o di un atto di registrazione indipendente della perquisizione, scioglierebbe l'anomalia in un senso o nell'altro.</w:t>
      </w:r>
    </w:p>
    <w:p>
      <w:pPr>
        <w:spacing w:line="276" w:lineRule="auto" w:before="0" w:after="0"/>
        <w:ind w:firstLine="425"/>
        <w:jc w:val="both"/>
      </w:pPr>
      <w:r>
        <w:rPr>
          <w:rFonts w:ascii="Times New Roman" w:hAnsi="Times New Roman" w:cs="Times New Roman" w:eastAsia="Times New Roman"/>
          <w:b w:val="0"/>
        </w:rPr>
        <w:t xml:space="preserve">Alla stessa giornata la letteratura di stampa ha aggiunto un antefatto. Nell'estate del millenovecentosettantotto un articolo riferì di una segnalazione anonima giunta fra il sedici e il diciassette al Ministero dell'Interno sull'esistenza di un covo in via Gradoli, con incarico del Ministro al vertice della Polizia di disporre perquisizioni nella zona. L'atto primario di quella segnalazione non è negli atti in possesso: il riferimento resta al grado </w:t>
      </w:r>
      <w:r>
        <w:rPr>
          <w:rFonts w:ascii="Times New Roman" w:hAnsi="Times New Roman" w:cs="Times New Roman" w:eastAsia="Times New Roman"/>
          <w:b/>
        </w:rPr>
        <w:t>C</w:t>
      </w:r>
      <w:r>
        <w:rPr>
          <w:rFonts w:ascii="Times New Roman" w:hAnsi="Times New Roman" w:cs="Times New Roman" w:eastAsia="Times New Roman"/>
          <w:b w:val="0"/>
        </w:rPr>
        <w:t>, e la sua verifica è iscritta come Stato Zero di deposito inesplorato.</w:t>
      </w:r>
    </w:p>
    <w:p>
      <w:pPr>
        <w:spacing w:line="276" w:lineRule="auto" w:before="0" w:after="0"/>
        <w:ind w:firstLine="425"/>
        <w:jc w:val="both"/>
      </w:pPr>
      <w:r>
        <w:rPr>
          <w:rFonts w:ascii="Times New Roman" w:hAnsi="Times New Roman" w:cs="Times New Roman" w:eastAsia="Times New Roman"/>
          <w:b w:val="0"/>
        </w:rPr>
        <w:t>La clausola anti-anacronistica governa la lettura dell'intera giornata. Il diciotto nessun operatore del registro primo poteva connettere il toponimo all'organizzazione: la connessione appartiene al registro secondo — il nome emergerà il due aprile nella circostanza bolognese registrata dalla cronologia parlamentare, la scoperta avverrà il diciotto aprile per un'infiltrazione d'acqua — e il Registro la tratterà nei giorni suoi. Ciò che invece appartiene di diritto al diciotto è la coincidenza di calendario fra la prima parola pubblica dell'organizzazione e la porta rimasta chiusa. Coincidenza, non nesso: la Regola di Ferro vieta di convertire la simultaneità in causalità, e la sequenza iscrive il doppio evento come pura co-occorrenza dei due registri sul medesimo giorno, disponibile alla falsificazione e non alla suggestione.</w:t>
      </w:r>
    </w:p>
    <w:p>
      <w:pPr>
        <w:spacing w:line="276" w:lineRule="auto" w:before="0" w:after="0"/>
        <w:ind w:firstLine="425"/>
        <w:jc w:val="both"/>
      </w:pPr>
      <w:r>
        <w:rPr>
          <w:rFonts w:ascii="Times New Roman" w:hAnsi="Times New Roman" w:cs="Times New Roman" w:eastAsia="Times New Roman"/>
          <w:b w:val="0"/>
        </w:rPr>
        <w:t>Sintesi del dato nuovo acquisito: comunicato numero uno con fotografia al grado A; regime dell'interrogatorio al grado B come sintesi parlamentare; mancata apertura dell'interno undici al grado B con anomalia documentale iscritta e falsificatore dichiarato; segnalazione anonima al grado C in Stato Zero di deposito inesplorato; simultaneità non convertita in nesso.</w:t>
      </w:r>
    </w:p>
    <w:p>
      <w:pPr>
        <w:keepNext/>
        <w:spacing w:line="276" w:lineRule="auto" w:before="320" w:after="160"/>
        <w:jc w:val="left"/>
      </w:pPr>
      <w:r>
        <w:rPr>
          <w:rFonts w:ascii="Times New Roman" w:hAnsi="Times New Roman" w:cs="Times New Roman" w:eastAsia="Times New Roman"/>
          <w:b/>
        </w:rPr>
        <w:t>CAPITOLO SESTO — GIORNO QUARTO. IL DICIANNOVE: LA TERZA AUTO E LA PRIMA PAROLA ESTERNA</w:t>
      </w:r>
    </w:p>
    <w:p>
      <w:pPr>
        <w:spacing w:line="276" w:lineRule="auto" w:before="0" w:after="0"/>
        <w:ind w:firstLine="425"/>
        <w:jc w:val="both"/>
      </w:pPr>
      <w:r>
        <w:rPr>
          <w:rFonts w:ascii="Times New Roman" w:hAnsi="Times New Roman" w:cs="Times New Roman" w:eastAsia="Times New Roman"/>
          <w:b w:val="0"/>
        </w:rPr>
        <w:t xml:space="preserve">Alle ventuno del diciannove la Fiat 128 di colore blu, telaio 1390208, con applicata la targa Roma L55850, viene reperita fra i civici venticinque e ventisette di via Licinio Calvo, sul lato destro della strada. Il dato è al grado </w:t>
      </w:r>
      <w:r>
        <w:rPr>
          <w:rFonts w:ascii="Times New Roman" w:hAnsi="Times New Roman" w:cs="Times New Roman" w:eastAsia="Times New Roman"/>
          <w:b/>
        </w:rPr>
        <w:t>A</w:t>
      </w:r>
      <w:r>
        <w:rPr>
          <w:rFonts w:ascii="Times New Roman" w:hAnsi="Times New Roman" w:cs="Times New Roman" w:eastAsia="Times New Roman"/>
          <w:b w:val="0"/>
        </w:rPr>
        <w:t xml:space="preserve">. Un teste residente nella vicina via Lucillo, escusso il venti marzo millenovecentosettantanove, dichiarerà che l'auto prima non c'era e di averla notata soltanto alle zero e trenta del diciannove: la finestra notturna è acquisita al grado </w:t>
      </w:r>
      <w:r>
        <w:rPr>
          <w:rFonts w:ascii="Times New Roman" w:hAnsi="Times New Roman" w:cs="Times New Roman" w:eastAsia="Times New Roman"/>
          <w:b/>
        </w:rPr>
        <w:t>B</w:t>
      </w:r>
      <w:r>
        <w:rPr>
          <w:rFonts w:ascii="Times New Roman" w:hAnsi="Times New Roman" w:cs="Times New Roman" w:eastAsia="Times New Roman"/>
          <w:b w:val="0"/>
        </w:rPr>
        <w:t xml:space="preserve">, perché negli atti in possesso viaggia su catena unica di richiamo. Tre depositi in quattro giorni sullo stesso lato della stessa strada, già luogo di rinvenimento e di osservazione dal primo pomeriggio: la strada si conferma canale e non parcheggio, l'ipotesi R ne esce ulteriormente non smentita, e con essa il cantiere del complesso di edifici con funzione di appoggio, che resta al grado </w:t>
      </w:r>
      <w:r>
        <w:rPr>
          <w:rFonts w:ascii="Times New Roman" w:hAnsi="Times New Roman" w:cs="Times New Roman" w:eastAsia="Times New Roman"/>
          <w:b/>
        </w:rPr>
        <w:t>B</w:t>
      </w:r>
      <w:r>
        <w:rPr>
          <w:rFonts w:ascii="Times New Roman" w:hAnsi="Times New Roman" w:cs="Times New Roman" w:eastAsia="Times New Roman"/>
          <w:b w:val="0"/>
        </w:rPr>
        <w:t xml:space="preserve"> nella qualità di cantiere.</w:t>
      </w:r>
    </w:p>
    <w:p>
      <w:pPr>
        <w:spacing w:line="276" w:lineRule="auto" w:before="0" w:after="0"/>
        <w:ind w:firstLine="425"/>
        <w:jc w:val="both"/>
      </w:pPr>
      <w:r>
        <w:rPr>
          <w:rFonts w:ascii="Times New Roman" w:hAnsi="Times New Roman" w:cs="Times New Roman" w:eastAsia="Times New Roman"/>
          <w:b w:val="0"/>
        </w:rPr>
        <w:t xml:space="preserve">Il registro primo esterno del diciannove registra l'ingresso del quinto dominio nella vicenda con un atto pubblico e datato: il Pontefice lancia il primo appello per la liberazione del prigioniero. Il dato è al grado </w:t>
      </w:r>
      <w:r>
        <w:rPr>
          <w:rFonts w:ascii="Times New Roman" w:hAnsi="Times New Roman" w:cs="Times New Roman" w:eastAsia="Times New Roman"/>
          <w:b/>
        </w:rPr>
        <w:t>A</w:t>
      </w:r>
      <w:r>
        <w:rPr>
          <w:rFonts w:ascii="Times New Roman" w:hAnsi="Times New Roman" w:cs="Times New Roman" w:eastAsia="Times New Roman"/>
          <w:b w:val="0"/>
        </w:rPr>
        <w:t xml:space="preserve"> sulla cronologia parlamentare. La sequenza si arresta qui e consegna alla parte seconda le due cerniere immediate del segmento successivo: la rivendicazione politica del nucleo storico al processo di Torino, il venti, e il decreto antiterrorismo approvato dal Governo, il ventuno.</w:t>
      </w:r>
    </w:p>
    <w:p>
      <w:pPr>
        <w:spacing w:line="276" w:lineRule="auto" w:before="0" w:after="0"/>
        <w:ind w:firstLine="425"/>
        <w:jc w:val="both"/>
      </w:pPr>
      <w:r>
        <w:rPr>
          <w:rFonts w:ascii="Times New Roman" w:hAnsi="Times New Roman" w:cs="Times New Roman" w:eastAsia="Times New Roman"/>
          <w:b w:val="0"/>
        </w:rPr>
        <w:t>Sintesi del dato nuovo acquisito: terza auto al grado A con ora e civici; finestra notturna del teste al grado B; la strada acquisita come canale; primo atto pubblico del dominio religioso datato al diciannove.</w:t>
      </w:r>
    </w:p>
    <w:p>
      <w:pPr>
        <w:keepNext/>
        <w:spacing w:line="276" w:lineRule="auto" w:before="320" w:after="160"/>
        <w:jc w:val="left"/>
      </w:pPr>
      <w:r>
        <w:rPr>
          <w:rFonts w:ascii="Times New Roman" w:hAnsi="Times New Roman" w:cs="Times New Roman" w:eastAsia="Times New Roman"/>
          <w:b/>
        </w:rPr>
        <w:t>CAPITOLO SETTIMO — CHIUSURA DEL SEGMENTO: QUADRO DEI GRADI, STATI ZERO, FALSIFICATORI, RINVIO</w:t>
      </w:r>
    </w:p>
    <w:p>
      <w:pPr>
        <w:spacing w:line="276" w:lineRule="auto" w:before="0" w:after="0"/>
        <w:ind w:firstLine="425"/>
        <w:jc w:val="both"/>
      </w:pPr>
      <w:r>
        <w:rPr>
          <w:rFonts w:ascii="Times New Roman" w:hAnsi="Times New Roman" w:cs="Times New Roman" w:eastAsia="Times New Roman"/>
          <w:b w:val="0"/>
        </w:rPr>
        <w:t xml:space="preserve">Il quadro dei gradi del segmento si chiude così. Appartengono al grado </w:t>
      </w:r>
      <w:r>
        <w:rPr>
          <w:rFonts w:ascii="Times New Roman" w:hAnsi="Times New Roman" w:cs="Times New Roman" w:eastAsia="Times New Roman"/>
          <w:b/>
        </w:rPr>
        <w:t>A</w:t>
      </w:r>
      <w:r>
        <w:rPr>
          <w:rFonts w:ascii="Times New Roman" w:hAnsi="Times New Roman" w:cs="Times New Roman" w:eastAsia="Times New Roman"/>
          <w:b w:val="0"/>
        </w:rPr>
        <w:t xml:space="preserve"> otto acquisizioni: la finestra di parcheggio della 132 con la presenza di una donna armata fra gli occupanti; il reperimento della seconda auto alle quattro e dieci del diciassette; il reperimento della terza auto alle ventuno del diciannove; lo sciopero generale e la fiducia nella notte del sedici; l'esistenza dei comitati di crisi; il Comunicato numero uno con la fotografia; l'esistenza e il contenuto della deposizione sulla scena di via Bitossi; l'appello pontificio del diciannove. Appartengono al grado </w:t>
      </w:r>
      <w:r>
        <w:rPr>
          <w:rFonts w:ascii="Times New Roman" w:hAnsi="Times New Roman" w:cs="Times New Roman" w:eastAsia="Times New Roman"/>
          <w:b/>
        </w:rPr>
        <w:t>B</w:t>
      </w:r>
      <w:r>
        <w:rPr>
          <w:rFonts w:ascii="Times New Roman" w:hAnsi="Times New Roman" w:cs="Times New Roman" w:eastAsia="Times New Roman"/>
          <w:b w:val="0"/>
        </w:rPr>
        <w:t xml:space="preserve"> otto acquisizioni di registro primo — l'ipotesi del rilascio progressivo delle automobili; la lettura commissariale della scena di via Bitossi; il perimetro entro il chilometro; la pluralità dei luoghi di detenzione con il primo luogo forse extraterritoriale; la sintesi parlamentare sul regime dell'interrogatorio; la mancata apertura dell'interno undici; la finestra notturna della terza auto; il cantiere del complesso di edifici — alle quali si aggiunge, nel registro secondo, la constatazione sulla composizione degli apparati di gestione della crisi. Appartengono al grado </w:t>
      </w:r>
      <w:r>
        <w:rPr>
          <w:rFonts w:ascii="Times New Roman" w:hAnsi="Times New Roman" w:cs="Times New Roman" w:eastAsia="Times New Roman"/>
          <w:b/>
        </w:rPr>
        <w:t>C</w:t>
      </w:r>
      <w:r>
        <w:rPr>
          <w:rFonts w:ascii="Times New Roman" w:hAnsi="Times New Roman" w:cs="Times New Roman" w:eastAsia="Times New Roman"/>
          <w:b w:val="0"/>
        </w:rPr>
        <w:t xml:space="preserve"> tre voci: la segnalazione anonima riferita dalla stampa; ogni attribuzione proprietaria specifica nella zona del perimetro; la macro-ipotesi H1, che il segmento non ha interrogato e che resta al proprio grado con il proprio falsificatore designato — e il non averla interrogata è, in questa sede, il modo corretto di trattarla.</w:t>
      </w:r>
    </w:p>
    <w:p>
      <w:pPr>
        <w:spacing w:line="276" w:lineRule="auto" w:before="0" w:after="0"/>
        <w:ind w:firstLine="425"/>
        <w:jc w:val="both"/>
      </w:pPr>
      <w:r>
        <w:rPr>
          <w:rFonts w:ascii="Times New Roman" w:hAnsi="Times New Roman" w:cs="Times New Roman" w:eastAsia="Times New Roman"/>
          <w:b w:val="0"/>
        </w:rPr>
        <w:t>Gli Stati Zero del segmento sono quattro. Primo: l'identità della donna armata di via Licinio Calvo, assenza negli atti in possesso, senza alcuna attribuzione. Secondo: il giorno e l'atto formale di costituzione dei comitati di crisi, Stato Zero di reperimento. Terzo: l'atto primario della segnalazione anonima su via Gradoli, deposito inesplorato. Quarto: l'assenza, negli atti in possesso, di un verbale che documenti una sorveglianza continuativa di via Licinio Calvo fra il pomeriggio del sedici e la sera del diciannove — assenza che la prossima sessione di scavo dovrà qualificare, distinguendo il deposito inesplorato dall'assenza coerente con la collocazione, perché dalla qualificazione dipende il peso probatorio del terzo deposito notturno.</w:t>
      </w:r>
    </w:p>
    <w:p>
      <w:pPr>
        <w:spacing w:line="276" w:lineRule="auto" w:before="0" w:after="0"/>
        <w:ind w:firstLine="425"/>
        <w:jc w:val="both"/>
      </w:pPr>
      <w:r>
        <w:rPr>
          <w:rFonts w:ascii="Times New Roman" w:hAnsi="Times New Roman" w:cs="Times New Roman" w:eastAsia="Times New Roman"/>
          <w:b w:val="0"/>
        </w:rPr>
        <w:t>I falsificatori dichiarati nel segmento sono tre, e restano permanentemente esposti: per l'ipotesi del rilascio progressivo, un verbale o rilievo coevo che collochi le tre automobili in strada la mattina del sedici; per la lettura della scena di via Bitossi, un atto che documenti il trasbordo in piazza Madonna del Cenacolo con riscontri indipendenti dalla versione memorialistica; per la mancata perquisizione dell'interno undici, il reperimento dell'originale della relazione informativa con protocollo coevo ovvero di un atto di registrazione indipendente. Ogni acquisizione del segmento è così accompagnata dall'indicazione di ciò che la falsificherebbe, in conformità al principio che governa l'intera Opera.</w:t>
      </w:r>
    </w:p>
    <w:p>
      <w:pPr>
        <w:spacing w:line="276" w:lineRule="auto" w:before="0" w:after="0"/>
        <w:ind w:firstLine="425"/>
        <w:jc w:val="both"/>
      </w:pPr>
      <w:r>
        <w:rPr>
          <w:rFonts w:ascii="Times New Roman" w:hAnsi="Times New Roman" w:cs="Times New Roman" w:eastAsia="Times New Roman"/>
          <w:b w:val="0"/>
        </w:rPr>
        <w:t>La parte seconda della sequenza coprirà i giorni dal venti al ventinove marzo: la rivendicazione di Torino, il decreto antiterrorismo, e l'apertura del canale epistolare, che la cronologia parlamentare fissa al ventinove con il comunicato recante la lettera riservata del prigioniero al Ministro dell'Interno — il punto in cui la macchina informativa cambia natura, perché comincia a pubblicare l'avversario. Il doppio registro resterà la forma del racconto. La linea Alfa–Beta attende il proprio capitolo quinto in sessione dedicata. Nessun errore proprio è da dichiarare nella presente sessione; l'espunzione del duplicato è iscritta come atto di conferimento. I settanta Capitoli restano settanta: la presente prosecuzione alimenta la sequenza senza mutarne l'architettura.</w:t>
      </w:r>
    </w:p>
    <w:p>
      <w:pPr>
        <w:spacing w:line="276" w:lineRule="auto" w:before="0" w:after="0"/>
        <w:ind w:firstLine="425"/>
        <w:jc w:val="both"/>
      </w:pPr>
      <w:r>
        <w:rPr>
          <w:rFonts w:ascii="Times New Roman" w:hAnsi="Times New Roman" w:cs="Times New Roman" w:eastAsia="Times New Roman"/>
          <w:b w:val="0"/>
        </w:rPr>
        <w:t>Sintesi finale del dato nuovo acquisito: la sequenza giornaliera del Registro dei Cinquantacinque Giorni è aperta; quattro giorni sono acquisiti a doppio registro, con otto dati di grado A, nove di grado B, tre voci di grado C e quattro Stati Zero dichiarati.</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