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120" w:before="120"/>
        <w:jc w:val="center"/>
      </w:pPr>
      <w:r>
        <w:rPr>
          <w:rFonts w:ascii="Times New Roman" w:hAnsi="Times New Roman" w:cs="Times New Roman" w:eastAsia="Times New Roman"/>
          <w:b w:val="0"/>
          <w:sz w:val="24"/>
        </w:rPr>
        <w:t>ITALIA NERA</w:t>
      </w:r>
    </w:p>
    <w:p>
      <w:pPr>
        <w:spacing w:line="276" w:lineRule="auto" w:after="120" w:before="120"/>
        <w:jc w:val="center"/>
      </w:pPr>
      <w:r>
        <w:rPr>
          <w:rFonts w:ascii="Times New Roman" w:hAnsi="Times New Roman" w:cs="Times New Roman" w:eastAsia="Times New Roman"/>
          <w:b w:val="0"/>
          <w:sz w:val="24"/>
        </w:rPr>
        <w:t>REGISTRO DI TRIANGOLAZIONE</w:t>
      </w:r>
    </w:p>
    <w:p>
      <w:pPr>
        <w:spacing w:line="276" w:lineRule="auto" w:after="80"/>
        <w:jc w:val="center"/>
      </w:pPr>
      <w:r>
        <w:rPr>
          <w:rFonts w:ascii="Times New Roman" w:hAnsi="Times New Roman" w:cs="Times New Roman" w:eastAsia="Times New Roman"/>
          <w:b w:val="0"/>
          <w:sz w:val="24"/>
        </w:rPr>
        <w:t>Il Sacro, il Dossier Guevara e i Dossier Moro</w:t>
      </w:r>
    </w:p>
    <w:p>
      <w:pPr>
        <w:spacing w:line="276" w:lineRule="auto" w:after="80"/>
        <w:jc w:val="center"/>
      </w:pPr>
      <w:r>
        <w:rPr>
          <w:rFonts w:ascii="Times New Roman" w:hAnsi="Times New Roman" w:cs="Times New Roman" w:eastAsia="Times New Roman"/>
          <w:b w:val="0"/>
          <w:sz w:val="24"/>
        </w:rPr>
        <w:t>Filtro omonimico, cucitura venezuelana, nodo Girotto, nodo Karamessines, canale vaticano e stato dei caricamenti</w:t>
      </w:r>
    </w:p>
    <w:p>
      <w:pPr>
        <w:spacing w:line="276" w:lineRule="auto" w:after="80"/>
        <w:jc w:val="center"/>
      </w:pPr>
      <w:r>
        <w:rPr>
          <w:rFonts w:ascii="Times New Roman" w:hAnsi="Times New Roman" w:cs="Times New Roman" w:eastAsia="Times New Roman"/>
          <w:b w:val="0"/>
          <w:sz w:val="24"/>
        </w:rPr>
        <w:t>Documento trasversale della serie — Edizione prima di lavoro, ventitré agosto duemilaventisei</w:t>
      </w:r>
    </w:p>
    <w:p>
      <w:pPr>
        <w:spacing w:line="276" w:lineRule="auto" w:after="80"/>
        <w:jc w:val="center"/>
      </w:pPr>
      <w:r>
        <w:rPr>
          <w:rFonts w:ascii="Times New Roman" w:hAnsi="Times New Roman" w:cs="Times New Roman" w:eastAsia="Times New Roman"/>
          <w:b w:val="0"/>
          <w:sz w:val="24"/>
        </w:rPr>
        <w:t>Luigi De Michele, autore e direttore dell’opera</w:t>
      </w:r>
    </w:p>
    <w:p>
      <w:pPr>
        <w:keepNext/>
        <w:spacing w:line="276" w:lineRule="auto" w:before="360" w:after="160"/>
        <w:jc w:val="left"/>
      </w:pPr>
      <w:r>
        <w:rPr>
          <w:rFonts w:ascii="Times New Roman" w:hAnsi="Times New Roman" w:cs="Times New Roman" w:eastAsia="Times New Roman"/>
          <w:b w:val="0"/>
          <w:sz w:val="24"/>
        </w:rPr>
        <w:t>NOTA DI COMPOSIZIONE E STATO ZERO DEI CARICAMENTI</w:t>
      </w:r>
    </w:p>
    <w:p>
      <w:pPr>
        <w:spacing w:line="276" w:lineRule="auto" w:after="120"/>
        <w:ind w:firstLine="425"/>
        <w:jc w:val="both"/>
      </w:pPr>
      <w:r>
        <w:rPr>
          <w:rFonts w:ascii="Times New Roman" w:hAnsi="Times New Roman" w:cs="Times New Roman" w:eastAsia="Times New Roman"/>
          <w:b w:val="0"/>
          <w:sz w:val="24"/>
        </w:rPr>
        <w:t>Il comando della sessione ordina di estrarre i contenuti dei documenti caricati, di tenerli in memoria, di censire le parole chiave ricorrenti, di incrociarle con approccio investigativo su tutto il corpus della cartella del progetto, e di triangolare la monografia sul sacro e l’eversione con il Dossier Guevara e con i Dossier Moro. Il presente Registro esegue il comando nei limiti materiali che la Regola di Ferro impone di dichiarare per primi, perché una triangolazione che tacesse la consistenza effettiva del proprio corpus sarebbe viziata in radice.</w:t>
      </w:r>
    </w:p>
    <w:p>
      <w:pPr>
        <w:spacing w:line="276" w:lineRule="auto" w:after="120"/>
        <w:ind w:firstLine="425"/>
        <w:jc w:val="both"/>
      </w:pPr>
      <w:r>
        <w:rPr>
          <w:rFonts w:ascii="Times New Roman" w:hAnsi="Times New Roman" w:cs="Times New Roman" w:eastAsia="Times New Roman"/>
          <w:b w:val="0"/>
          <w:sz w:val="24"/>
        </w:rPr>
        <w:t>La lista dei caricamenti annunciata alla sessione comprende venti voci: le dodici appendici del caso Moro della Fase Settima, dalla seconda alla tredicesima, con tre duplicati; la monografia Il Sacro e l’Eversione; il Dossier V74 con la diciassettesima tavola sullo Statuto del Conferimento; la Triangolazione Atlantica Australe in dodici capitoli; la Quarta Serie di cinquanta blocchi con certificazione V70; e il Registro di Triangolazione del ventuno agosto duemilaventisei. Di queste venti voci, una sola è materialmente pervenuta e leggibile: la monografia Il Sacro e l’Eversione, edizione prima del ventuno agosto duemilaventisei, letta integralmente. La cartella dei caricamenti è stata verificata sul file system e risulta vuota: le altre diciannove voci non sono presenti né come testo né come file. Il fatto è registrato come Stato Zero di sessione, non come lacuna dell’opera: i documenti esistono nell’archivio dell’autore, ma non hanno raggiunto questa seduta di lavoro, e vanno ricaricati. Nessuna asserzione del presente Registro attinge, per conseguenza, alle appendici della Fase Settima, al Dossier V74, alla Triangolazione Atlantica Australe, alla Quarta Serie o al Registro del ventuno agosto: dove il testo li nomina, li nomina soltanto per dichiararne l’assenza.</w:t>
      </w:r>
    </w:p>
    <w:p>
      <w:pPr>
        <w:spacing w:line="276" w:lineRule="auto" w:after="120"/>
        <w:ind w:firstLine="425"/>
        <w:jc w:val="both"/>
      </w:pPr>
      <w:r>
        <w:rPr>
          <w:rFonts w:ascii="Times New Roman" w:hAnsi="Times New Roman" w:cs="Times New Roman" w:eastAsia="Times New Roman"/>
          <w:b w:val="0"/>
          <w:sz w:val="24"/>
        </w:rPr>
        <w:t>Il corpus effettivamente triangolato è dunque composto dalla monografia sul sacro, unica voce pervenuta, e dalla cartella del progetto, letta per intero con ricerca sequenziale per parola chiave. Il Dossier Guevara è stato ricostruito dalla cartella e non da un caricamento: il termine, nella trascrizione vocale del comando, è stato letto come Guevara e verificato sul corpus, dove ricorre in tre accezioni distinte che il filtro omonimico separa nella Fase Prima. I Dossier Moro sono stati attinti dal Registro Analitico del Caso Moro nella sua edizione dodicesima e, per lo statuto del campo fra i Documenti, dal Codice Relazionale dei Registri e dal Protocollo dei Passaggi; dalla relazione della seconda Commissione parlamentare sul caso Moro, dall’elaborato della Commissione stragi sull’ombra dei servizi orientali, dall’elaborato sulla dimensione sovranazionale del terrorismo, dalla cronologia delle stragi, dalla rilettura degli anni Sessanta, dal documento ventitreesimo numero trentasette della diciottesima legislatura, dalla matrice dell’Indice di Contaminazione della Fonte e dai Registri Unici Federati dalla sessantaquattresima alla sessantaseiesima edizione. Le fonti secondarie della cartella — fra cui la ricostruzione di Daniel Ganser sulle armate segrete della NATO — sono state impiegate come fonti di riscontro e mai come fonti fondanti.</w:t>
      </w:r>
    </w:p>
    <w:p>
      <w:pPr>
        <w:keepNext/>
        <w:spacing w:line="276" w:lineRule="auto" w:before="360" w:after="160"/>
        <w:jc w:val="left"/>
      </w:pPr>
      <w:r>
        <w:rPr>
          <w:rFonts w:ascii="Times New Roman" w:hAnsi="Times New Roman" w:cs="Times New Roman" w:eastAsia="Times New Roman"/>
          <w:b w:val="0"/>
          <w:sz w:val="24"/>
        </w:rPr>
        <w:t>NOTA SUL METODO</w:t>
      </w:r>
    </w:p>
    <w:p>
      <w:pPr>
        <w:spacing w:line="276" w:lineRule="auto" w:after="120"/>
        <w:ind w:firstLine="425"/>
        <w:jc w:val="both"/>
      </w:pPr>
      <w:r>
        <w:rPr>
          <w:rFonts w:ascii="Times New Roman" w:hAnsi="Times New Roman" w:cs="Times New Roman" w:eastAsia="Times New Roman"/>
          <w:b w:val="0"/>
          <w:sz w:val="24"/>
        </w:rPr>
        <w:t xml:space="preserve">Vige la Regola di Ferro: dove la fonte documenta, il Registro certifica; dove la fonte tace, il Registro indaga e non afferma. Ogni nodo porta il proprio grado secondo il Sistema Savona —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per la convergenza di almeno tre fonti indipendenti ed eterogenee,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per due fonti indipendenti o per una singola fonte di alta affidabilità,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per l’ipotesi da verificare — e il proprio falsificatore, ossia l’indicazione di che cosa, se reperito, lo smentirebbe. Le assenze documentate sono registrate come Stato Zero con pari dignità rispetto alle presenze. Sulle letture interpretative si applica l’analisi delle ipotesi concorrenti di Heuer, che premia non l’ipotesi con più conferme ma quella meno contraddetta.</w:t>
      </w:r>
    </w:p>
    <w:p>
      <w:pPr>
        <w:spacing w:line="276" w:lineRule="auto" w:after="120"/>
        <w:ind w:firstLine="425"/>
        <w:jc w:val="both"/>
      </w:pPr>
      <w:r>
        <w:rPr>
          <w:rFonts w:ascii="Times New Roman" w:hAnsi="Times New Roman" w:cs="Times New Roman" w:eastAsia="Times New Roman"/>
          <w:b w:val="0"/>
          <w:sz w:val="24"/>
        </w:rPr>
        <w:t xml:space="preserve">La gerarchia espositiva in dieci punti consegnata con il comando — Italia ed Europa come centro, le due potenze imperiali come freno all’integrazione europea, la convergenza operativa di nemici dichiarati, i colpi di Stato e le stragi come strumento, i servizi deviati come cerniera, la collaborazione fra intelligence, mafie, Vaticano, estremismi, alti gradi militari, aristocrazie e massonerie, la promozione delle forze populiste come arma economica — è ricevuta come ordo expositionis e soltanto come tale. L’ordo probandi resta distinto e sovrano: la macro-ipotesi della convergenza fra Stati Uniti e Unione Sovietica, poi Russia, contro l’integrazione europea è iscritta nel Registro come ipotesi prima, di </w:t>
      </w:r>
      <w:r>
        <w:rPr>
          <w:rFonts w:ascii="Times New Roman" w:hAnsi="Times New Roman" w:cs="Times New Roman" w:eastAsia="Times New Roman"/>
          <w:b/>
          <w:sz w:val="24"/>
        </w:rPr>
        <w:t>Livello C</w:t>
      </w:r>
      <w:r>
        <w:rPr>
          <w:rFonts w:ascii="Times New Roman" w:hAnsi="Times New Roman" w:cs="Times New Roman" w:eastAsia="Times New Roman"/>
          <w:b w:val="0"/>
          <w:sz w:val="24"/>
        </w:rPr>
        <w:t>, falsificabile, mai come premessa strutturale; il falsificatore designato permanente resta la tesi di Alan Milward sul salvataggio europeo dello Stato-nazione, e la Fase Nona di questo Registro sottopone la macro-ipotesi al test delle evidenze qui raccolte, riferendo con lealtà anche ciò che la contraddice. Il pericolo che la Nota Metodologica chiama il Pollo di Popper è massimo precisamente in una triangolazione come questa, dove tre dossier ricchi di coincidenze sono accostati per comando: ogni coincidenza è registrata come dato, nessuna è promossa a nesso senza fonte.</w:t>
      </w:r>
    </w:p>
    <w:p>
      <w:pPr>
        <w:spacing w:line="276" w:lineRule="auto" w:after="120"/>
        <w:ind w:firstLine="425"/>
        <w:jc w:val="both"/>
      </w:pPr>
      <w:r>
        <w:rPr>
          <w:rFonts w:ascii="Times New Roman" w:hAnsi="Times New Roman" w:cs="Times New Roman" w:eastAsia="Times New Roman"/>
          <w:b w:val="0"/>
          <w:sz w:val="24"/>
        </w:rPr>
        <w:t>Tre discipline ulteriori governano il testo. Il divieto dell’attore monolitico: nessun apparato — la CIA, il KGB, il SISMI, la Santa Sede, le Brigate Rosse — è trattato come soggetto unitario, e la differenziazione interna è mantenuta ovunque le fonti la documentino. L’Indice di Contaminazione della Fonte: le fonti che la matrice del progetto colloca ai gradi più alti — il canale della residentura sovietica di Roma per l’operazione Sperone, il falsario del lago della Duchessa, le dichiarazioni tardive autoattributive — non fondano alcuna asserzione del presente Registro. Il filtro omonimico: in un comando che ordina di triangolare il Dossier Guevara con i Dossier Moro, la prima operazione dovuta è separare le persone che portano quel cognome, perché l’errore di attribuzione, in questa materia, non sarebbe un refuso ma una diffamazione della memoria o della persona.</w:t>
      </w:r>
    </w:p>
    <w:p>
      <w:pPr>
        <w:spacing w:line="276" w:lineRule="auto" w:after="120"/>
        <w:ind w:firstLine="425"/>
        <w:jc w:val="both"/>
      </w:pPr>
      <w:r>
        <w:rPr>
          <w:rFonts w:ascii="Times New Roman" w:hAnsi="Times New Roman" w:cs="Times New Roman" w:eastAsia="Times New Roman"/>
          <w:b w:val="0"/>
          <w:sz w:val="24"/>
        </w:rPr>
        <w:t>Il presente Registro è documento trasversale e non appartiene alla formula a tre membri dei Documenti Morotei. In forza del Codice Relazionale dei Registri, esso non comanda alcun Registro: ciò che produce sono consegne — offerte, non ordini — indirizzate al Registro Unico Federato per l’iscrizione di nodi nuovi e al Registro Speculare del caso Moro per l’ammissione in acqua delle ipotesi. Il destinatario accoglie o non accoglie, e la non accoglienza motivata è atto legittimo del campo.</w:t>
      </w:r>
    </w:p>
    <w:p>
      <w:pPr>
        <w:keepNext/>
        <w:spacing w:line="276" w:lineRule="auto" w:before="360" w:after="160"/>
        <w:jc w:val="left"/>
      </w:pPr>
      <w:r>
        <w:rPr>
          <w:rFonts w:ascii="Times New Roman" w:hAnsi="Times New Roman" w:cs="Times New Roman" w:eastAsia="Times New Roman"/>
          <w:b w:val="0"/>
          <w:sz w:val="24"/>
        </w:rPr>
        <w:t>FASE PRIMA — IL FILTRO OMONIMICO: TRE GUEVARA</w:t>
      </w:r>
    </w:p>
    <w:p>
      <w:pPr>
        <w:spacing w:line="276" w:lineRule="auto" w:after="120"/>
        <w:ind w:firstLine="425"/>
        <w:jc w:val="both"/>
      </w:pPr>
      <w:r>
        <w:rPr>
          <w:rFonts w:ascii="Times New Roman" w:hAnsi="Times New Roman" w:cs="Times New Roman" w:eastAsia="Times New Roman"/>
          <w:b w:val="0"/>
          <w:sz w:val="24"/>
        </w:rPr>
        <w:t xml:space="preserve">Il corpus della cartella restituisce, sotto il cognome Guevara, tre persone che nulla autorizza ad accostare fra loro se non la grafia. La prima è Ernesto Guevara de la Serna, detto Che, nato a Rosario nel millenovecentoventotto e ucciso a La Higuera, in Bolivia, nell’ottobre del millenovecentosessantasette — le fonti della cartella divergono sul giorno, otto ottobre per l’elaborato parlamentare e nove ottobre per il Registro integrale V63, e la divergenza è registrata come tale —: comandante della rivoluzione cubana, propagatore della guerriglia continentale, iscritto nel Registro Unico Federato quale nodo del Fascicolo Cuba ai Domini settimo e nono con grado </w:t>
      </w:r>
      <w:r>
        <w:rPr>
          <w:rFonts w:ascii="Times New Roman" w:hAnsi="Times New Roman" w:cs="Times New Roman" w:eastAsia="Times New Roman"/>
          <w:b/>
          <w:sz w:val="24"/>
        </w:rPr>
        <w:t>Livello A</w:t>
      </w:r>
      <w:r>
        <w:rPr>
          <w:rFonts w:ascii="Times New Roman" w:hAnsi="Times New Roman" w:cs="Times New Roman" w:eastAsia="Times New Roman"/>
          <w:b w:val="0"/>
          <w:sz w:val="24"/>
        </w:rPr>
        <w:t>. La seconda è il tenente colonnello Arquímedes Guevara Alcalá, addetto militare dell’Ambasciata del Venezuela a Roma, al quale era assegnata la targa diplomatica CD 19707 e che l’undici aprile millenovecentosettantatré ne denunciò il furto presso l’Arma dei carabinieri di Roma-Parioli: persona documentata nel solo elaborato parlamentare sulla dimensione sovranazionale, mai iscritta ad alcun registro dell’opera. La terza è una Anna Guevara, citata dall’avvocato Giovan Battista Lazagna in un’intervista riportata dal medesimo elaborato quale persona che gli avrebbe confermato di recente il ruolo di Giangiacomo Feltrinelli come tramite fiduciario dei compagni latino-americani: una menzione nominale senza dati anagrafici, che il Registro non tenta di identificare e che resta, come persona, uno Stato Zero.</w:t>
      </w:r>
    </w:p>
    <w:p>
      <w:pPr>
        <w:spacing w:line="276" w:lineRule="auto" w:after="120"/>
        <w:ind w:firstLine="425"/>
        <w:jc w:val="both"/>
      </w:pPr>
      <w:r>
        <w:rPr>
          <w:rFonts w:ascii="Times New Roman" w:hAnsi="Times New Roman" w:cs="Times New Roman" w:eastAsia="Times New Roman"/>
          <w:b w:val="0"/>
          <w:sz w:val="24"/>
        </w:rPr>
        <w:t>Da questa separazione discende la lettura del comando. Il Dossier Guevara è scisso in due dossier dichiarati. Il Dossier Guevara-Uno raccoglie il registro che fa capo al Che: la centrale cubana, la Bolivia del millenovecentosessantasette, Feltrinelli, Debray, la vendetta di Amburgo, il frate-guerrigliero Silvano Girotto, la staffetta di Caracas del millenovecentosessantacinque, l’appello dei due, tre, molti Vietnam nella Konkret di Ulrike Meinhof, la sezione palestinese che nel millenovecentosettantasei porta il nome del Che a Entebbe, e l’uomo della CIA che nel millenovecentosessantasette ne scopre le tracce in Bolivia, Thomas Karamessines. Il Dossier Guevara-Due raccoglie il registro che fa capo alla targa: la Fiat 128 familiare di via Fani, la denuncia del millenovecentosettantatré, la targa gemella in plastica, l’appunto del millenovecentottanta al capo dell’Ufficio del direttore del SISMI, il venezuelano scomparso con la valigia un’ora prima dell’agguato, il contatto venezuelano di Navitalia, i coniugi Conforto-Corbò in Venezuela nel medesimo millenovecentosettantatré e nei documenti sequestrati a Caracas nel millenovecentosettantacinque. Nessuna biografia dell’uno può essere attinta per l’altro. Ciò che i due dossier condividono non è una persona ma un luogo, il Venezuela, e un anno, il millenovecentosettantatré: e proprio questa condivisione non personale è l’oggetto della cucitura che la Fase Quarta esamina.</w:t>
      </w:r>
    </w:p>
    <w:p>
      <w:pPr>
        <w:keepNext/>
        <w:spacing w:line="276" w:lineRule="auto" w:before="360" w:after="160"/>
        <w:jc w:val="left"/>
      </w:pPr>
      <w:r>
        <w:rPr>
          <w:rFonts w:ascii="Times New Roman" w:hAnsi="Times New Roman" w:cs="Times New Roman" w:eastAsia="Times New Roman"/>
          <w:b w:val="0"/>
          <w:sz w:val="24"/>
        </w:rPr>
        <w:t>FASE SECONDA — IL LESSICO DI TRIANGOLAZIONE</w:t>
      </w:r>
    </w:p>
    <w:p>
      <w:pPr>
        <w:spacing w:line="276" w:lineRule="auto" w:after="120"/>
        <w:ind w:firstLine="425"/>
        <w:jc w:val="both"/>
      </w:pPr>
      <w:r>
        <w:rPr>
          <w:rFonts w:ascii="Times New Roman" w:hAnsi="Times New Roman" w:cs="Times New Roman" w:eastAsia="Times New Roman"/>
          <w:b w:val="0"/>
          <w:sz w:val="24"/>
        </w:rPr>
        <w:t>Il censimento computazionale delle parole chiave è stato condotto su sette documenti maggiori della cartella — l’elaborato sulla dimensione sovranazionale, la rilettura degli anni Sessanta, l’elaborato sull’ombra dei servizi orientali, l’elaborato sul caso Moro della Commissione stragi, la cronologia delle stragi, la relazione della seconda Commissione Moro e il Registro Analitico del Caso Moro nella dodicesima edizione — estraendo i nomi propri, le sigle e i toponimi con frequenza non inferiore a sei occorrenze e ordinandoli per numero di documenti in cui ricorrono. Ne risultano milleseicentoquarantanove lemmi distinti; se ne riporta qui in prosa, per dominio, il nucleo utile alla triangolazione, in modo che il lettore possa verificare che l’incrocio è stato condotto sui termini realmente ricorrenti e non su un lessico imposto dall’esterno.</w:t>
      </w:r>
    </w:p>
    <w:p>
      <w:pPr>
        <w:spacing w:line="276" w:lineRule="auto" w:after="120"/>
        <w:ind w:firstLine="425"/>
        <w:jc w:val="both"/>
      </w:pPr>
      <w:r>
        <w:rPr>
          <w:rFonts w:ascii="Times New Roman" w:hAnsi="Times New Roman" w:cs="Times New Roman" w:eastAsia="Times New Roman"/>
          <w:b w:val="0"/>
          <w:sz w:val="24"/>
        </w:rPr>
        <w:t>Persone del nodo centrale e degli esecutori: Aldo Moro, Mario Moretti, Valerio Morucci, Adriana Faranda, Prospero Gallinari, Anna Laura Braghetti, Barbara Balzerani, Germano Maccari, Raimondo Etro, Renato Curcio, Alberto Franceschini, Mara Cagol, Patrizio Peci, Giovanni Senzani, Antonio Savasta, Corrado Alunni, Franco Piperno, Lanfranco Pace, Toni Negri, Oreste Scalzone, Giuliana Conforto, Giorgio Conforto, Massimo Corbò, Luciana Bozzi, Giancarlo Ferrero, Giustino De Vuono, Antonio Chichiarelli, Luciano Dal Bello, Benito Cazora, Sereno Freato, Flavio Carboni, Giuseppe Messina, Franco Tritto, Igor Markevitch, Topazia Caetani. Persone degli apparati e del governo: Francesco Cossiga, Giulio Andreotti, Nicola Lettieri, Giuseppe Parlato, Giuseppe Santovito, Giulio Grassini, Emanuele De Francesco, Pietro Corsini, Raffaele Giudice, Federico Umberto D’Amato, Silvano Russomanno, Ansoino Andreassi, Antonio Cornacchia, Secondo D’Eliseo, Carlo Alberto Dalla Chiesa, il generale Bozzo, il capitano Pignero, il generale Romeo, Vito Miceli, Gianadelio Maletti, Antonio La Bruna, Giovanni De Lorenzo, Renzo Rocca, Giovanni Allavena, Walter Pelosi, Vincenzo Parisi, Edgardo Sogno, Licio Gelli, Rosario Priore, Ferdinando Imposimato, Carlo Mastelloni, Giovanni Tamburino, Guido Salvini, Antonio Allegra, Luigi Calabresi.</w:t>
      </w:r>
    </w:p>
    <w:p>
      <w:pPr>
        <w:spacing w:line="276" w:lineRule="auto" w:after="120"/>
        <w:ind w:firstLine="425"/>
        <w:jc w:val="both"/>
      </w:pPr>
      <w:r>
        <w:rPr>
          <w:rFonts w:ascii="Times New Roman" w:hAnsi="Times New Roman" w:cs="Times New Roman" w:eastAsia="Times New Roman"/>
          <w:b w:val="0"/>
          <w:sz w:val="24"/>
        </w:rPr>
        <w:t>Persone del canale religioso e della mediazione: Paolo VI, Pasquale Macchi, Cesare Curioni, Fabio Fabbri, Enrico Zucca, Antonello Mennini, l’avvocato Guiso, Gennaro Acquaviva, Giuliano Vassalli, Bettino Craxi, Claudio Signorile, Flaminio Piccoli, Benigno Zaccagnini, Amintore Fanfani, Enrico Berlinguer, Ugo Pecchioli, Armando Cossutta, Giancarlo Pajetta, Giuliano Pajetta, Pietro Secchia, Matteo Secchia, Pietro Ingrao, Lelio Basso, Gianfranco Maris, Alessandro Beltramini, Josefa Ventosa Jimenez, Clara Anna Baretic de Padilla, Julio Álvarez del Vayo, Edoardo Gallegos Mancera, Miguel Ángel Capriles, Giovan Battista Lazagna, Enrico Levati, Giorgio Pisanò, Silvano Girotto, Ciro De Vincenzo, Roberto Ognibene, Giangiacomo Feltrinelli, Sibilla Melega, Valerio Riva, Aldo Grandi, Régis Debray, Roberto Quintanilla, Monika Ertl, Emilio Ale Maldonado, Osvaldo Ukaski, Filemón Escobar, Graziano Mesina, Petra Krause, Ulrike Meinhof, Andreas Baader, Willy Peter Stoll, Hanns-Martin Schleyer, Ilich Ramírez Sánchez, Douglas Bravo, George Habbash, Wadi Haddad, Bassam Abu Sharif, Ghassan Kanafani, Wilfried Böse, Gabriele Kröcher-Tiedemann, Hans-Joachim Klein, Volker Weingraber, Oreste Strano, Abu Nidal, Carlos Marighella, Fidel Castro, Raúl Castro, René Barrientos, Juan José Torres, Hugo Banzer, Thomas Karamessines, Robert Driscoll, William Harvey, Vernon Walters, Frederick Reinhardt, Graham Martin, Clara Booth Luce, Allen Dulles, Henry Kissinger, Richard Helms, William Colby, Fernando Tambroni, Enrico Mattei, Claire Neikind, Claire Sterling, Ambrogio Viviani, Umberto Giovine, Federico Orlando, Rocco Turi, Maurizio Chierici, Mario Krebs, David Yallop, Alberto Clò, Romano Prodi, Mario Baldassarri, Fabio Gobbo, Sergio Flamigni, Dante Schietroma, Gero Grassi, Alfredo Mantica, Enzo Fragalà, Giovanni Pellegrino, Aldo Miconi, Mario d’Achille.</w:t>
      </w:r>
    </w:p>
    <w:p>
      <w:pPr>
        <w:spacing w:line="276" w:lineRule="auto" w:after="120"/>
        <w:ind w:firstLine="425"/>
        <w:jc w:val="both"/>
      </w:pPr>
      <w:r>
        <w:rPr>
          <w:rFonts w:ascii="Times New Roman" w:hAnsi="Times New Roman" w:cs="Times New Roman" w:eastAsia="Times New Roman"/>
          <w:b w:val="0"/>
          <w:sz w:val="24"/>
        </w:rPr>
        <w:t>Organizzazioni, sigle e strutture: Brigate Rosse, Comitato esecutivo, Direzione strategica, colonna romana, GAP, Potere Operaio, Autonomia, Lotta Continua, Superclan, Hyperion, Soccorso rosso, apparato di riserva, Apparato di Vigilanza Rivoluzionaria, Botteghe Oscure, PCI, PSI, PSIUP, DC, MSI, Ordine Nuovo, Gruppo di Ar, Terza Posizione, NAR, Fronte Nazionale, Aginter Press, Ordre et Tradition, Rote Armee Fraktion, Konkret, SDS, INFI, AKO, ELN boliviano, Tupamaros, MIR, ERP, Montoneros, FALN, PCV, JCR, ALBA, Tricontinental, FPLP, Settembre Nero, OLP, Sezione Che Guevara, SIFAR, SID, SISMI, SISDE, CESIS, UCIGOS, DIGOS, Ufficio Affari Riservati, Reparto D, Ufficio D, Nucleo antiterrorismo, ROS, Gladio, stay-behind, Anello, Noto Servizio, Loggia P2, CIA, OSS, OPC, Comitato 303, Dipartimento di Stato, FBI, Interpol, KGB, GRU, StB, Stasi, HVA, Mossad, MI6, BND, KYP, DIN boliviana, Navitalia, CNEN, Ipalmo, Alluminio Paderno, clinica San Siro, scuderia Don Lisander, Istituto Gramsci, Wilson Center, Immobiliare Savellia, Palazzo Orsini, casa di cura Villa Maria Pia, Casa del clero di via della Traspontina, IOR, Santa Sede, Segreteria di Stato, cappellani delle carceri, Ministero di grazia e giustizia, Commissione Moro, Commissione stragi, Commissione P2, Commissione Mitrokhin, Commissione antimafia.</w:t>
      </w:r>
    </w:p>
    <w:p>
      <w:pPr>
        <w:spacing w:line="276" w:lineRule="auto" w:after="120"/>
        <w:ind w:firstLine="425"/>
        <w:jc w:val="both"/>
      </w:pPr>
      <w:r>
        <w:rPr>
          <w:rFonts w:ascii="Times New Roman" w:hAnsi="Times New Roman" w:cs="Times New Roman" w:eastAsia="Times New Roman"/>
          <w:b w:val="0"/>
          <w:sz w:val="24"/>
        </w:rPr>
        <w:t>Luoghi: via Fani, via Stresa, via Licinio Calvo, via Casale De Bustis, via Massimi, via Gradoli novantasei, via Montalcini, via Caetani, viale Giulio Cesare, via Monte Nevoso, via Fracchia, via Appia, via della Traspontina, Castel Gandolfo, Asso, Zappolino, Gradoli di Viterbo, Bolsena, Manziana, piazza del Gesù, il Viminale, Pinerolo, cascina Spiotta, Robbiano di Mediglia, via Maderno, Segrate, Milano, Parigi, Tolosa, Trieste, Madrid, Berna, Zurigo, Lugano, Ginevra, Amburgo, Düsseldorf, Francoforte, Stammheim, Mogadiscio, Praga, Mosca, Belgrado, Londra, Lisbona, Atene, Beirut, Entebbe, Tel Aviv, Il Cairo, Tripoli, La Paz, Cochabamba, La Higuera, Santa Cruz, L’Avana, Caracas, l’aeroporto di Maiquetía, Buenos Aires, Bagnoli, Langley. Oggetti, date-chiave e concetti ricorrenti: targa CD 19707, Fiat 128 familiare, Fiat 132, Colt Cobra 38 Special, mitraglietta Skorpion, fucile M1 del Che, appunto del dodici gennaio millenovecentottanta, appunto del diciassette maggio millenovecentosettantotto, informativa del cinque maggio millenovecentosettantotto, riunione delle diciannove e trenta del sedici marzo, seduta del due aprile, scoperta del diciotto aprile, lettera del ventuno aprile, provvista del sei maggio, corpo del nove maggio, otto settembre millenovecentosettantaquattro, primo aprile millenovecentosettantuno, sette aprile millenovecentosessantacinque, ventidue agosto millenovecentosessantasette, undici aprile millenovecentosettantatré, infiltrato, velina, depistaggio, comunicato apocrifo, memoriale, Lodo Moro, segreto di Stato, apertura a sinistra, guerra non ortodossa, due tre molti Vietnam, Cuba del Mediterraneo, unità tattica destra-sinistra, sacro come velo, breviario dottrinale, canale istituzionale.</w:t>
      </w:r>
    </w:p>
    <w:p>
      <w:pPr>
        <w:keepNext/>
        <w:spacing w:line="276" w:lineRule="auto" w:before="360" w:after="160"/>
        <w:jc w:val="left"/>
      </w:pPr>
      <w:r>
        <w:rPr>
          <w:rFonts w:ascii="Times New Roman" w:hAnsi="Times New Roman" w:cs="Times New Roman" w:eastAsia="Times New Roman"/>
          <w:b w:val="0"/>
          <w:sz w:val="24"/>
        </w:rPr>
        <w:t>FASE TERZA — IL DOSSIER GUEVARA-UNO: LA CENTRALE CUBANA, LA BOLIVIA E L’ITALIA</w:t>
      </w:r>
    </w:p>
    <w:p>
      <w:pPr>
        <w:spacing w:line="276" w:lineRule="auto" w:after="120"/>
        <w:ind w:firstLine="425"/>
        <w:jc w:val="both"/>
      </w:pPr>
      <w:r>
        <w:rPr>
          <w:rFonts w:ascii="Times New Roman" w:hAnsi="Times New Roman" w:cs="Times New Roman" w:eastAsia="Times New Roman"/>
          <w:b w:val="0"/>
          <w:sz w:val="24"/>
        </w:rPr>
        <w:t xml:space="preserve">Il Dossier Guevara-Uno vive nel corpus quasi per intero dentro gli elaborati della Commissione parlamentare sul terrorismo e le stragi della tredicesima legislatura, e in particolare nell’elaborato sulla dimensione sovranazionale e nella rilettura degli anni Sessanta: fonti parlamentari di prima grandezza, che il Registro assume al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quando riferiscono per proprio conto e che eleva al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soltanto quando citano atti giudiziari o convergono con fonti eterogenee presenti in cartella. Il dossier si articola in sei stazioni.</w:t>
      </w:r>
    </w:p>
    <w:p>
      <w:pPr>
        <w:spacing w:line="276" w:lineRule="auto" w:after="120"/>
        <w:ind w:firstLine="425"/>
        <w:jc w:val="both"/>
      </w:pPr>
      <w:r>
        <w:rPr>
          <w:rFonts w:ascii="Times New Roman" w:hAnsi="Times New Roman" w:cs="Times New Roman" w:eastAsia="Times New Roman"/>
          <w:b w:val="0"/>
          <w:sz w:val="24"/>
        </w:rPr>
        <w:t xml:space="preserve">La prima stazione è la genealogia dichiarata delle Brigate Rosse. Renato Curcio, nella citazione riportata dall’elaborato, colloca la scelta del nome nell’azione della RAF per la liberazione di Andreas Baader, adotta la stella dei Tupamaros e dichiara che il gruppo guardava ai Black Panthers, ai Tupamaros, a Cuba e alla Bolivia del Che, al Brasile di Marighella, e che per questo i racconti di Feltrinelli, in rapporto diretto con i capi di varie guerriglie, esercitavano un fascino. Il medesimo elaborato attesta che Feltrinelli diresse la rivista Tricontinental, che nel millenovecentosessantanove era divenuto il fiduciario della rivoluzione cubana in Europa grazie ai legami con la polizia politica castrista, e che fu lui a far avere a Curcio gli opuscoli sui Tupamaros e il manuale di guerriglia urbana di Marighella. Il nesso genealogico fra il modello guevarista e la fondazione dell’organizzazione è dunque un fatto dichiarato dai fondatori e riscontrato dalla Commissione: </w:t>
      </w:r>
      <w:r>
        <w:rPr>
          <w:rFonts w:ascii="Times New Roman" w:hAnsi="Times New Roman" w:cs="Times New Roman" w:eastAsia="Times New Roman"/>
          <w:b/>
          <w:sz w:val="24"/>
        </w:rPr>
        <w:t>Livello B</w:t>
      </w:r>
      <w:r>
        <w:rPr>
          <w:rFonts w:ascii="Times New Roman" w:hAnsi="Times New Roman" w:cs="Times New Roman" w:eastAsia="Times New Roman"/>
          <w:b w:val="0"/>
          <w:sz w:val="24"/>
        </w:rPr>
        <w:t>, con falsificatore in un’attestazione di segno contrario dei medesimi fondatori. Il Registro avverte che la genealogia ideologica non trasferisce al Che alcuna responsabilità per ciò che l’organizzazione compì dieci anni dopo la sua morte: il breviario, come per Evola nella monografia sul sacro, non è il mandante.</w:t>
      </w:r>
    </w:p>
    <w:p>
      <w:pPr>
        <w:spacing w:line="276" w:lineRule="auto" w:after="120"/>
        <w:ind w:firstLine="425"/>
        <w:jc w:val="both"/>
      </w:pPr>
      <w:r>
        <w:rPr>
          <w:rFonts w:ascii="Times New Roman" w:hAnsi="Times New Roman" w:cs="Times New Roman" w:eastAsia="Times New Roman"/>
          <w:b w:val="0"/>
          <w:sz w:val="24"/>
        </w:rPr>
        <w:t xml:space="preserve">La seconda stazione è la Bolivia del millenovecentosessantasette. Feltrinelli parte per La Paz dichiarando di voler ottenere la scarcerazione di Régis Debray, recatosi in primavera a mettersi in contatto con il Che; viene arrestato con Sibilla Melega, espulso per aperta ingerenza negli affari interni del Paese, e rientra in Italia il ventidue agosto millenovecentosessantasette; durante il soggiorno risulta aver preso contatti con esponenti comunisti locali legati a Filemón Escobar, allora detenuto. L’elaborato ricostruisce, sulla scorta di Aldo Grandi, che l’incrocio dei quattro eventi di quell’anno — la guerra dei sei giorni, l’arresto boliviano, l’eliminazione del Che, il colpo di Stato dei colonnelli in Grecia — condusse Feltrinelli alla conclusione che l’Italia fosse sull’orlo del baratro, e che di ritorno dalla Bolivia egli incontrò Graziano Mesina con il progetto di fare della Sardegna la Cuba del Mediterraneo.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per l’intera stazione, con la precisazione che la lettura psicologica dell’editore è della fonte e non del Registro, che non attribuisce stati mentali a persone.</w:t>
      </w:r>
    </w:p>
    <w:p>
      <w:pPr>
        <w:spacing w:line="276" w:lineRule="auto" w:after="120"/>
        <w:ind w:firstLine="425"/>
        <w:jc w:val="both"/>
      </w:pPr>
      <w:r>
        <w:rPr>
          <w:rFonts w:ascii="Times New Roman" w:hAnsi="Times New Roman" w:cs="Times New Roman" w:eastAsia="Times New Roman"/>
          <w:b w:val="0"/>
          <w:sz w:val="24"/>
        </w:rPr>
        <w:t xml:space="preserve">La terza stazione è la vendetta di Amburgo. Il primo aprile millenovecentosettantuno, nel consolato boliviano di Amburgo, una donna spara tre colpi al console generale Roberto Quintanilla, già colonnello della polizia boliviana coinvolto nell’agosto del millenovecentosessantasette nell’arresto di Feltrinelli e Melega a La Paz e nella successiva eliminazione del Che; il revolver Colt Cobra 38 Special risulta acquistato nel millenovecentosessantotto da Feltrinelli in un’armeria del centro di Milano; l’azione è rivendicata dall’ELN; la polizia criminale tedesca indica Monika Ertl, cittadina tedesca cresciuta in Bolivia; il trenta giugno millenovecentosettantadue, in conferenza stampa a La Paz, la polizia boliviana attribuisce l’omicidio alla Ertl sulla base delle dichiarazioni di due militanti dell’ELN detenuti, Emilio Ale Maldonado detto El Zurdo e Osvaldo Ukaski detto El Viejo, i quali affermano che l’attentato fu progettato da Feltrinelli quale finanziatore dell’ELN. La catena è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nel suo complesso — accertamenti di polizia tedesca e boliviana riferiti in elaborato parlamentare con rinvio a un rapporto Interpol — e il Registro segnala che le dichiarazioni dei due detenuti provengono da un canale, la DIN boliviana della dittatura, che la disciplina delle fonti impone di marcare: la progettazione da parte di Feltrinelli resta un’attribuzione di seconda mano e non sale al </w:t>
      </w:r>
      <w:r>
        <w:rPr>
          <w:rFonts w:ascii="Times New Roman" w:hAnsi="Times New Roman" w:cs="Times New Roman" w:eastAsia="Times New Roman"/>
          <w:b/>
          <w:sz w:val="24"/>
        </w:rPr>
        <w:t>Livello A</w:t>
      </w:r>
      <w:r>
        <w:rPr>
          <w:rFonts w:ascii="Times New Roman" w:hAnsi="Times New Roman" w:cs="Times New Roman" w:eastAsia="Times New Roman"/>
          <w:b w:val="0"/>
          <w:sz w:val="24"/>
        </w:rPr>
        <w:t>. Falsificatore: gli atti tedeschi e l’originale del rapporto Interpol del trenta giugno millenovecentosettantadue.</w:t>
      </w:r>
    </w:p>
    <w:p>
      <w:pPr>
        <w:spacing w:line="276" w:lineRule="auto" w:after="120"/>
        <w:ind w:firstLine="425"/>
        <w:jc w:val="both"/>
      </w:pPr>
      <w:r>
        <w:rPr>
          <w:rFonts w:ascii="Times New Roman" w:hAnsi="Times New Roman" w:cs="Times New Roman" w:eastAsia="Times New Roman"/>
          <w:b w:val="0"/>
          <w:sz w:val="24"/>
        </w:rPr>
        <w:t xml:space="preserve">La quarta stazione è la staffetta di Caracas, che appartiene al decennio precedente e che la rilettura degli anni Sessanta ricostruisce con abbondanza di fonti di stampa coeva. Alle diciotto del sette aprile millenovecentosessantacinque, all’aeroporto di Maiquetía, sono arrestati Alessandro Beltramini, medico milanese di cinquantaquattro anni, personaggio di spicco del PCI, proprietario della clinica San Siro e della scuderia Don Lisander, e la sua compagna spagnola Josefa Ventosa Jimenez, detta Pepita; poche ore prima è arrestata a Caracas Clara Anna Baretic de Padilla, jugoslava naturalizzata argentina; i tre portano occultati trecentotrentamila dollari destinati, secondo le autorità venezuelane, alle strutture clandestine del partito comunista locale nel quadro di un complotto contro il governo Leoni che prevedeva la collaborazione fra gruppi di destra e di sinistra e fra i cui pilastri il ministero dell’interno venezuelano indicava l’editore anticomunista Miguel Ángel Capriles. La versione ufficiale italiana fu la fuga d’amore; Beltramini rientrò il ventisette maggio; oltre trent’anni dopo raccontò a Maurizio Caprara che i dollari erano del partito, ricevuti a Madrid in due panciotti, e che le sue missioni dipendevano dal Soccorso rosso, con sede a Parigi, dove poté parlare con il Che, medico anche lui. L’elaborato aggiunge che la Baretic è probabilmente la staffetta inviata dal Che per incontrare i due emissari italiani, e che due mesi prima, il due febbraio millenovecentosessantacinque, a Botteghe Oscure, Berlinguer e Giancarlo Pajetta avevano ricevuto Edoardo Gallegos Mancera dell’ufficio politico del partito comunista venezuelano, il quale prospettava la caduta del governo Leoni per mano dei gorilla o del gruppo degli ufficiali nasseristi legati al partito. I fatti dell’arresto sono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per convergenza di stampa coeva, memoria dell’interessato e riscontro parlamentare; la qualifica della Baretic come staffetta del Che è formulata dalla stessa fonte con l’avverbio probabilmente ed è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il ruolo del Soccorso rosso come braccio operativo internazionale finanziato per nove decimi dall’Unione Sovietica è dichiarazione dell’interessato riscontrata dal dossier Mitrokhin secondo l’elaborato, </w:t>
      </w:r>
      <w:r>
        <w:rPr>
          <w:rFonts w:ascii="Times New Roman" w:hAnsi="Times New Roman" w:cs="Times New Roman" w:eastAsia="Times New Roman"/>
          <w:b/>
          <w:sz w:val="24"/>
        </w:rPr>
        <w:t>Livello B</w:t>
      </w:r>
      <w:r>
        <w:rPr>
          <w:rFonts w:ascii="Times New Roman" w:hAnsi="Times New Roman" w:cs="Times New Roman" w:eastAsia="Times New Roman"/>
          <w:b w:val="0"/>
          <w:sz w:val="24"/>
        </w:rPr>
        <w:t>.</w:t>
      </w:r>
    </w:p>
    <w:p>
      <w:pPr>
        <w:spacing w:line="276" w:lineRule="auto" w:after="120"/>
        <w:ind w:firstLine="425"/>
        <w:jc w:val="both"/>
      </w:pPr>
      <w:r>
        <w:rPr>
          <w:rFonts w:ascii="Times New Roman" w:hAnsi="Times New Roman" w:cs="Times New Roman" w:eastAsia="Times New Roman"/>
          <w:b w:val="0"/>
          <w:sz w:val="24"/>
        </w:rPr>
        <w:t xml:space="preserve">La quinta stazione è la diffusione europea dell’appello. L’elaborato, citando Mario Krebs, ricostruisce che nel millenovecentosessantasette la Konkret di Ulrike Meinhof fu l’unico giornale tedesco a pubblicare l’appello del Che a creare due, tre, molti Vietnam; che fu Feltrinelli a diffonderlo nell’Europa occidentale; che dopo la morte del Che egli ne pubblicò il diario boliviano; e che l’Istituto internazionale per l’informazione e la ricerca fondato nella primavera del millenovecentosessantotto era finanziato quasi esclusivamente dall’editore milanese. Alla medesima stazione appartengono la circolare dell’ottobre millenovecentosettantatré con cui Petra Krause, militante dell’AKO ritenuta dal controspionaggio fra le persone più vicine a Feltrinelli, offriva in vendita ai lavoratori italiani in Germania libri e dischi di Marx, Lenin, Mao, Ho Chi Minh, del Che e di Horst Mahler, e il nome del Che apposto, nel millenovecentosettantasei, al commando palestinese di Entebbe — Sezione Che Guevara — guidato da Wilfried Böse.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per la stazione, di natura eminentemente simbolica: il nome del Che circola come marca di legittimazione, e la sua ricorrenza non è indizio di regia ma di lessico.</w:t>
      </w:r>
    </w:p>
    <w:p>
      <w:pPr>
        <w:spacing w:line="276" w:lineRule="auto" w:after="120"/>
        <w:ind w:firstLine="425"/>
        <w:jc w:val="both"/>
      </w:pPr>
      <w:r>
        <w:rPr>
          <w:rFonts w:ascii="Times New Roman" w:hAnsi="Times New Roman" w:cs="Times New Roman" w:eastAsia="Times New Roman"/>
          <w:b w:val="0"/>
          <w:sz w:val="24"/>
        </w:rPr>
        <w:t xml:space="preserve">La sesta stazione è Silvano Girotto, che per la sua densità riceve una fase propria, la Quinta. Qui basti fissare la sua collocazione nel Dossier Guevara-Uno: frate francescano missionario a Cochabamba dal settembre millenovecentosessantanove, combattente a fianco della guerriglia locale dopo il colpo di Stato di Banzer dell’agosto millenovecentosettantuno, in contatto a La Paz con Monika Ertl, che aveva come trofeo il fucile M1 del Che e che fu uccisa in un blitz delle forze boliviane mentre egli si trovava in città; audito dalla Commissione stragi il dieci febbraio duemila, dichiarò di aver incontrato la Ertl e di essersi trovato a La Paz quando fu eliminata. L’elaborato definisce il contatto Ertl-Girotto uno straordinario elemento di saldatura: il Registro lo assume come tale al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e ne trae, nella Fase Quinta, la conseguenza che il metodo consente.</w:t>
      </w:r>
    </w:p>
    <w:p>
      <w:pPr>
        <w:keepNext/>
        <w:spacing w:line="276" w:lineRule="auto" w:before="360" w:after="160"/>
        <w:jc w:val="left"/>
      </w:pPr>
      <w:r>
        <w:rPr>
          <w:rFonts w:ascii="Times New Roman" w:hAnsi="Times New Roman" w:cs="Times New Roman" w:eastAsia="Times New Roman"/>
          <w:b w:val="0"/>
          <w:sz w:val="24"/>
        </w:rPr>
        <w:t>FASE QUARTA — IL DOSSIER GUEVARA-DUE: LA TARGA CD 19707 E LA CUCITURA VENEZUELANA</w:t>
      </w:r>
    </w:p>
    <w:p>
      <w:pPr>
        <w:spacing w:line="276" w:lineRule="auto" w:after="120"/>
        <w:ind w:firstLine="425"/>
        <w:jc w:val="both"/>
      </w:pPr>
      <w:r>
        <w:rPr>
          <w:rFonts w:ascii="Times New Roman" w:hAnsi="Times New Roman" w:cs="Times New Roman" w:eastAsia="Times New Roman"/>
          <w:b w:val="0"/>
          <w:sz w:val="24"/>
        </w:rPr>
        <w:t>La Fiat 128 familiare che la mattina del sedici marzo millenovecentosettantotto sbarrò la strada alle vetture della scorta all’incrocio fra via Fani e via Stresa era stata rubata l’otto marzo e recava la targa diplomatica CD 19707. Gli accertamenti di polizia, riferiti dall’elaborato sulla dimensione sovranazionale, stabilirono che quella targa era stata assegnata all’addetto militare dell’Ambasciata del Venezuela a Roma, tenente colonnello Arquímedes Guevara Alcalá, il quale l’undici aprile millenovecentosettantatré ne aveva denunciato il furto all’Arma di Roma-Parioli; che la targa risultava tuttavia regolarmente depositata presso la Motorizzazione civile; che una targa gemella in plastica, con i medesimi numeri, era stata assegnata ad altro addetto militare della stessa Ambasciata, tenente colonnello Heliodoro Claviere Rodríguez, il quale la restituì al ministero dei Trasporti soltanto nel gennaio del millenovecentosettantotto per chiederne un’altra; e che la targa di metallo, quella denunciata come rubata, fu in qualche modo recuperata dal gruppo di Valerio Morucci e messa a disposizione della colonna romana per l’organizzazione tecnico-logistica dell’agguato. La medesima fonte attesta che la vicenda fu segnalata quale mancato sviluppo di natura tecnica, al punto e del paragrafo quarto, in un appunto del dodici gennaio millenovecentottanta indirizzato al capo dell’Ufficio del direttore del SISMI, colonnello Secondo D’Eliseo, che elencava le disfunzioni, le omissioni e le carenze dell’attività del Servizio alla vigilia della trasmissione del rapporto conclusivo richiesto dalla Commissione Moro.</w:t>
      </w:r>
    </w:p>
    <w:p>
      <w:pPr>
        <w:spacing w:line="276" w:lineRule="auto" w:after="120"/>
        <w:ind w:firstLine="425"/>
        <w:jc w:val="both"/>
      </w:pPr>
      <w:r>
        <w:rPr>
          <w:rFonts w:ascii="Times New Roman" w:hAnsi="Times New Roman" w:cs="Times New Roman" w:eastAsia="Times New Roman"/>
          <w:b w:val="0"/>
          <w:sz w:val="24"/>
        </w:rPr>
        <w:t xml:space="preserve">La gradazione richiede tre distinzioni. La presenza della Fiat 128 familiare con targa CD in via Fani è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vi convergono l’elaborato della Commissione stragi, la relazione della seconda Commissione Moro — che riferisce l’estrazione dei profili genetici dai mozziconi rinvenuti nella vettura e l’attribuzione di uno di essi ad Aldo Miconi, originario proprietario dell’autovettura — e il documento ventitreesimo numero trentasette della diciottesima legislatura, che nomina la Fiat giardinetta targata 19707 CD nella ricostruzione dell’agguato. L’assegnazione della targa a Guevara Alcalá, la denuncia dell’undici aprile millenovecentosettantatré, la targa gemella di Claviere Rodríguez e il ruolo del gruppo Morucci sono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una singola fonte parlamentare di alta affidabilità che riferisce accertamenti di polizia, non riscontrati in cartella da un secondo canale. La segnalazione al colonnello D’Eliseo del dodici gennaio millenovecentottanta è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per la medesima ragione. La matrice dell’Indice di Contaminazione della Fonte del progetto già ascrive al Servizio militare dell’epoca, con indice cinque, l’omesso sviluppo dell’anomalia della targa venezuelana: il presente Registro non muta l’indice, ma consegna al Registro D il nome, la data e la catena che quell’anomalia designa senza nominarla. Falsificatori: il fascicolo della Motorizzazione civile, la denuncia del millenovecentosettantatré e l’originale dell’appunto del millenovecentottanta.</w:t>
      </w:r>
    </w:p>
    <w:p>
      <w:pPr>
        <w:spacing w:line="276" w:lineRule="auto" w:after="120"/>
        <w:ind w:firstLine="425"/>
        <w:jc w:val="both"/>
      </w:pPr>
      <w:r>
        <w:rPr>
          <w:rFonts w:ascii="Times New Roman" w:hAnsi="Times New Roman" w:cs="Times New Roman" w:eastAsia="Times New Roman"/>
          <w:b w:val="0"/>
          <w:sz w:val="24"/>
        </w:rPr>
        <w:t xml:space="preserve">Attorno alla targa il corpus dispone altri quattro frammenti venezuelani, che il Registro elenca in ordine di grado e non in ordine di suggestione. Il primo è la segnalazione del capo della Polizia, prefetto Giuseppe Parlato, nella prima riunione del gruppo politico-tecnico-operativo tenutasi al Viminale alle diciannove e trenta del sedici marzo millenovecentosettantotto, alla presenza del ministro Cossiga, del sottosegretario Lettieri, del comandante dell’Arma Corsini, del direttore del SISMI Santovito, del direttore del SISDE Grassini, del questore De Francesco e del comandante della Guardia di Finanza Giudice: erano in corso delicati accertamenti su due stranieri, di cui un venezuelano, che abitavano in un appartamento molto vicino al luogo del sequestro e che sarebbero scomparsi un’ora prima del fatto con una valigia. L’elaborato chiude con la domanda su chi fosse quel venezuelano e con chi fosse in contatto, e la domanda è rimasta senza risposta: il fatto della segnalazione è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l’identità è Stato Zero. Il secondo frammento è la testimonianza di Mario d’Achille, guidatore di ambulanze dell’ospedale San Filippo Neri, riferita dalla relazione della seconda Commissione Moro: dal dodici marzo una Fiat 128 bianca familiare con targa diplomatica nei pressi dell’abitazione di Moro, e il quattordici marzo la stessa vettura che deposita una donna davanti alla casa di cura Villa Maria Pia;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con la Commissione che dichiara accertamenti ulteriori in corso. Il terzo frammento è il contatto venezuelano segnalato da Navitalia, che si era proposto come intermediario con le Brigate Rosse, che fu finanziato e presto abbandonato come inaffidabile perché tentava di dimostrare notizie di prima mano giocando sulla differenza di fuso orario, e dal quale discende l’appunto del diciassette maggio millenovecentosettantotto sul vertice di Madrid della Junta de Coordinación Revolucionaria e sulla riunione parigina in cui sarebbe stata decisa un’azione clamorosa contro un’eminente personalità dell’Europa occidentale — azione che la stessa fonte precisò non riferirsi a Moro. La seconda Commissione qualifica la notizia come tardiva e non molto affidabile; il Registro recepisce la qualifica e assegna alla catena un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con Indice di Contaminazione dichiarato, avvertendo che nessuna lettura di regia latino-americana del sequestro può poggiare su questo canale. Il quarto frammento è il più consistente: la relazione della seconda Commissione attesta che Giuliana Conforto e il marito Massimo Corbò, licenziati dal CNEN per assenza ingiustificata, nel millenovecentosettantatré insegnavano in Venezuela, e che nel millenovecentosettantacinque entrambi comparivano in documenti sequestrati a Caracas a un gruppo terroristico trotskista; </w:t>
      </w:r>
      <w:r>
        <w:rPr>
          <w:rFonts w:ascii="Times New Roman" w:hAnsi="Times New Roman" w:cs="Times New Roman" w:eastAsia="Times New Roman"/>
          <w:b/>
          <w:sz w:val="24"/>
        </w:rPr>
        <w:t>Livello B</w:t>
      </w:r>
      <w:r>
        <w:rPr>
          <w:rFonts w:ascii="Times New Roman" w:hAnsi="Times New Roman" w:cs="Times New Roman" w:eastAsia="Times New Roman"/>
          <w:b w:val="0"/>
          <w:sz w:val="24"/>
        </w:rPr>
        <w:t>, per fonte parlamentare che riferisce atti di polizia. Il nodo Conforto è già iscritto nei Dossier Moro per l’appartamento di viale Giulio Cesare, dove nel maggio millenovecentosettantanove furono arrestati Morucci e Faranda e rinvenuta la mitraglietta Skorpion, e per l’amicizia della locataria con Luciana Bozzi, comproprietaria con Giancarlo Ferrero dell’appartamento di via Gradoli novantasei affittato nel dicembre millenovecentosettantacinque all’ingegner Mario Borghi, ossia Moretti; e per il rapporto del vicequestore Andreassi secondo cui i rapporti fra le proprietarie dei due appartamenti non potevano ritenersi casuali. Su tutto ciò la relazione della seconda Commissione conclude che gli elementi noti sulla Conforto rimangono sfuggenti e meritevoli di ulteriori indagini, e il Registro non va oltre la fonte.</w:t>
      </w:r>
    </w:p>
    <w:p>
      <w:pPr>
        <w:spacing w:line="276" w:lineRule="auto" w:after="120"/>
        <w:ind w:firstLine="425"/>
        <w:jc w:val="both"/>
      </w:pPr>
      <w:r>
        <w:rPr>
          <w:rFonts w:ascii="Times New Roman" w:hAnsi="Times New Roman" w:cs="Times New Roman" w:eastAsia="Times New Roman"/>
          <w:b w:val="0"/>
          <w:sz w:val="24"/>
        </w:rPr>
        <w:t xml:space="preserve">La cucitura venezuelana è, a questo punto, un dato di prossimità spaziale e temporale che il decimo e il terzo Pattern impongono di registrare e che la Regola di Ferro vieta di promuovere. Il Venezuela ricorre nel corpus in sei luoghi non collegati fra loro da alcun arco documentato: la missione Beltramini del millenovecentosessantacinque con la staffetta del Che e l’incontro Berlinguer-Gallegos Mancera; il Venezuela come Paese d’origine di Ilich Ramírez Sánchez, che per Yallop sognava di raccogliere l’eredità del Che, e come terra della guerriglia di Douglas Bravo, nominata dal Che nel discorso alla Tricontinentale; la denuncia di furto della targa di Guevara Alcalá nell’aprile del millenovecentosettantatré; il soggiorno dei coniugi Conforto-Corbò nel medesimo millenovecentosettantatré e i documenti di Caracas del millenovecentosettantacinque; il venezuelano dell’appartamento vicino a via Fani; il contatto venezuelano di Navitalia. L’elaborato della Commissione stragi definisce il Venezuela zona di frontiera fra l’area d’influenza americana e quella sovietica, e proprio questa definizione spiega perché il Paese ricorra: non perché una mano lo scelga, ma perché in una zona di frontiera transitano, per ragioni indipendenti, i flussi di entrambi i campi. La coincidenza dell’anno millenovecentosettantatré fra la targa e il soggiorno Conforto-Corbò è la sola che meriti la Camera Istruttoria, e vi è consegnata come ipotesi di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con falsificatore duplice: la verifica del periodo esatto della denuncia rispetto alle date del soggiorno, e l’assenza, negli atti sequestrati a Caracas, di qualsiasi riferimento all’Ambasciata venezuelana di Roma. Se il falsificatore non è soddisfatto, la coincidenza resta una coincidenza, e il Registro lo dichiara ora perché nessun lettore possa leggerla altrimenti in buona fede.</w:t>
      </w:r>
    </w:p>
    <w:p>
      <w:pPr>
        <w:keepNext/>
        <w:spacing w:line="276" w:lineRule="auto" w:before="360" w:after="160"/>
        <w:jc w:val="left"/>
      </w:pPr>
      <w:r>
        <w:rPr>
          <w:rFonts w:ascii="Times New Roman" w:hAnsi="Times New Roman" w:cs="Times New Roman" w:eastAsia="Times New Roman"/>
          <w:b w:val="0"/>
          <w:sz w:val="24"/>
        </w:rPr>
        <w:t>FASE QUINTA — IL NODO GIROTTO: IL SACRO COME VELO IN DUE DIREZIONI</w:t>
      </w:r>
    </w:p>
    <w:p>
      <w:pPr>
        <w:spacing w:line="276" w:lineRule="auto" w:after="120"/>
        <w:ind w:firstLine="425"/>
        <w:jc w:val="both"/>
      </w:pPr>
      <w:r>
        <w:rPr>
          <w:rFonts w:ascii="Times New Roman" w:hAnsi="Times New Roman" w:cs="Times New Roman" w:eastAsia="Times New Roman"/>
          <w:b w:val="0"/>
          <w:sz w:val="24"/>
        </w:rPr>
        <w:t>La monografia sul sacro ha identificato tre funzioni documentabili del sacro nella storia nera della Repubblica — il breviario dottrinale, il canale istituzionale, il velo informativo — e ha fondato la terza sull’episodio di Zappolino. Il Dossier Guevara-Uno consegna alla monografia un secondo caso di velo, di grado superiore, perché passato per un’audizione parlamentare e per un fatto giudiziario: il saio francescano di Silvano Girotto, che schermò una guerriglia in Bolivia e un’infiltrazione in Italia.</w:t>
      </w:r>
    </w:p>
    <w:p>
      <w:pPr>
        <w:spacing w:line="276" w:lineRule="auto" w:after="120"/>
        <w:ind w:firstLine="425"/>
        <w:jc w:val="both"/>
      </w:pPr>
      <w:r>
        <w:rPr>
          <w:rFonts w:ascii="Times New Roman" w:hAnsi="Times New Roman" w:cs="Times New Roman" w:eastAsia="Times New Roman"/>
          <w:b w:val="0"/>
          <w:sz w:val="24"/>
        </w:rPr>
        <w:t xml:space="preserve">La biografia, quale l’elaborato sulla dimensione sovranazionale la restituisce, è la seguente. Nato a Caselle il quattro aprile millenovecentotrentanove, figlio di un ex maresciallo dei carabinieri poi operaio alla FIAT, Girotto si arruola il sette agosto millenovecentocinquantasei nella Legione straniera francese sotto l’identità di copertura di Elio Garello, è impiegato in Algeria, viene decorato e diserta il dodici giugno millenovecentocinquantasette per aderire come irregolare al Fronte di liberazione nazionale algerino; catturato, è processato a Orano e condannato a undici mesi con la condizionale. Rientrato in Italia, guida la banda Mirafiori, è arrestato e detenuto alle Nuove di Torino, da cui esce il trenta agosto millenovecentosessantatré; per il tramite del cappellano, padre Ruggero, entra in convento l’undici ottobre dello stesso anno, è trasferito a Montemesma il diciassette ottobre millenovecentosessantaquattro, celebra la prima messa il ventinove giugno millenovecentosessantanove e il tredici settembre si imbarca per la Bolivia come missionario francescano fra i campesinos di Cochabamba. Nell’agosto del millenovecentosettantuno, a La Paz, durante il colpo di Stato di Hugo Banzer contro il governo di Juan José Torres, secondo la sua testimonianza raccoglie un mitra, toglie il saio e si unisce alla resistenza con il nome di Padre Leone; entra in contatto con Monika Ertl, trova rifugio in un covo della sua organizzazione, incontra nella cellula Osvaldo Ukaski, uno dei due militanti dell’ELN poi citati nel rapporto Interpol su Amburgo; giudica l’ELN guevarista una via terrorista che offriva alla dittatura il pretesto per schiacciare tutti. Questa parte è </w:t>
      </w:r>
      <w:r>
        <w:rPr>
          <w:rFonts w:ascii="Times New Roman" w:hAnsi="Times New Roman" w:cs="Times New Roman" w:eastAsia="Times New Roman"/>
          <w:b/>
          <w:sz w:val="24"/>
        </w:rPr>
        <w:t>Livello B</w:t>
      </w:r>
      <w:r>
        <w:rPr>
          <w:rFonts w:ascii="Times New Roman" w:hAnsi="Times New Roman" w:cs="Times New Roman" w:eastAsia="Times New Roman"/>
          <w:b w:val="0"/>
          <w:sz w:val="24"/>
        </w:rPr>
        <w:t>: audizione del dieci febbraio duemila e libro di Maurizio Chierici del millenovecentosettantatré riferiti dall’elaborato, senza terza fonte eterogenea in cartella.</w:t>
      </w:r>
    </w:p>
    <w:p>
      <w:pPr>
        <w:spacing w:line="276" w:lineRule="auto" w:after="120"/>
        <w:ind w:firstLine="425"/>
        <w:jc w:val="both"/>
      </w:pPr>
      <w:r>
        <w:rPr>
          <w:rFonts w:ascii="Times New Roman" w:hAnsi="Times New Roman" w:cs="Times New Roman" w:eastAsia="Times New Roman"/>
          <w:b w:val="0"/>
          <w:sz w:val="24"/>
        </w:rPr>
        <w:t xml:space="preserve">La parte italiana è invece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nel suo nucleo, perché coincide con un fatto giudiziario: l’otto settembre millenovecentosettantaquattro, a Pinerolo, i carabinieri del nucleo antiterrorismo di Dalla Chiesa arrestano Renato Curcio e Alberto Franceschini nella trappola costruita attorno al terzo incontro con Girotto, e la cronologia delle stragi, l’elaborato Moro e la stessa comunicazione delle Brigate Rosse che additò Girotto come traditore convergono sul fatto. Attorno al nucleo, l’elaborato Moro dispone una corona di circostanze che il Registro riporta ciascuna al proprio grado. Girotto rientra in Italia con la fama rafforzata dal libro e da un servizio del settimanale di destra Candido che sembra fatto apposta per accreditarlo presso le Brigate Rosse; l’undici ottobre millenovecentosettantaquattro dichiara al giudice istruttore di Torino che l’avvocato Lazagna si convinse a incontrarlo dopo aver saputo che agli Affari riservati egli risultava come un capo delle Brigate Rosse e che una velina in tal senso era stata passata a Giorgio Pisanò, direttore del Candido, e che l’informazione a Lazagna veniva dalla stessa fonte della velina: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dichiarazione dell’interessato riferita in elaborato. Grazie a Lazagna e a Enrico Levati, Girotto incontra due volte Curcio; al secondo incontro è presente Moretti, e il capitano Pignero, rivedendo le fotografie scattate ai brigatisti, lo indica per nome; il tre settembre a Levati giunge una telefonata che preavvisa la trappola, di cui gli stessi uomini di Dalla Chiesa non conoscevano la data, e Girotto, come il pubblico ministero torinese Moschella, non dubita che la telefonata provenisse dall’Ufficio affari riservati del ministero dell’interno: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Curcio scagiona Moretti quanto al mancato avviso ma ricorda che fu Moretti a insistere per coinvolgere Girotto, e che al momento dell’arresto aveva con sé un elenco di nomi di politici, diplomatici, militari, magistrati e ufficiali di polizia trovato in un’incursione negli uffici di Edgardo Sogno, di cui non si trovò più traccia: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con la sparizione dell’elenco iscritta come Stato Zero documentale. Dopo gli arresti Moretti, che stava per essere estromesso dal comitato esecutivo, vi è riammesso e si ritrova alla guida dell’organizzazione; il generale Romeo, capo dell’Ufficio D dal millenovecentosettantacinque al millenovecentosettantotto, dichiarò il tre giugno millenovecentosettantotto che tanto la prima quanto la seconda cattura di Curcio furono opera dei servizi e che gli infiltrati non erano soltanto Pisetta e Girotto; il generale Bozzo citò Gladio ai giudici Ionta e Palma; l’elaborato riferisce inoltre che il Mossad era riuscito in passato ad avvicinare Moretti. Ciascuna di queste proposizioni è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quanto alla dichiarazione,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quanto a ogni inferenza sull’uso degli infiltrati, che l’elaborato stesso circoscrive con la formula secondo cui il problema non sta nell’esistenza ma nell’uso.</w:t>
      </w:r>
    </w:p>
    <w:p>
      <w:pPr>
        <w:spacing w:line="276" w:lineRule="auto" w:after="120"/>
        <w:ind w:firstLine="425"/>
        <w:jc w:val="both"/>
      </w:pPr>
      <w:r>
        <w:rPr>
          <w:rFonts w:ascii="Times New Roman" w:hAnsi="Times New Roman" w:cs="Times New Roman" w:eastAsia="Times New Roman"/>
          <w:b w:val="0"/>
          <w:sz w:val="24"/>
        </w:rPr>
        <w:t xml:space="preserve">Due dati chiudono il nodo e lo collegano ai Dossier Moro. Il primo: l’elaborato attesta che Girotto si ritrova a Parigi durante il sequestro Moro, e che un appunto del SISMI indica contributi economici a lui erogati per difficoltà familiari;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e Parigi è il toponimo che nel Registro Analitico del Caso Moro ospita l’anello di Hyperion e che nella rilettura degli anni Sessanta ospita il quartier generale del Soccorso rosso presso cui Beltramini parlò con il Che. La monografia sul sacro ha lasciato in sospeso il blocco su Hyperion e sull’emendazione del toponimo parigino: il Registro non lo esegue, ma vi consegna questi due riporti come materiale per la seduta dedicata. Il secondo: il quindici marzo millenovecentosettantacinque, sulla base di documenti rinvenuti nel covo di Robbiano di Mediglia e di informative di Girotto, Dalla Chiesa denuncia alla procura generale di Torino per collusione con le Brigate Rosse il giudice istruttore milanese Ciro De Vincenzo, che sarà prosciolto da ogni accusa dalla sentenza istruttoria dopo che la procura generale escluse la connivenza;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quanto all’esposto e al proscioglimento, e il Registro lo riporta perché mostra che le informative dell’infiltrato produssero anche un falso positivo giudizialmente accertato, il che è un dato sulla fonte e non sul giudice.</w:t>
      </w:r>
    </w:p>
    <w:p>
      <w:pPr>
        <w:spacing w:line="276" w:lineRule="auto" w:after="120"/>
        <w:ind w:firstLine="425"/>
        <w:jc w:val="both"/>
      </w:pPr>
      <w:r>
        <w:rPr>
          <w:rFonts w:ascii="Times New Roman" w:hAnsi="Times New Roman" w:cs="Times New Roman" w:eastAsia="Times New Roman"/>
          <w:b w:val="0"/>
          <w:sz w:val="24"/>
        </w:rPr>
        <w:t xml:space="preserve">Il valore metodologico del nodo per la monografia sul sacro è duplice. Il saio come velo opera qui in due direzioni contrarie e documentate: in Bolivia copre un combattente al fianco della guerriglia di matrice guevarista; in Italia copre l’uomo che un settimanale di destra e una velina degli Affari riservati accreditano come capo brigatista e che l’Arma impiega per decapitare il nucleo storico. Che il velo sia il medesimo — l’abito religioso — e che serva a schermare informazioni opposte, è la più forte conferma disponibile in cartella della tesi della monografia: il sacro non è causa degli eventi ma involucro socialmente accettabile di un’informazione che non può circolare nuda. Zappolino resta al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quanto alla natura del canale; Girotto sale al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quanto al fatto, e la coppia dei due casi fonda la funzione del velo con la stessa solidità con cui la coppia delle Bestie di Satana e dei Bambini di Satana fonda la regola di ammissione del registro del satanismo. Il Registro consegna alla monografia questa elevazione di grado della terza funzione.</w:t>
      </w:r>
    </w:p>
    <w:p>
      <w:pPr>
        <w:keepNext/>
        <w:spacing w:line="276" w:lineRule="auto" w:before="360" w:after="160"/>
        <w:jc w:val="left"/>
      </w:pPr>
      <w:r>
        <w:rPr>
          <w:rFonts w:ascii="Times New Roman" w:hAnsi="Times New Roman" w:cs="Times New Roman" w:eastAsia="Times New Roman"/>
          <w:b w:val="0"/>
          <w:sz w:val="24"/>
        </w:rPr>
        <w:t>FASE SESTA — IL NODO KARAMESSINES: UNA TRAIETTORIA DA ROMA ALLA BOLIVIA</w:t>
      </w:r>
    </w:p>
    <w:p>
      <w:pPr>
        <w:spacing w:line="276" w:lineRule="auto" w:after="120"/>
        <w:ind w:firstLine="425"/>
        <w:jc w:val="both"/>
      </w:pPr>
      <w:r>
        <w:rPr>
          <w:rFonts w:ascii="Times New Roman" w:hAnsi="Times New Roman" w:cs="Times New Roman" w:eastAsia="Times New Roman"/>
          <w:b w:val="0"/>
          <w:sz w:val="24"/>
        </w:rPr>
        <w:t>Thomas Karamessines è il nodo che il Dossier Guevara-Uno e i Dossier Moro condividono senza che alcun registro dell’opera lo abbia finora iscritto: il Registro Unico Federato e il Registro Analitico del Caso Moro non lo nominano. La cronologia delle stragi, nell’elaborato della Commissione, lo introduce a proposito dei rapporti del colonnello Renzo Rocca — il capo del Reparto economico-industriale del SIFAR che avrebbe reclutato squadre d’azione per conto di ambienti industriali — attestando che Rocca avrebbe avuto con Karamessines un rapporto speciale; che Karamessines, già combattente anticomunista nella guerra civile greca, nel millenovecentosessantasette scoprì in Bolivia le tracce del Che; che diresse la stazione della CIA in Italia dal millenovecentocinquantotto e, in collaborazione con il SIFAR, applicò le direttive del presidente Kennedy a favore dell’apertura a sinistra per favorire l’evoluzione atlantista del PSI e isolare il PCI, con rinvio a interpretazioni opposte della storiografia; che è il presunto autore del rapporto della stazione del ventotto ottobre millenovecentosessantadue sulla morte di Mattei, coperto dal governo statunitense con il segreto di Stato e negato agli inquirenti italiani. L’elaborato ipotizza inoltre che Karamessines abbia approvato non solo gli asseriti finanziamenti alla corrente morotea della DC e a quella autonomista del PSI, ma anche le intercettazioni e gli altri elementi informativi che il generale De Lorenzo avrebbe fornito a Moro, nella sua qualità privata di segretario della DC, e che Moro, nel memoriale della prigionia curato da Biscione, scrive di aver utilizzato per esigere le dimissioni del governo Tambroni. L’elaborato sul contributo per gli anni millenovecentosessantanove-settantaquattro richiama le iniziative comuni di Rocca e Karamessines e i rapporti di entrambi con la Confindustria; la nota metodologica del Registro V63 attesta, su fonte documentale del Dipartimento di Stato, il verbale del Comitato 303 dell’undici marzo millenovecentosessantanove, nel quale Karamessines, capo delle operazioni della CIA, tenne il rendiconto dell’intero programma di sostegno politico coperto ai partiti e ai sindacati italiani dal millenovecentoquarantotto al millenovecentosessantotto, dandone atto della cessazione.</w:t>
      </w:r>
    </w:p>
    <w:p>
      <w:pPr>
        <w:spacing w:line="276" w:lineRule="auto" w:after="120"/>
        <w:ind w:firstLine="425"/>
        <w:jc w:val="both"/>
      </w:pPr>
      <w:r>
        <w:rPr>
          <w:rFonts w:ascii="Times New Roman" w:hAnsi="Times New Roman" w:cs="Times New Roman" w:eastAsia="Times New Roman"/>
          <w:b w:val="0"/>
          <w:sz w:val="24"/>
        </w:rPr>
        <w:t xml:space="preserve">La gradazione è la seguente. La direzione della stazione di Roma dal millenovecentocinquantotto, la funzione successiva di capo delle operazioni e il rendiconto al Comitato 303 sono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per convergenza fra elaborato parlamentare, documento del Dipartimento di Stato attestato nel Registro V63 e ricostruzione di Ganser, che aggiunge la trasmissione a Roma nel millenovecentocinquantotto, la partenza forzata nel millenovecentosessantadue fra le voci sulla morte di Mattei, la promozione a vicedirettore per i piani e la sostituzione con Colby nel millenovecentosettantatré. La scoperta delle tracce del Che in Bolivia nel millenovecentosessantasette è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attestata dalla sola cronologia parlamentare. Il rapporto speciale con Rocca è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L’approvazione dei finanziamenti alle correnti e delle intercettazioni fornite a Moro contro Tambroni è formulata dalla fonte come ipotizzabile ed è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con la precisazione che l’uso delle intercettazioni da parte di Moro è invece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in quanto dichiarato dallo stesso Moro nel memoriale, fonte autografa del corpus. La consegna di una copia dei fascicoli del SIFAR a Karamessines da parte di De Lorenzo, riferita da Ganser, è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in quanto attestata da sola fonte secondaria. Falsificatori: il rapporto del ventotto ottobre millenovecentosessantadue, se desecretato; gli atti della stazione per il biennio millenovecentosessanta-sessantuno.</w:t>
      </w:r>
    </w:p>
    <w:p>
      <w:pPr>
        <w:spacing w:line="276" w:lineRule="auto" w:after="120"/>
        <w:ind w:firstLine="425"/>
        <w:jc w:val="both"/>
      </w:pPr>
      <w:r>
        <w:rPr>
          <w:rFonts w:ascii="Times New Roman" w:hAnsi="Times New Roman" w:cs="Times New Roman" w:eastAsia="Times New Roman"/>
          <w:b w:val="0"/>
          <w:sz w:val="24"/>
        </w:rPr>
        <w:t>Il senso della triangolazione è quello del settimo Pattern, l’analisi delle traiettorie individuali attraverso i domini. La medesima persona è, nel millenovecentosessanta, il capostazione che secondo la fonte sostiene l’operazione politica di cui il segretario della DC Aldo Moro è protagonista contro Tambroni; nel millenovecentosessantadue, il presunto autore del rapporto su Mattei; nel millenovecentosessantasette, l’uomo che scopre le tracce del Che in Bolivia, nello stesso anno e nello stesso Paese in cui Feltrinelli viene arrestato ed espulso; nel millenovecentosessantanove, il dirigente che rendiconta la chiusura dei finanziamenti coperti ai partiti italiani. La traiettoria è documentata; la sua interpretazione no. Nulla nel corpus collega Karamessines al sequestro del millenovecentosettantotto, e il Registro registra questa assenza come Stato Zero, non come sospetto. Ciò che la traiettoria prova è di ordine strutturale: il Cerchio I italiano e il Cerchio III latino-americano furono, nel decennio millenovecentocinquantotto-sessantotto, attraversati dal medesimo operatore, e la triangolazione fra il Dossier Guevara e il caso Moro passa, per la CIA, attraverso il corridoio di una carriera e non attraverso un’operazione.</w:t>
      </w:r>
    </w:p>
    <w:p>
      <w:pPr>
        <w:keepNext/>
        <w:spacing w:line="276" w:lineRule="auto" w:before="360" w:after="160"/>
        <w:jc w:val="left"/>
      </w:pPr>
      <w:r>
        <w:rPr>
          <w:rFonts w:ascii="Times New Roman" w:hAnsi="Times New Roman" w:cs="Times New Roman" w:eastAsia="Times New Roman"/>
          <w:b w:val="0"/>
          <w:sz w:val="24"/>
        </w:rPr>
        <w:t>FASE SETTIMA — IL TRIANGOLO CON IL SACRO</w:t>
      </w:r>
    </w:p>
    <w:p>
      <w:pPr>
        <w:spacing w:line="276" w:lineRule="auto" w:after="120"/>
        <w:ind w:firstLine="425"/>
        <w:jc w:val="both"/>
      </w:pPr>
      <w:r>
        <w:rPr>
          <w:rFonts w:ascii="Times New Roman" w:hAnsi="Times New Roman" w:cs="Times New Roman" w:eastAsia="Times New Roman"/>
          <w:b w:val="0"/>
          <w:sz w:val="24"/>
        </w:rPr>
        <w:t>La monografia sul sacro ha gradato il canale vaticano nel caso Moro sulla testimonianza di monsignor Fabio Fabbri alla seconda Commissione. La relazione della seconda Commissione, presente in cartella, consente di precisare e in parte di elevare quei nodi. Fabbri fu audito il quattro febbraio duemilasedici; dichiarò che già il sedici marzo millenovecentosettantotto monsignor Pasquale Macchi, segretario particolare di Paolo VI, si rivolse a monsignor Cesare Curioni, ispettore generale dei cappellani carcerari, chiedendogli a nome del Pontefice di cercare contatti per una trattativa; che gli incontri con l’intermediario, ritenuto mandato dalle Brigate Rosse, avvenivano almeno una volta la settimana, previ contatti telefonici, prevalentemente a Napoli e in qualche caso nell’Italia settentrionale; che nella fase finale le Brigate Rosse si divisero in due gruppi; che il sei maggio, a Castel Gandolfo, egli vide le mazzette di dollari per circa dieci miliardi di lire, non provenienti dallo IOR, coperte da un panno di ciniglia azzurra; che Curioni ricevette dall’intermediario, in anticipo sui comunicati primo e settimo e grazie a fonti nel carcere di San Vittore fra cui l’avvocato Guiso, le fotografie di Moro prigioniero, la prima delle quali Paolo VI non ritenne garanzia di vita, sicché ne fu scattata una seconda con il quotidiano del giorno; che l’intermediario informò Curioni che il corpo non era nel lago della Duchessa, e che Curioni chiamò subito Andreotti per far cessare il drenaggio; che la sera del ventuno aprile Curioni non era nell’appartamento papale ma nella sua casa di Asso, dove dopo la mezzanotte ricevette la telefonata del Pontefice che gli lesse l’appello; che l’otto maggio la Santa Sede era in attesa di un segnale positivo che non giunse; che Curioni non ebbe, a suo giudizio, incontri in carcere con Curcio e Franceschini; e che egli e Curioni erano consapevoli di essere pedinati, quando alloggiavano alla Casa del clero di via della Traspontina, da un appartenente a un servizio segreto da lui conosciuto come Gino, identificato anni dopo.</w:t>
      </w:r>
    </w:p>
    <w:p>
      <w:pPr>
        <w:spacing w:line="276" w:lineRule="auto" w:after="120"/>
        <w:ind w:firstLine="425"/>
        <w:jc w:val="both"/>
      </w:pPr>
      <w:r>
        <w:rPr>
          <w:rFonts w:ascii="Times New Roman" w:hAnsi="Times New Roman" w:cs="Times New Roman" w:eastAsia="Times New Roman"/>
          <w:b w:val="0"/>
          <w:sz w:val="24"/>
        </w:rPr>
        <w:t>La relazione registra anche la versione dell’allora colonnello dei carabinieri Antonio Cornacchia, poi al SISDE, che dichiarò di aver partecipato il sei maggio a Castel Gandolfo a una riunione con Curioni, Macchi e padre Enrico Zucca, nella quale fu comunicato telefonicamente a Macchi il fallimento della trattativa per il rilascio contro una grossa somma patrocinata dalla Santa Sede; la Commissione annota che sulla partecipazione di Cornacchia non esistono allo stato riscontri, e Cornacchia stesso dichiarò che Fabbri non era presente. Il documento ventitreesimo numero trentasette aggiunge che Curioni, appresa la concentrazione delle ferite sull’emitorace sinistro senza interessamento del cuore, le associò a una sorta di firma corrispondente al modo di sparare di Giustino De Vuono, inferenza che egli era in grado di compiere per le notizie circolanti fra i cappellani delle carceri, e che la stessa Commissione acquisì le dichiarazioni di un testimone spontaneo, a identità protetta, amico di Curioni; e riferisce un’informativa dei carabinieri del cinque maggio millenovecentosettantotto al sottosegretario Lettieri secondo cui un confidente, il ventisei aprile, aveva riferito di un incontro del quindici novembre millenovecentosettantasette fra Prospero Gallinari, accompagnato da un compagno della RAF, e un pregiudicato in un bar di via Appia.</w:t>
      </w:r>
    </w:p>
    <w:p>
      <w:pPr>
        <w:spacing w:line="276" w:lineRule="auto" w:after="120"/>
        <w:ind w:firstLine="425"/>
        <w:jc w:val="both"/>
      </w:pPr>
      <w:r>
        <w:rPr>
          <w:rFonts w:ascii="Times New Roman" w:hAnsi="Times New Roman" w:cs="Times New Roman" w:eastAsia="Times New Roman"/>
          <w:b w:val="0"/>
          <w:sz w:val="24"/>
        </w:rPr>
        <w:t xml:space="preserve">Gradazione. La richiesta di Macchi a Curioni del sedici marzo, gli incontri con l’intermediario, la provvista del sei maggio, le fotografie anticipate, la smentita del lago, la telefonata di Asso e il pedinamento restano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testimonianza istituzionale di alta affidabilità, ora riscontrata nella sua sede primaria e non più soltanto per riporto di stampa, ma senza terza fonte eterogenea. La partecipazione di Cornacchia alla riunione del sei maggio e la presenza di padre Zucca sono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per dichiarazione priva di riscontri secondo la Commissione stessa, e il Registro segnala che il nome di padre Zucca, se confermato, aprirebbe nella monografia sul sacro un ponte fra il canale istituzionale del millenovecentosettantotto e la biografia del religioso, che la cartella non documenta e che il Registro non ricostruisce. L’inferenza di Curioni sulla firma di De Vuono è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quanto al fatto che fu formulata,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quanto al suo contenuto, e va letta insieme alla cautela che la relazione della seconda Commissione appone al canale calabrese. La contraddizione fra Fabbri, che si dichiara presente a Castel Gandolfo il sei maggio, e Cornacchia, che lo dichiara assente, è registrata come contraddizione fra fonti, non risolta. La provenienza e la destinazione della provvista restano Stato Zero, e l’ipotesi di un finanziatore statale estero resta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con il falsificatore già scolpito nella monografia.</w:t>
      </w:r>
    </w:p>
    <w:p>
      <w:pPr>
        <w:spacing w:line="276" w:lineRule="auto" w:after="120"/>
        <w:ind w:firstLine="425"/>
        <w:jc w:val="both"/>
      </w:pPr>
      <w:r>
        <w:rPr>
          <w:rFonts w:ascii="Times New Roman" w:hAnsi="Times New Roman" w:cs="Times New Roman" w:eastAsia="Times New Roman"/>
          <w:b w:val="0"/>
          <w:sz w:val="24"/>
        </w:rPr>
        <w:t xml:space="preserve">Il secondo lato del triangolo è l’unità tattica fra opposti. La rilettura degli anni Sessanta, dopo aver descritto il complotto di Caracas del millenovecentosessantacinque che univa gruppi di destra e di sinistra attorno all’editore Capriles e agli ufficiali nasseristi, definisce decisamente straordinarie le coincidenze con quanto accadrà nel millenovecentosessantasette-sessantotto in Italia, dove il progetto di un’unità tattica di intenti fra estrema destra ed estrema sinistra avrebbe trovato concordi l’editore rosso Feltrinelli, l’editore nero Giovanni Ventura, Franco Freda e il conte rosso Pietro Loredan. Questa proposizione, di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in quanto lettura parlamentare, tocca direttamente il nodo quarto e il nodo quinto della monografia sul sacro — Freda, il Gruppo di Ar, le Edizioni di Ar, la doppia verità giudiziaria su piazza Fontana — e il comando del Registro che ordina di cercare i legami fra opposti. L’undicesimo Pattern, l’isomorfismo strutturale, è lo strumento corretto: la somiglianza fra la configurazione di Caracas e quella padovano-milanese può indicare origine comune, necessità funzionale o convergenza indipendente, e la sola somiglianza non discrimina. Il Registro propende, in assenza di archi documentati fra i due teatri, per la necessità funzionale — in ogni zona di frontiera i due estremi convergono contro il centro perché il centro è ciò che entrambi vogliono abbattere — e classifica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ogni lettura che ne inferisca una regia comune. Per Freda, persona vivente, vale la formulazione esatta della monografia e nulla di questo capitolo autorizza inferenze ulteriori.</w:t>
      </w:r>
    </w:p>
    <w:p>
      <w:pPr>
        <w:spacing w:line="276" w:lineRule="auto" w:after="120"/>
        <w:ind w:firstLine="425"/>
        <w:jc w:val="both"/>
      </w:pPr>
      <w:r>
        <w:rPr>
          <w:rFonts w:ascii="Times New Roman" w:hAnsi="Times New Roman" w:cs="Times New Roman" w:eastAsia="Times New Roman"/>
          <w:b w:val="0"/>
          <w:sz w:val="24"/>
        </w:rPr>
        <w:t xml:space="preserve">Il terzo lato è il nodo bipolare. Alessandro Beltramini, secondo la rilettura degli anni Sessanta, fu addestrato nel millenovecentoquarantatré a Bagnoli, nel quartier generale della Quinta Armata americana, all’attività di sabotatore e informatore, ebbe nel lavoro informativo contatti frequenti a Berna con l’OSS e in particolare con Allen Dulles, e fu questa circostanza a trarlo d’impaccio a Caracas vent’anni dopo; nel millenovecentosessantacinque operava nella struttura del PCI sotto la diretta gestione del KGB, con missioni clandestine in Algeria, Perù, Venezuela e Guinea-Bissau.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per la traiettoria, dichiarata dall’interessato e riscontrata da stampa coeva e da atti che l’elaborato cita. Il nodo è bipolare nel senso proprio del progetto: un medesimo individuo attraversa i due campi in tempi diversi, e la circostanza è documentata. Ciò che il nodo non documenta è un concerto fra i due campi; l’elaborato stesso avverte che le tracce del KGB potrebbero confondersi con quelle di qualche servizio amico, e questa formulazione — che è quella dell’arco di convergenza, non dell’arco di collusione — è la sola che le fonti autorizzino.</w:t>
      </w:r>
    </w:p>
    <w:p>
      <w:pPr>
        <w:keepNext/>
        <w:spacing w:line="276" w:lineRule="auto" w:before="360" w:after="160"/>
        <w:jc w:val="left"/>
      </w:pPr>
      <w:r>
        <w:rPr>
          <w:rFonts w:ascii="Times New Roman" w:hAnsi="Times New Roman" w:cs="Times New Roman" w:eastAsia="Times New Roman"/>
          <w:b w:val="0"/>
          <w:sz w:val="24"/>
        </w:rPr>
        <w:t>FASE OTTAVA — I CERCHI CONCENTRICI E LA MACCHIA D’OLIO</w:t>
      </w:r>
    </w:p>
    <w:p>
      <w:pPr>
        <w:spacing w:line="276" w:lineRule="auto" w:after="120"/>
        <w:ind w:firstLine="425"/>
        <w:jc w:val="both"/>
      </w:pPr>
      <w:r>
        <w:rPr>
          <w:rFonts w:ascii="Times New Roman" w:hAnsi="Times New Roman" w:cs="Times New Roman" w:eastAsia="Times New Roman"/>
          <w:b w:val="0"/>
          <w:sz w:val="24"/>
        </w:rPr>
        <w:t xml:space="preserve">Il Cerchio I è l’Italia come campo di battaglia, e la triangolazione vi disegna un poligono di luoghi già iscritti nei Dossier Moro — via Fani, via Gradoli, via Montalcini, via Caetani, viale Giulio Cesare, il Viminale, Castel Gandolfo — ai quali il Dossier Guevara aggiunge Pinerolo, la cascina Spiotta, Robbiano di Mediglia, Segrate, la clinica San Siro di Milano e l’Ambasciata del Venezuela a Roma. Il Cerchio II è l’Europa, e il toponimo che vi ricorre con la massima frequenza in tutti i dossier è Parigi: quartier generale del Soccorso rosso dove Beltramini incontra il Che, città di Debray, luogo in cui Girotto si trova durante il sequestro, sede dell’istituto Hyperion, sede della riunione della Junta de Coordinación Revolucionaria secondo il canale contaminato di Navitalia; seguono Madrid, dove Beltramini riceve i dollari e dove la stessa Junta avrebbe tenuto il vertice; Amburgo, per Quintanilla; Düsseldorf, per Stoll; Praga, crocevia dei guerriglieri secondo la rilettura degli anni Sessanta; Londra, per Fiore; Lisbona, per Aginter; Atene, dove Karamessines fondò la stazione e assicurò il controllo del KYP prima di Roma. Il Cerchio III è l’America Latina — La Paz, Cochabamba, La Higuera, L’Avana della Tricontinentale, Caracas e l’aeroporto di Maiquetía, Buenos Aires — che nel corpus non è un teatro remoto ma la fonte diretta di quattro nodi italiani: la genealogia dichiarata delle Brigate Rosse, la Colt di Feltrinelli, il saio di Girotto e la targa di via Fani. Il Cerchio IV è il Medio Oriente — Beirut di Habbash e Haddad, dove Carlos si forma; Entebbe della Sezione Che Guevara; la fonte libanese del ventidue giugno millenovecentosettantotto secondo cui le Brigate Rosse inviarono a Habbash copia delle dichiarazioni di Moro — e vi si innesta il Lodo Moro e il segreto di Stato apposto sull’inchiesta Mastelloni, che la matrice di contaminazione già registra con indice quattro. Il Cerchio V è quello delle superpotenze, e vi siedono Langley, con Karamessines e il Comitato 303, e Mosca, con il KGB che finanzia il Soccorso rosso per nove decimi e che, secondo la dichiarazione di Umberto Giovine fondata sul rapporto Viviani e riferita dall’elaborato — </w:t>
      </w:r>
      <w:r>
        <w:rPr>
          <w:rFonts w:ascii="Times New Roman" w:hAnsi="Times New Roman" w:cs="Times New Roman" w:eastAsia="Times New Roman"/>
          <w:b/>
          <w:sz w:val="24"/>
        </w:rPr>
        <w:t>Livello C</w:t>
      </w:r>
      <w:r>
        <w:rPr>
          <w:rFonts w:ascii="Times New Roman" w:hAnsi="Times New Roman" w:cs="Times New Roman" w:eastAsia="Times New Roman"/>
          <w:b w:val="0"/>
          <w:sz w:val="24"/>
        </w:rPr>
        <w:t>, per la catena di riporti che la sostiene — seppe subito l’identità del corpo di Segrate ed ebbe una notte intera per smantellare la propria rete italiana.</w:t>
      </w:r>
    </w:p>
    <w:p>
      <w:pPr>
        <w:spacing w:line="276" w:lineRule="auto" w:after="120"/>
        <w:ind w:firstLine="425"/>
        <w:jc w:val="both"/>
      </w:pPr>
      <w:r>
        <w:rPr>
          <w:rFonts w:ascii="Times New Roman" w:hAnsi="Times New Roman" w:cs="Times New Roman" w:eastAsia="Times New Roman"/>
          <w:b w:val="0"/>
          <w:sz w:val="24"/>
        </w:rPr>
        <w:t>La macchia d’olio, letta in questo modo, mostra un dato che nessun cerchio preso da solo rivela: i flussi che dai Cerchi III e IV entrano nel Cerchio I non passano attraverso le capitali del Cerchio V ma attraverso una manciata di individui-cerniera — Feltrinelli, Beltramini, Girotto, Carlos, Karamessines — ciascuno dei quali possiede un’alta centralità di intermediazione e una bassa centralità di grado. È esattamente la configurazione che la Nota Metodologica descrive come la più produttiva per l’opera: i ponti fra i domini sono pochi, sono persone e non organizzazioni, e la loro rimozione disconnetterebbe i cerchi. Uno dei cinque ponti, Feltrinelli, morì sotto il traliccio di Segrate in circostanze che la stessa organizzazione da lui ispirata sottopose a inchiesta interna, e attorno ai ponti stanno tre morti violente — Quintanilla, la Ertl, il Che — che il Registro registra come regolarità della zona di frontiera senza promuoverla a legge.</w:t>
      </w:r>
    </w:p>
    <w:p>
      <w:pPr>
        <w:keepNext/>
        <w:spacing w:line="276" w:lineRule="auto" w:before="360" w:after="160"/>
        <w:jc w:val="left"/>
      </w:pPr>
      <w:r>
        <w:rPr>
          <w:rFonts w:ascii="Times New Roman" w:hAnsi="Times New Roman" w:cs="Times New Roman" w:eastAsia="Times New Roman"/>
          <w:b w:val="0"/>
          <w:sz w:val="24"/>
        </w:rPr>
        <w:t>FASE NONA — LE IPOTESI CONCORRENTI E IL TEST DELLA MACRO-IPOTESI</w:t>
      </w:r>
    </w:p>
    <w:p>
      <w:pPr>
        <w:spacing w:line="276" w:lineRule="auto" w:after="120"/>
        <w:ind w:firstLine="425"/>
        <w:jc w:val="both"/>
      </w:pPr>
      <w:r>
        <w:rPr>
          <w:rFonts w:ascii="Times New Roman" w:hAnsi="Times New Roman" w:cs="Times New Roman" w:eastAsia="Times New Roman"/>
          <w:b w:val="0"/>
          <w:sz w:val="24"/>
        </w:rPr>
        <w:t xml:space="preserve">L’analisi delle ipotesi concorrenti è condotta sul solo materiale di questa triangolazione. L’ipotesi zero, dell’autosufficienza: le Brigate Rosse concepirono ed eseguirono il sequestro con risorse proprie, e i frammenti latino-americani sono, rispettivamente, una genealogia ideologica dichiarata, un oggetto — la targa — recuperato da un canale di furto, e una serie di coincidenze di frontiera. È l’ipotesi più economica, coincide con l’accertamento giudiziario e non è contraddetta da alcun elemento qui raccolto; il Registro Analitico del Caso Moro la mantiene come falsificatore più forte e questo Registro la conferma. L’ipotesi prima, la macro-ipotesi del concerto fra Stati Uniti e Unione Sovietica contro l’integrazione europea, di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il test qui possibile è duplice. A favore, in senso debole, sta il nodo bipolare Beltramini, che mostra la permeabilità di un singolo individuo ai due campi; contro stanno due evidenze esplicite della fonte parlamentare — il Venezuela definito zona di frontiera fra le due aree d’influenza, con il complotto del millenovecentosessantacinque letto come tentativo di far scivolare il Paese nell’orbita sovietica, e la strategia guevarista descritta da Krebs come volta a disperdere le forze americane nei fronti del Terzo Mondo — che descrivono rivalità, non concerto. Il Registro dichiara che, nel perimetro di questa triangolazione, la macro-ipotesi non riceve alcuna conferma e riceve due evidenze contrarie; essa resta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e Milward resta il falsificatore designato. L’ipotesi seconda, dei progetti rivali di unificazione autoritaria — atlantista ed eurasiatista — spiega senza residuo tanto la rivalità venezuelana quanto la bipolarità di Beltramini, e in questo perimetro è meno contraddetta della prima. L’ipotesi terza, del non impedimento, riceve dalla triangolazione un segmento di </w:t>
      </w:r>
      <w:r>
        <w:rPr>
          <w:rFonts w:ascii="Times New Roman" w:hAnsi="Times New Roman" w:cs="Times New Roman" w:eastAsia="Times New Roman"/>
          <w:b/>
          <w:sz w:val="24"/>
        </w:rPr>
        <w:t>Livello B</w:t>
      </w:r>
      <w:r>
        <w:rPr>
          <w:rFonts w:ascii="Times New Roman" w:hAnsi="Times New Roman" w:cs="Times New Roman" w:eastAsia="Times New Roman"/>
          <w:b w:val="0"/>
          <w:sz w:val="24"/>
        </w:rPr>
        <w:t>: l’anomalia della targa venezuelana, segnalata come mancato sviluppo tecnico dallo stesso Servizio nel millenovecentottanta, è un caso documentato di informazione disponibile e non sviluppata, che non prova disegno e non lo esclude. L’ipotesi quarta, della convergenza non coordinata, resta compatibile con tutto e perciò diffidata.</w:t>
      </w:r>
    </w:p>
    <w:p>
      <w:pPr>
        <w:spacing w:line="276" w:lineRule="auto" w:after="120"/>
        <w:ind w:firstLine="425"/>
        <w:jc w:val="both"/>
      </w:pPr>
      <w:r>
        <w:rPr>
          <w:rFonts w:ascii="Times New Roman" w:hAnsi="Times New Roman" w:cs="Times New Roman" w:eastAsia="Times New Roman"/>
          <w:b w:val="0"/>
          <w:sz w:val="24"/>
        </w:rPr>
        <w:t>Le evidenze diagnostiche — quelle che discriminano fra le ipotesi — sono tre e sono tutte assenti: l’identità del venezuelano dell’appartamento presso via Fani; il canale attraverso cui la targa di metallo passò dalla denuncia del millenovecentosettantatré al gruppo Morucci; la provenienza della provvista di Castel Gandolfo. Sono tre Stati Zero e sono, nell’ordine, le tre domande che il Registro consegna alla Camera Istruttoria con priorità assoluta.</w:t>
      </w:r>
    </w:p>
    <w:p>
      <w:pPr>
        <w:keepNext/>
        <w:spacing w:line="276" w:lineRule="auto" w:before="360" w:after="160"/>
        <w:jc w:val="left"/>
      </w:pPr>
      <w:r>
        <w:rPr>
          <w:rFonts w:ascii="Times New Roman" w:hAnsi="Times New Roman" w:cs="Times New Roman" w:eastAsia="Times New Roman"/>
          <w:b w:val="0"/>
          <w:sz w:val="24"/>
        </w:rPr>
        <w:t>FASE DECIMA — CAPITOLO DI TRIANGOLAZIONE: I NODI GRADATI</w:t>
      </w:r>
    </w:p>
    <w:p>
      <w:pPr>
        <w:spacing w:line="276" w:lineRule="auto" w:after="120"/>
        <w:ind w:firstLine="425"/>
        <w:jc w:val="both"/>
      </w:pPr>
      <w:r>
        <w:rPr>
          <w:rFonts w:ascii="Times New Roman" w:hAnsi="Times New Roman" w:cs="Times New Roman" w:eastAsia="Times New Roman"/>
          <w:b w:val="0"/>
          <w:sz w:val="24"/>
        </w:rPr>
        <w:t xml:space="preserve">Nodo primo. Il cognome Guevara designa nel corpus tre persone distinte — Ernesto Guevara detto Che, Arquímedes Guevara Alcalá, Anna Guevara — e il filtro omonimico è obbligatorio fra le tre.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quanto alla distinzione, per anagrafe, funzione e fonte.</w:t>
      </w:r>
    </w:p>
    <w:p>
      <w:pPr>
        <w:spacing w:line="276" w:lineRule="auto" w:after="120"/>
        <w:ind w:firstLine="425"/>
        <w:jc w:val="both"/>
      </w:pPr>
      <w:r>
        <w:rPr>
          <w:rFonts w:ascii="Times New Roman" w:hAnsi="Times New Roman" w:cs="Times New Roman" w:eastAsia="Times New Roman"/>
          <w:b w:val="0"/>
          <w:sz w:val="24"/>
        </w:rPr>
        <w:t xml:space="preserve">Nodo secondo. La Fiat 128 familiare di via Fani, rubata l’otto marzo millenovecentosettantotto e già di Aldo Miconi, recava la targa CD 19707. </w:t>
      </w:r>
      <w:r>
        <w:rPr>
          <w:rFonts w:ascii="Times New Roman" w:hAnsi="Times New Roman" w:cs="Times New Roman" w:eastAsia="Times New Roman"/>
          <w:b/>
          <w:sz w:val="24"/>
        </w:rPr>
        <w:t>Livello A</w:t>
      </w:r>
      <w:r>
        <w:rPr>
          <w:rFonts w:ascii="Times New Roman" w:hAnsi="Times New Roman" w:cs="Times New Roman" w:eastAsia="Times New Roman"/>
          <w:b w:val="0"/>
          <w:sz w:val="24"/>
        </w:rPr>
        <w:t>. Falsificatore: verbali di reperimento di segno contrario.</w:t>
      </w:r>
    </w:p>
    <w:p>
      <w:pPr>
        <w:spacing w:line="276" w:lineRule="auto" w:after="120"/>
        <w:ind w:firstLine="425"/>
        <w:jc w:val="both"/>
      </w:pPr>
      <w:r>
        <w:rPr>
          <w:rFonts w:ascii="Times New Roman" w:hAnsi="Times New Roman" w:cs="Times New Roman" w:eastAsia="Times New Roman"/>
          <w:b w:val="0"/>
          <w:sz w:val="24"/>
        </w:rPr>
        <w:t xml:space="preserve">Nodo terzo. La targa CD 19707 era assegnata al tenente colonnello Arquímedes Guevara Alcalá, addetto militare venezuelano, che ne denunciò il furto l’undici aprile millenovecentosettantatré a Roma-Parioli; la gemella in plastica fu assegnata al tenente colonnello Heliodoro Claviere Rodríguez e restituita nel gennaio millenovecentosettantotto; la targa di metallo giunse al gruppo Morucci. </w:t>
      </w:r>
      <w:r>
        <w:rPr>
          <w:rFonts w:ascii="Times New Roman" w:hAnsi="Times New Roman" w:cs="Times New Roman" w:eastAsia="Times New Roman"/>
          <w:b/>
          <w:sz w:val="24"/>
        </w:rPr>
        <w:t>Livello B</w:t>
      </w:r>
      <w:r>
        <w:rPr>
          <w:rFonts w:ascii="Times New Roman" w:hAnsi="Times New Roman" w:cs="Times New Roman" w:eastAsia="Times New Roman"/>
          <w:b w:val="0"/>
          <w:sz w:val="24"/>
        </w:rPr>
        <w:t>. Falsificatore: fascicolo della Motorizzazione civile e denuncia del millenovecentosettantatré.</w:t>
      </w:r>
    </w:p>
    <w:p>
      <w:pPr>
        <w:spacing w:line="276" w:lineRule="auto" w:after="120"/>
        <w:ind w:firstLine="425"/>
        <w:jc w:val="both"/>
      </w:pPr>
      <w:r>
        <w:rPr>
          <w:rFonts w:ascii="Times New Roman" w:hAnsi="Times New Roman" w:cs="Times New Roman" w:eastAsia="Times New Roman"/>
          <w:b w:val="0"/>
          <w:sz w:val="24"/>
        </w:rPr>
        <w:t xml:space="preserve">Nodo quarto. L’anomalia fu segnalata al colonnello Secondo D’Eliseo il dodici gennaio millenovecentottanta come mancato sviluppo tecnico. </w:t>
      </w:r>
      <w:r>
        <w:rPr>
          <w:rFonts w:ascii="Times New Roman" w:hAnsi="Times New Roman" w:cs="Times New Roman" w:eastAsia="Times New Roman"/>
          <w:b/>
          <w:sz w:val="24"/>
        </w:rPr>
        <w:t>Livello B</w:t>
      </w:r>
      <w:r>
        <w:rPr>
          <w:rFonts w:ascii="Times New Roman" w:hAnsi="Times New Roman" w:cs="Times New Roman" w:eastAsia="Times New Roman"/>
          <w:b w:val="0"/>
          <w:sz w:val="24"/>
        </w:rPr>
        <w:t>. Consegna al Registro D: nome e catena dell’anomalia già indicizzata con indice cinque.</w:t>
      </w:r>
    </w:p>
    <w:p>
      <w:pPr>
        <w:spacing w:line="276" w:lineRule="auto" w:after="120"/>
        <w:ind w:firstLine="425"/>
        <w:jc w:val="both"/>
      </w:pPr>
      <w:r>
        <w:rPr>
          <w:rFonts w:ascii="Times New Roman" w:hAnsi="Times New Roman" w:cs="Times New Roman" w:eastAsia="Times New Roman"/>
          <w:b w:val="0"/>
          <w:sz w:val="24"/>
        </w:rPr>
        <w:t xml:space="preserve">Nodo quinto. Alle diciannove e trenta del sedici marzo millenovecentosettantotto il capo della Polizia Parlato riferì di accertamenti su due stranieri, uno venezuelano, scomparsi un’ora prima dell’agguato da un appartamento vicino a via Fani.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quanto alla segnalazione; Stato Zero quanto all’identità.</w:t>
      </w:r>
    </w:p>
    <w:p>
      <w:pPr>
        <w:spacing w:line="276" w:lineRule="auto" w:after="120"/>
        <w:ind w:firstLine="425"/>
        <w:jc w:val="both"/>
      </w:pPr>
      <w:r>
        <w:rPr>
          <w:rFonts w:ascii="Times New Roman" w:hAnsi="Times New Roman" w:cs="Times New Roman" w:eastAsia="Times New Roman"/>
          <w:b w:val="0"/>
          <w:sz w:val="24"/>
        </w:rPr>
        <w:t xml:space="preserve">Nodo sesto. Una Fiat 128 bianca familiare con targa diplomatica fu vista dal dodici marzo presso l’abitazione di Moro e il quattordici marzo depose una donna davanti alla casa di cura Villa Maria Pia.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su testimonianza riferita dalla seconda Commissione.</w:t>
      </w:r>
    </w:p>
    <w:p>
      <w:pPr>
        <w:spacing w:line="276" w:lineRule="auto" w:after="120"/>
        <w:ind w:firstLine="425"/>
        <w:jc w:val="both"/>
      </w:pPr>
      <w:r>
        <w:rPr>
          <w:rFonts w:ascii="Times New Roman" w:hAnsi="Times New Roman" w:cs="Times New Roman" w:eastAsia="Times New Roman"/>
          <w:b w:val="0"/>
          <w:sz w:val="24"/>
        </w:rPr>
        <w:t xml:space="preserve">Nodo settimo. Il contatto venezuelano di Navitalia e l’appunto del diciassette maggio millenovecentosettantotto sulla Junta de Coordinación Revolucionaria provengono da fonte qualificata inaffidabile dalla stessa Commissione.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con Indice di Contaminazione dichiarato; nessuna asserzione può fondarvisi.</w:t>
      </w:r>
    </w:p>
    <w:p>
      <w:pPr>
        <w:spacing w:line="276" w:lineRule="auto" w:after="120"/>
        <w:ind w:firstLine="425"/>
        <w:jc w:val="both"/>
      </w:pPr>
      <w:r>
        <w:rPr>
          <w:rFonts w:ascii="Times New Roman" w:hAnsi="Times New Roman" w:cs="Times New Roman" w:eastAsia="Times New Roman"/>
          <w:b w:val="0"/>
          <w:sz w:val="24"/>
        </w:rPr>
        <w:t xml:space="preserve">Nodo ottavo. Giuliana Conforto e Massimo Corbò insegnavano in Venezuela nel millenovecentosettantatré e comparivano nel millenovecentosettantacinque in documenti sequestrati a Caracas a un gruppo trotskista.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La coincidenza dell’anno con la denuncia della targa è </w:t>
      </w:r>
      <w:r>
        <w:rPr>
          <w:rFonts w:ascii="Times New Roman" w:hAnsi="Times New Roman" w:cs="Times New Roman" w:eastAsia="Times New Roman"/>
          <w:b/>
          <w:sz w:val="24"/>
        </w:rPr>
        <w:t>Livello C</w:t>
      </w:r>
      <w:r>
        <w:rPr>
          <w:rFonts w:ascii="Times New Roman" w:hAnsi="Times New Roman" w:cs="Times New Roman" w:eastAsia="Times New Roman"/>
          <w:b w:val="0"/>
          <w:sz w:val="24"/>
        </w:rPr>
        <w:t>, assegnata alla Camera Istruttoria con falsificatore duplice.</w:t>
      </w:r>
    </w:p>
    <w:p>
      <w:pPr>
        <w:spacing w:line="276" w:lineRule="auto" w:after="120"/>
        <w:ind w:firstLine="425"/>
        <w:jc w:val="both"/>
      </w:pPr>
      <w:r>
        <w:rPr>
          <w:rFonts w:ascii="Times New Roman" w:hAnsi="Times New Roman" w:cs="Times New Roman" w:eastAsia="Times New Roman"/>
          <w:b w:val="0"/>
          <w:sz w:val="24"/>
        </w:rPr>
        <w:t xml:space="preserve">Nodo nono. Alessandro Beltramini fu arrestato a Maiquetía il sette aprile millenovecentosessantacinque con trecentotrentamila dollari destinati al partito comunista venezuelano; Clara Anna Baretic de Padilla fu arrestata a Caracas poche ore prima.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per l’arresto;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per la qualifica della Baretic come staffetta del Che, che la fonte stessa formula con riserva.</w:t>
      </w:r>
    </w:p>
    <w:p>
      <w:pPr>
        <w:spacing w:line="276" w:lineRule="auto" w:after="120"/>
        <w:ind w:firstLine="425"/>
        <w:jc w:val="both"/>
      </w:pPr>
      <w:r>
        <w:rPr>
          <w:rFonts w:ascii="Times New Roman" w:hAnsi="Times New Roman" w:cs="Times New Roman" w:eastAsia="Times New Roman"/>
          <w:b w:val="0"/>
          <w:sz w:val="24"/>
        </w:rPr>
        <w:t xml:space="preserve">Nodo decimo. Beltramini fu addestrato dall’OSS nel millenovecentoquarantatré e in contatto con Allen Dulles a Berna, e operò negli anni Sessanta per il Soccorso rosso sotto gestione del KGB. </w:t>
      </w:r>
      <w:r>
        <w:rPr>
          <w:rFonts w:ascii="Times New Roman" w:hAnsi="Times New Roman" w:cs="Times New Roman" w:eastAsia="Times New Roman"/>
          <w:b/>
          <w:sz w:val="24"/>
        </w:rPr>
        <w:t>Livello B</w:t>
      </w:r>
      <w:r>
        <w:rPr>
          <w:rFonts w:ascii="Times New Roman" w:hAnsi="Times New Roman" w:cs="Times New Roman" w:eastAsia="Times New Roman"/>
          <w:b w:val="0"/>
          <w:sz w:val="24"/>
        </w:rPr>
        <w:t>. Nodo bipolare; nessuna inferenza di concerto fra i campi.</w:t>
      </w:r>
    </w:p>
    <w:p>
      <w:pPr>
        <w:spacing w:line="276" w:lineRule="auto" w:after="120"/>
        <w:ind w:firstLine="425"/>
        <w:jc w:val="both"/>
      </w:pPr>
      <w:r>
        <w:rPr>
          <w:rFonts w:ascii="Times New Roman" w:hAnsi="Times New Roman" w:cs="Times New Roman" w:eastAsia="Times New Roman"/>
          <w:b w:val="0"/>
          <w:sz w:val="24"/>
        </w:rPr>
        <w:t xml:space="preserve">Nodo undicesimo. Berlinguer e Giancarlo Pajetta ricevettero il due febbraio millenovecentosessantacinque Edoardo Gallegos Mancera, che prospettò la caduta del governo Leoni.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Il complotto venezuelano univa destra e sinistra attorno a Capriles e agli ufficiali nasseristi.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su fonte parlamentare che riporta il ministero dell’interno venezuelano.</w:t>
      </w:r>
    </w:p>
    <w:p>
      <w:pPr>
        <w:spacing w:line="276" w:lineRule="auto" w:after="120"/>
        <w:ind w:firstLine="425"/>
        <w:jc w:val="both"/>
      </w:pPr>
      <w:r>
        <w:rPr>
          <w:rFonts w:ascii="Times New Roman" w:hAnsi="Times New Roman" w:cs="Times New Roman" w:eastAsia="Times New Roman"/>
          <w:b w:val="0"/>
          <w:sz w:val="24"/>
        </w:rPr>
        <w:t xml:space="preserve">Nodo dodicesimo. Feltrinelli fu arrestato ed espulso dalla Bolivia nell’agosto del millenovecentosessantasette e rientrò il ventidue agosto; a Cuba conobbe il Che, diresse Tricontinental e fu fiduciario della rivoluzione cubana in Europa; fece avere a Curcio i materiali sui Tupamaros e Marighella. </w:t>
      </w:r>
      <w:r>
        <w:rPr>
          <w:rFonts w:ascii="Times New Roman" w:hAnsi="Times New Roman" w:cs="Times New Roman" w:eastAsia="Times New Roman"/>
          <w:b/>
          <w:sz w:val="24"/>
        </w:rPr>
        <w:t>Livello B</w:t>
      </w:r>
      <w:r>
        <w:rPr>
          <w:rFonts w:ascii="Times New Roman" w:hAnsi="Times New Roman" w:cs="Times New Roman" w:eastAsia="Times New Roman"/>
          <w:b w:val="0"/>
          <w:sz w:val="24"/>
        </w:rPr>
        <w:t>.</w:t>
      </w:r>
    </w:p>
    <w:p>
      <w:pPr>
        <w:spacing w:line="276" w:lineRule="auto" w:after="120"/>
        <w:ind w:firstLine="425"/>
        <w:jc w:val="both"/>
      </w:pPr>
      <w:r>
        <w:rPr>
          <w:rFonts w:ascii="Times New Roman" w:hAnsi="Times New Roman" w:cs="Times New Roman" w:eastAsia="Times New Roman"/>
          <w:b w:val="0"/>
          <w:sz w:val="24"/>
        </w:rPr>
        <w:t xml:space="preserve">Nodo tredicesimo. Il console Roberto Quintanilla fu ucciso ad Amburgo il primo aprile millenovecentosettantuno con un revolver Colt Cobra acquistato da Feltrinelli nel millenovecentosessantotto; l’azione fu attribuita a Monika Ertl e rivendicata dall’ELN; la progettazione da parte di Feltrinelli è attribuita da due detenuti boliviani.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per l’arma e l’attribuzione; la progettazione resta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senza elevazione, per la natura del canale.</w:t>
      </w:r>
    </w:p>
    <w:p>
      <w:pPr>
        <w:spacing w:line="276" w:lineRule="auto" w:after="120"/>
        <w:ind w:firstLine="425"/>
        <w:jc w:val="both"/>
      </w:pPr>
      <w:r>
        <w:rPr>
          <w:rFonts w:ascii="Times New Roman" w:hAnsi="Times New Roman" w:cs="Times New Roman" w:eastAsia="Times New Roman"/>
          <w:b w:val="0"/>
          <w:sz w:val="24"/>
        </w:rPr>
        <w:t xml:space="preserve">Nodo quattordicesimo. Silvano Girotto, frate francescano, combatté in Bolivia dal millenovecentosettantuno, incontrò Monika Ertl, si trovava a La Paz quando fu uccisa. </w:t>
      </w:r>
      <w:r>
        <w:rPr>
          <w:rFonts w:ascii="Times New Roman" w:hAnsi="Times New Roman" w:cs="Times New Roman" w:eastAsia="Times New Roman"/>
          <w:b/>
          <w:sz w:val="24"/>
        </w:rPr>
        <w:t>Livello B</w:t>
      </w:r>
      <w:r>
        <w:rPr>
          <w:rFonts w:ascii="Times New Roman" w:hAnsi="Times New Roman" w:cs="Times New Roman" w:eastAsia="Times New Roman"/>
          <w:b w:val="0"/>
          <w:sz w:val="24"/>
        </w:rPr>
        <w:t>.</w:t>
      </w:r>
    </w:p>
    <w:p>
      <w:pPr>
        <w:spacing w:line="276" w:lineRule="auto" w:after="120"/>
        <w:ind w:firstLine="425"/>
        <w:jc w:val="both"/>
      </w:pPr>
      <w:r>
        <w:rPr>
          <w:rFonts w:ascii="Times New Roman" w:hAnsi="Times New Roman" w:cs="Times New Roman" w:eastAsia="Times New Roman"/>
          <w:b w:val="0"/>
          <w:sz w:val="24"/>
        </w:rPr>
        <w:t xml:space="preserve">Nodo quindicesimo. L’otto settembre millenovecentosettantaquattro, a Pinerolo, Curcio e Franceschini furono arrestati nella trappola costruita attorno a Girotto. </w:t>
      </w:r>
      <w:r>
        <w:rPr>
          <w:rFonts w:ascii="Times New Roman" w:hAnsi="Times New Roman" w:cs="Times New Roman" w:eastAsia="Times New Roman"/>
          <w:b/>
          <w:sz w:val="24"/>
        </w:rPr>
        <w:t>Livello A</w:t>
      </w:r>
      <w:r>
        <w:rPr>
          <w:rFonts w:ascii="Times New Roman" w:hAnsi="Times New Roman" w:cs="Times New Roman" w:eastAsia="Times New Roman"/>
          <w:b w:val="0"/>
          <w:sz w:val="24"/>
        </w:rPr>
        <w:t>.</w:t>
      </w:r>
    </w:p>
    <w:p>
      <w:pPr>
        <w:spacing w:line="276" w:lineRule="auto" w:after="120"/>
        <w:ind w:firstLine="425"/>
        <w:jc w:val="both"/>
      </w:pPr>
      <w:r>
        <w:rPr>
          <w:rFonts w:ascii="Times New Roman" w:hAnsi="Times New Roman" w:cs="Times New Roman" w:eastAsia="Times New Roman"/>
          <w:b w:val="0"/>
          <w:sz w:val="24"/>
        </w:rPr>
        <w:t xml:space="preserve">Nodo sedicesimo. Girotto fu accreditato presso le Brigate Rosse da un servizio del Candido fondato su una velina degli Affari riservati; la telefonata del tre settembre a Levati proveniva, secondo Girotto e secondo il pubblico ministero Moschella, dal medesimo Ufficio; Moretti insistette per coinvolgerlo; l’elenco sottratto a Sogno scomparve; Girotto fu a Parigi durante il sequestro Moro e ricevette contributi dal SISMI.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per ciascuna proposizione;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per ogni inferenza sull’uso.</w:t>
      </w:r>
    </w:p>
    <w:p>
      <w:pPr>
        <w:spacing w:line="276" w:lineRule="auto" w:after="120"/>
        <w:ind w:firstLine="425"/>
        <w:jc w:val="both"/>
      </w:pPr>
      <w:r>
        <w:rPr>
          <w:rFonts w:ascii="Times New Roman" w:hAnsi="Times New Roman" w:cs="Times New Roman" w:eastAsia="Times New Roman"/>
          <w:b w:val="0"/>
          <w:sz w:val="24"/>
        </w:rPr>
        <w:t xml:space="preserve">Nodo diciassettesimo. L’esposto di Dalla Chiesa contro il giudice De Vincenzo, fondato anche su informative di Girotto, si concluse con il proscioglimento pieno. </w:t>
      </w:r>
      <w:r>
        <w:rPr>
          <w:rFonts w:ascii="Times New Roman" w:hAnsi="Times New Roman" w:cs="Times New Roman" w:eastAsia="Times New Roman"/>
          <w:b/>
          <w:sz w:val="24"/>
        </w:rPr>
        <w:t>Livello A</w:t>
      </w:r>
      <w:r>
        <w:rPr>
          <w:rFonts w:ascii="Times New Roman" w:hAnsi="Times New Roman" w:cs="Times New Roman" w:eastAsia="Times New Roman"/>
          <w:b w:val="0"/>
          <w:sz w:val="24"/>
        </w:rPr>
        <w:t>. Dato sulla fonte, non sul giudice.</w:t>
      </w:r>
    </w:p>
    <w:p>
      <w:pPr>
        <w:spacing w:line="276" w:lineRule="auto" w:after="120"/>
        <w:ind w:firstLine="425"/>
        <w:jc w:val="both"/>
      </w:pPr>
      <w:r>
        <w:rPr>
          <w:rFonts w:ascii="Times New Roman" w:hAnsi="Times New Roman" w:cs="Times New Roman" w:eastAsia="Times New Roman"/>
          <w:b w:val="0"/>
          <w:sz w:val="24"/>
        </w:rPr>
        <w:t xml:space="preserve">Nodo diciottesimo. Thomas Karamessines diresse la stazione della CIA in Italia dal millenovecentocinquantotto, fu poi capo delle operazioni e rendicontò al Comitato 303 l’undici marzo millenovecentosessantanove.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Scoprì in Bolivia le tracce del Che nel millenovecentosessantasette.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È il presunto autore del rapporto su Mattei del ventotto ottobre millenovecentosessantadue.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quanto all’attribuzione, Stato Zero quanto al contenuto. Falsificatore: la desecretazione.</w:t>
      </w:r>
    </w:p>
    <w:p>
      <w:pPr>
        <w:spacing w:line="276" w:lineRule="auto" w:after="120"/>
        <w:ind w:firstLine="425"/>
        <w:jc w:val="both"/>
      </w:pPr>
      <w:r>
        <w:rPr>
          <w:rFonts w:ascii="Times New Roman" w:hAnsi="Times New Roman" w:cs="Times New Roman" w:eastAsia="Times New Roman"/>
          <w:b w:val="0"/>
          <w:sz w:val="24"/>
        </w:rPr>
        <w:t xml:space="preserve">Nodo diciannovesimo. Moro dichiarò nel memoriale di aver utilizzato elementi informativi forniti da De Lorenzo per esigere le dimissioni del governo Tambroni.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su fonte autografa. L’approvazione di Karamessines è </w:t>
      </w:r>
      <w:r>
        <w:rPr>
          <w:rFonts w:ascii="Times New Roman" w:hAnsi="Times New Roman" w:cs="Times New Roman" w:eastAsia="Times New Roman"/>
          <w:b/>
          <w:sz w:val="24"/>
        </w:rPr>
        <w:t>Livello C</w:t>
      </w:r>
      <w:r>
        <w:rPr>
          <w:rFonts w:ascii="Times New Roman" w:hAnsi="Times New Roman" w:cs="Times New Roman" w:eastAsia="Times New Roman"/>
          <w:b w:val="0"/>
          <w:sz w:val="24"/>
        </w:rPr>
        <w:t>.</w:t>
      </w:r>
    </w:p>
    <w:p>
      <w:pPr>
        <w:spacing w:line="276" w:lineRule="auto" w:after="120"/>
        <w:ind w:firstLine="425"/>
        <w:jc w:val="both"/>
      </w:pPr>
      <w:r>
        <w:rPr>
          <w:rFonts w:ascii="Times New Roman" w:hAnsi="Times New Roman" w:cs="Times New Roman" w:eastAsia="Times New Roman"/>
          <w:b w:val="0"/>
          <w:sz w:val="24"/>
        </w:rPr>
        <w:t xml:space="preserve">Nodo ventesimo. Il sedici marzo millenovecentosettantotto Macchi chiese a Curioni, a nome di Paolo VI, di avviare una trattativa; gli incontri con l’intermediario avvennero settimanalmente, per lo più a Napoli; il sei maggio a Castel Gandolfo Fabbri vide la provvista in dollari non proveniente dallo IOR; l’intermediario smentì il lago della Duchessa e Curioni avvertì Andreotti; il ventuno aprile Curioni era ad Asso e ricevette per telefono la lettura dell’appello.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su audizione del quattro febbraio duemilasedici. Provenienza e destino della provvista: Stato Zero.</w:t>
      </w:r>
    </w:p>
    <w:p>
      <w:pPr>
        <w:spacing w:line="276" w:lineRule="auto" w:after="120"/>
        <w:ind w:firstLine="425"/>
        <w:jc w:val="both"/>
      </w:pPr>
      <w:r>
        <w:rPr>
          <w:rFonts w:ascii="Times New Roman" w:hAnsi="Times New Roman" w:cs="Times New Roman" w:eastAsia="Times New Roman"/>
          <w:b w:val="0"/>
          <w:sz w:val="24"/>
        </w:rPr>
        <w:t xml:space="preserve">Nodo ventunesimo. Cornacchia dichiarò di aver partecipato il sei maggio a Castel Gandolfo a una riunione con Curioni, Macchi e padre Enrico Zucca; la Commissione non dispone di riscontri; Fabbri e Cornacchia si contraddicono sulla presenza dell’uno. </w:t>
      </w:r>
      <w:r>
        <w:rPr>
          <w:rFonts w:ascii="Times New Roman" w:hAnsi="Times New Roman" w:cs="Times New Roman" w:eastAsia="Times New Roman"/>
          <w:b/>
          <w:sz w:val="24"/>
        </w:rPr>
        <w:t>Livello C</w:t>
      </w:r>
      <w:r>
        <w:rPr>
          <w:rFonts w:ascii="Times New Roman" w:hAnsi="Times New Roman" w:cs="Times New Roman" w:eastAsia="Times New Roman"/>
          <w:b w:val="0"/>
          <w:sz w:val="24"/>
        </w:rPr>
        <w:t>; contraddizione registrata e non risolta.</w:t>
      </w:r>
    </w:p>
    <w:p>
      <w:pPr>
        <w:spacing w:line="276" w:lineRule="auto" w:after="120"/>
        <w:ind w:firstLine="425"/>
        <w:jc w:val="both"/>
      </w:pPr>
      <w:r>
        <w:rPr>
          <w:rFonts w:ascii="Times New Roman" w:hAnsi="Times New Roman" w:cs="Times New Roman" w:eastAsia="Times New Roman"/>
          <w:b w:val="0"/>
          <w:sz w:val="24"/>
        </w:rPr>
        <w:t xml:space="preserve">Nodo ventiduesimo. Curioni associò le ferite dell’emitorace sinistro a una firma corrispondente al modo di sparare di De Vuono.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quanto alla formulazione,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quanto al contenuto.</w:t>
      </w:r>
    </w:p>
    <w:p>
      <w:pPr>
        <w:spacing w:line="276" w:lineRule="auto" w:after="120"/>
        <w:ind w:firstLine="425"/>
        <w:jc w:val="both"/>
      </w:pPr>
      <w:r>
        <w:rPr>
          <w:rFonts w:ascii="Times New Roman" w:hAnsi="Times New Roman" w:cs="Times New Roman" w:eastAsia="Times New Roman"/>
          <w:b w:val="0"/>
          <w:sz w:val="24"/>
        </w:rPr>
        <w:t xml:space="preserve">Nodo ventitreesimo. Fabbri e Curioni furono pedinati alla Casa del clero da un appartenente a un servizio segreto conosciuto come Gino. </w:t>
      </w:r>
      <w:r>
        <w:rPr>
          <w:rFonts w:ascii="Times New Roman" w:hAnsi="Times New Roman" w:cs="Times New Roman" w:eastAsia="Times New Roman"/>
          <w:b/>
          <w:sz w:val="24"/>
        </w:rPr>
        <w:t>Livello B</w:t>
      </w:r>
      <w:r>
        <w:rPr>
          <w:rFonts w:ascii="Times New Roman" w:hAnsi="Times New Roman" w:cs="Times New Roman" w:eastAsia="Times New Roman"/>
          <w:b w:val="0"/>
          <w:sz w:val="24"/>
        </w:rPr>
        <w:t>. Identità: Stato Zero nel corpus.</w:t>
      </w:r>
    </w:p>
    <w:p>
      <w:pPr>
        <w:spacing w:line="276" w:lineRule="auto" w:after="120"/>
        <w:ind w:firstLine="425"/>
        <w:jc w:val="both"/>
      </w:pPr>
      <w:r>
        <w:rPr>
          <w:rFonts w:ascii="Times New Roman" w:hAnsi="Times New Roman" w:cs="Times New Roman" w:eastAsia="Times New Roman"/>
          <w:b w:val="0"/>
          <w:sz w:val="24"/>
        </w:rPr>
        <w:t xml:space="preserve">Nodo ventiquattresimo. Il progetto di unità tattica fra estrema destra ed estrema sinistra del millenovecentosessantasette-sessantotto — Feltrinelli, Ventura, Freda, Loredan — è isomorfo al complotto di Caracas del millenovecentosessantacinque.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quanto alla lettura parlamentare;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quanto a ogni inferenza di regia comune; necessità funzionale come lettura preferita.</w:t>
      </w:r>
    </w:p>
    <w:p>
      <w:pPr>
        <w:spacing w:line="276" w:lineRule="auto" w:after="120"/>
        <w:ind w:firstLine="425"/>
        <w:jc w:val="both"/>
      </w:pPr>
      <w:r>
        <w:rPr>
          <w:rFonts w:ascii="Times New Roman" w:hAnsi="Times New Roman" w:cs="Times New Roman" w:eastAsia="Times New Roman"/>
          <w:b w:val="0"/>
          <w:sz w:val="24"/>
        </w:rPr>
        <w:t xml:space="preserve">Nodo venticinquesimo. Il saio di Girotto è il secondo caso documentato della funzione del sacro come velo, di grado superiore a Zappolino.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quanto al fatto dell’infiltrazione; consegna alla monografia sul sacro per l’elevazione della terza funzione.</w:t>
      </w:r>
    </w:p>
    <w:p>
      <w:pPr>
        <w:spacing w:line="276" w:lineRule="auto" w:after="120"/>
        <w:ind w:firstLine="425"/>
        <w:jc w:val="both"/>
      </w:pPr>
      <w:r>
        <w:rPr>
          <w:rFonts w:ascii="Times New Roman" w:hAnsi="Times New Roman" w:cs="Times New Roman" w:eastAsia="Times New Roman"/>
          <w:b w:val="0"/>
          <w:sz w:val="24"/>
        </w:rPr>
        <w:t xml:space="preserve">Nodo ventiseiesimo. Nel perimetro della triangolazione, la macro-ipotesi del concerto fra le due potenze non riceve conferme e riceve due evidenze contrarie. </w:t>
      </w:r>
      <w:r>
        <w:rPr>
          <w:rFonts w:ascii="Times New Roman" w:hAnsi="Times New Roman" w:cs="Times New Roman" w:eastAsia="Times New Roman"/>
          <w:b/>
          <w:sz w:val="24"/>
        </w:rPr>
        <w:t>Livello C</w:t>
      </w:r>
      <w:r>
        <w:rPr>
          <w:rFonts w:ascii="Times New Roman" w:hAnsi="Times New Roman" w:cs="Times New Roman" w:eastAsia="Times New Roman"/>
          <w:b w:val="0"/>
          <w:sz w:val="24"/>
        </w:rPr>
        <w:t>, invariato; Milward falsificatore designato.</w:t>
      </w:r>
    </w:p>
    <w:p>
      <w:pPr>
        <w:keepNext/>
        <w:spacing w:line="276" w:lineRule="auto" w:before="360" w:after="160"/>
        <w:jc w:val="left"/>
      </w:pPr>
      <w:r>
        <w:rPr>
          <w:rFonts w:ascii="Times New Roman" w:hAnsi="Times New Roman" w:cs="Times New Roman" w:eastAsia="Times New Roman"/>
          <w:b w:val="0"/>
          <w:sz w:val="24"/>
        </w:rPr>
        <w:t>FASE UNDICESIMA — STATI ZERO, LACUNE E CONSEGNE</w:t>
      </w:r>
    </w:p>
    <w:p>
      <w:pPr>
        <w:spacing w:line="276" w:lineRule="auto" w:after="120"/>
        <w:ind w:firstLine="425"/>
        <w:jc w:val="both"/>
      </w:pPr>
      <w:r>
        <w:rPr>
          <w:rFonts w:ascii="Times New Roman" w:hAnsi="Times New Roman" w:cs="Times New Roman" w:eastAsia="Times New Roman"/>
          <w:b w:val="0"/>
          <w:sz w:val="24"/>
        </w:rPr>
        <w:t>Gli Stati Zero della sessione sono, nell’ordine di gravità: i diciannove caricamenti non pervenuti, da ricaricare prima di ogni ulteriore triangolazione con le appendici della Fase Settima; l’identità del venezuelano di via Fani; il canale della targa di metallo fra il millenovecentosettantatré e il millenovecentosettantotto; la provenienza della provvista di Castel Gandolfo; il contenuto del rapporto della stazione del ventotto ottobre millenovecentosessantadue; l’identità di Anna Guevara; l’identità dell’agente Gino; il destino dell’elenco sottratto a Sogno; gli atti tedeschi e l’originale del rapporto Interpol su Amburgo; la documentazione del SISMI su Beltramini, de Vayo e Pinelli, richiesta dalla Commissione stragi e mai pervenuta, mentre pervenne quella su Feltrinelli. Ciascuno di questi Stati Zero è un risultato di prim’ordine e non un vuoto da riempire con inferenza.</w:t>
      </w:r>
    </w:p>
    <w:p>
      <w:pPr>
        <w:spacing w:line="276" w:lineRule="auto" w:after="120"/>
        <w:ind w:firstLine="425"/>
        <w:jc w:val="both"/>
      </w:pPr>
      <w:r>
        <w:rPr>
          <w:rFonts w:ascii="Times New Roman" w:hAnsi="Times New Roman" w:cs="Times New Roman" w:eastAsia="Times New Roman"/>
          <w:b w:val="0"/>
          <w:sz w:val="24"/>
        </w:rPr>
        <w:t xml:space="preserve">Le consegne sono cinque, e sono offerte e non ordini. Al Registro Unico Federato: l’iscrizione dei nodi Girotto, Karamessines, Guevara Alcalá, Beltramini, Ertl, Quintanilla, Baretic de Padilla, Gallegos Mancera, Claviere Rodríguez, D’Eliseo, Curioni, Fabbri, Cornacchia, Zucca, Lazagna e Feltrinelli, nessuno dei quali risulta dotato di scheda-nodo nel Registro integrale V63 né nei Registri federati dalla sessantaquattresima alla sessantaseiesima edizione, ai gradi qui assegnati. Al Registro D Titanico: il nome e la catena dell’anomalia della targa venezuelana già indicizzata. Al Registro Speculare del Caso Moro: l’ammissione in acqua della coincidenza millenovecentosettantatré fra targa e soggiorno Conforto-Corbò e della cucitura venezuelana come ipotesi di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con i falsificatori dichiarati. Alla monografia Il Sacro e l’Eversione: l’elevazione della terza funzione sul caso Girotto, il riporto di padre Zucca al </w:t>
      </w:r>
      <w:r>
        <w:rPr>
          <w:rFonts w:ascii="Times New Roman" w:hAnsi="Times New Roman" w:cs="Times New Roman" w:eastAsia="Times New Roman"/>
          <w:b/>
          <w:sz w:val="24"/>
        </w:rPr>
        <w:t>Livello C</w:t>
      </w:r>
      <w:r>
        <w:rPr>
          <w:rFonts w:ascii="Times New Roman" w:hAnsi="Times New Roman" w:cs="Times New Roman" w:eastAsia="Times New Roman"/>
          <w:b w:val="0"/>
          <w:sz w:val="24"/>
        </w:rPr>
        <w:t>, e i due materiali parigini per il blocco su Hyperion. Alla Camera Istruttoria dei Documenti Morotei: le tre evidenze diagnostiche assenti, con priorità assoluta.</w:t>
      </w:r>
    </w:p>
    <w:p>
      <w:pPr>
        <w:keepNext/>
        <w:spacing w:line="276" w:lineRule="auto" w:before="360" w:after="160"/>
        <w:jc w:val="left"/>
      </w:pPr>
      <w:r>
        <w:rPr>
          <w:rFonts w:ascii="Times New Roman" w:hAnsi="Times New Roman" w:cs="Times New Roman" w:eastAsia="Times New Roman"/>
          <w:b w:val="0"/>
          <w:sz w:val="24"/>
        </w:rPr>
        <w:t>PIANO DELL’OPERA — ORDO EXPOSITIONIS</w:t>
      </w:r>
    </w:p>
    <w:p>
      <w:pPr>
        <w:spacing w:line="276" w:lineRule="auto" w:after="120"/>
        <w:ind w:firstLine="425"/>
        <w:jc w:val="both"/>
      </w:pPr>
      <w:r>
        <w:rPr>
          <w:rFonts w:ascii="Times New Roman" w:hAnsi="Times New Roman" w:cs="Times New Roman" w:eastAsia="Times New Roman"/>
          <w:b w:val="0"/>
          <w:sz w:val="24"/>
        </w:rPr>
        <w:t xml:space="preserve">Il comando ordina anche una struttura d’opera sulla materia — politica, mafie, terrorismo, massonerie, servizi deviati, stragi, narcotraffico, intelligence, imperialismo, geopolitica, strategia, geoeconomia, guerra — secondo la gerarchia in dieci punti. Il Registro la riceve come ordine dell’esposizione e propone una struttura in cinque libri, avvertendo che ogni libro espone ciò che i Registri hanno gradato e nulla di più. Il Libro primo, Il centro del mondo, colloca l’Italia e l’Europa come campo di battaglia e ne descrive i dieci Domini e le quarantacinque coppie, con i grandi hub e i ponti individuali. Il Libro secondo, Le due potenze e l’Europa, espone la macro-ipotesi della convergenza e la sua concorrente dei progetti rivali, dalla fine della seconda guerra mondiale alla guerra fredda, e vi colloca il Cerchio V, il Comitato 303 e il Soccorso rosso: è il libro che deve dichiarare in apertura di essere il libro di un’ipotesi di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e di avere Milward come falsificatore. Il Libro terzo, Gli strumenti, espone i colpi di Stato, gli omicidi di Stato, gli scandali, le stragi e gli omicidi eccellenti, con la cronologia delle stragi come spina dorsale, e vi colloca il Piano Solo, piazza Fontana, Segrate, via Fani e la sequenza fino al millenovecentonovantatré. Il Libro quarto, Le cerniere, espone i servizi deviati e le loro cerniere con le intelligence straniere, con le mafie, con il Vaticano, con gli estremismi, con gli alti gradi, con le aristocrazie e con le massonerie: è il libro cui appartengono il nodo Karamessines, il nodo Girotto, il canale Curioni, la loggia e Aginter, e in cui il Dossier Guevara e i Dossier Moro si toccano. Il Libro quinto, L’esito, espone la tesi dell’ascesa delle forze populiste come arma economica e la sottopone, per ultima e da sola, al test più severo, perché è la parte della gerarchia che il corpus documenta meno e che il Pollo di Popper minaccia di più. Ogni libro chiude con un capitolo di falsificazione che elenca ciò che, se trovato, lo smentirebbe.</w:t>
      </w:r>
    </w:p>
    <w:p>
      <w:pPr>
        <w:keepNext/>
        <w:spacing w:line="276" w:lineRule="auto" w:before="360" w:after="160"/>
        <w:jc w:val="left"/>
      </w:pPr>
      <w:r>
        <w:rPr>
          <w:rFonts w:ascii="Times New Roman" w:hAnsi="Times New Roman" w:cs="Times New Roman" w:eastAsia="Times New Roman"/>
          <w:b w:val="0"/>
          <w:sz w:val="24"/>
        </w:rPr>
        <w:t>APPARATO — FONTI, DISCIPLINE E RISERVE</w:t>
      </w:r>
    </w:p>
    <w:p>
      <w:pPr>
        <w:spacing w:line="276" w:lineRule="auto" w:after="120"/>
        <w:ind w:firstLine="425"/>
        <w:jc w:val="both"/>
      </w:pPr>
      <w:r>
        <w:rPr>
          <w:rFonts w:ascii="Times New Roman" w:hAnsi="Times New Roman" w:cs="Times New Roman" w:eastAsia="Times New Roman"/>
          <w:b w:val="0"/>
          <w:sz w:val="24"/>
        </w:rPr>
        <w:t>Fonti della cartella attinte in questa sessione, con lettura sequenziale per parola chiave: gli elaborati della Commissione parlamentare sul terrorismo e le stragi della tredicesima legislatura, e segnatamente la dimensione sovranazionale, la rilettura degli anni Sessanta, l’ombra dei servizi orientali, il caso Moro, il contributo per gli anni millenovecentosessantanove-settantaquattro e la cronologia delle stragi; la relazione della seconda Commissione parlamentare d’inchiesta sul caso Moro; il documento ventitreesimo numero trentasette, sezione settima, della diciottesima legislatura; il Registro Analitico del Caso Moro, edizione dodicesima, con il Codice Relazionale dei Registri e il Protocollo dei Passaggi per lo statuto del campo; la matrice dell’Indice di Contaminazione della Fonte; i Registri Unici Federati dalla sessantaquattresima alla sessantaseiesima edizione e la nota metodologica del Registro V63 per il verbale del Comitato 303; il Registro integrale V63 per il nodo del Fascicolo Cuba; le Schede unificate per il nucleo documentale del Wilson Center; la ricostruzione di Daniel Ganser quale fonte secondaria di riscontro. Fonte di sessione: la monografia Il Sacro e l’Eversione, edizione prima del ventuno agosto duemilaventisei. Nessuna ricerca in rete è stata condotta; nessuna fonte vietata dal protocollo del progetto è stata impiegata.</w:t>
      </w:r>
    </w:p>
    <w:p>
      <w:pPr>
        <w:spacing w:line="276" w:lineRule="auto" w:after="120"/>
        <w:ind w:firstLine="425"/>
        <w:jc w:val="both"/>
      </w:pPr>
      <w:r>
        <w:rPr>
          <w:rFonts w:ascii="Times New Roman" w:hAnsi="Times New Roman" w:cs="Times New Roman" w:eastAsia="Times New Roman"/>
          <w:b w:val="0"/>
          <w:sz w:val="24"/>
        </w:rPr>
        <w:t>Disciplina delle persone. Per ogni persona nominata vale la presunzione d’innocenza. Per le persone viventi — fra cui Romano Prodi, Alberto Clò, Roberto Fiore, Gabriele Adinolfi, Franco Freda, Renato Curcio, Mario Moretti, Adriana Faranda e monsignor Fabio Fabbri — il Registro riporta esclusivamente fatti pubblici documentati con la relativa fonte, nella formulazione giudizialmente esatta. Per le persone il cui decesso non è attestato nel corpus vale la medesima disciplina rafforzata. Nessuna categoria psicologica è attribuita ad alcuno: dove la fonte descrive stati d’animo — l’esagitazione di Feltrinelli al ritorno dalla Bolivia, il sogno di Carlos di raccogliere l’eredità del Che — il Registro cita la fonte e non fa propria la descrizione.</w:t>
      </w:r>
    </w:p>
    <w:p>
      <w:pPr>
        <w:spacing w:line="276" w:lineRule="auto" w:after="120"/>
        <w:ind w:firstLine="425"/>
        <w:jc w:val="both"/>
      </w:pPr>
      <w:r>
        <w:rPr>
          <w:rFonts w:ascii="Times New Roman" w:hAnsi="Times New Roman" w:cs="Times New Roman" w:eastAsia="Times New Roman"/>
          <w:b w:val="0"/>
          <w:sz w:val="24"/>
        </w:rPr>
        <w:t>Riserva permanente. Questo è un documento di lavoro non certificato nel senso legale; prima di qualunque diffusione pubblica è necessaria la verifica puntuale voce per voce, il ricaricamento e la lettura dei diciannove documenti non pervenuti, e la revisione di un legale, valendo l’inquadramento su diffamazione e scriminanti già consegnato agli atti del progetto.</w:t>
      </w:r>
    </w:p>
    <w:p>
      <w:pPr>
        <w:keepNext/>
        <w:spacing w:line="276" w:lineRule="auto" w:before="360" w:after="160"/>
        <w:jc w:val="left"/>
      </w:pPr>
      <w:r>
        <w:rPr>
          <w:rFonts w:ascii="Times New Roman" w:hAnsi="Times New Roman" w:cs="Times New Roman" w:eastAsia="Times New Roman"/>
          <w:b w:val="0"/>
          <w:sz w:val="24"/>
        </w:rPr>
        <w:t>COLOPHON</w:t>
      </w:r>
    </w:p>
    <w:p>
      <w:pPr>
        <w:spacing w:line="276" w:lineRule="auto" w:after="120"/>
        <w:jc w:val="both"/>
      </w:pPr>
      <w:r>
        <w:rPr>
          <w:rFonts w:ascii="Times New Roman" w:hAnsi="Times New Roman" w:cs="Times New Roman" w:eastAsia="Times New Roman"/>
          <w:b w:val="0"/>
          <w:sz w:val="24"/>
        </w:rPr>
        <w:t>ITALIA NERA — REGISTRO DI TRIANGOLAZIONE — Il Sacro, il Dossier Guevara e i Dossier Moro, edizione prima di lavoro, prodotta il ventitré agosto duemilaventisei nello standard tipografico dell’opera: carattere Times New Roman di corpo dodici, formato A4, giustificazione integrale, rientro di prima riga, interlinea di uno virgola quindici, prosa continua, nessuna tabella, classificazione Savona in grassetto. Documento trasversale, retto dalla Regola di Ferro e dal Codice Relazionale dei Registri: nessun Registro comanda un altro Registro. Ventisei nodi gradati, dieci Stati Zero, cinque consegne. Autore e direttore dell’opera: Luigi De Michele.</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