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0"/>
        <w:ind w:firstLine="0"/>
        <w:jc w:val="center"/>
      </w:pPr>
      <w:r>
        <w:rPr>
          <w:rFonts w:ascii="Times New Roman" w:hAnsi="Times New Roman" w:cs="Times New Roman" w:eastAsia="Times New Roman"/>
          <w:b w:val="0"/>
          <w:i w:val="0"/>
          <w:sz w:val="24"/>
        </w:rPr>
      </w:r>
    </w:p>
    <w:p>
      <w:pPr>
        <w:spacing w:line="276" w:lineRule="auto" w:before="0" w:after="120"/>
        <w:ind w:firstLine="0"/>
        <w:jc w:val="center"/>
      </w:pPr>
      <w:r>
        <w:rPr>
          <w:rFonts w:ascii="Times New Roman" w:hAnsi="Times New Roman" w:cs="Times New Roman" w:eastAsia="Times New Roman"/>
          <w:b/>
          <w:i w:val="0"/>
          <w:sz w:val="32"/>
        </w:rPr>
        <w:t>ITALIA NERA</w:t>
      </w:r>
    </w:p>
    <w:p>
      <w:pPr>
        <w:spacing w:line="276" w:lineRule="auto" w:before="0" w:after="360"/>
        <w:ind w:firstLine="0"/>
        <w:jc w:val="center"/>
      </w:pPr>
      <w:r>
        <w:rPr>
          <w:rFonts w:ascii="Times New Roman" w:hAnsi="Times New Roman" w:cs="Times New Roman" w:eastAsia="Times New Roman"/>
          <w:b w:val="0"/>
          <w:i/>
          <w:sz w:val="24"/>
        </w:rPr>
        <w:t>Registro Analitico delle Reti Informali Transnazionali</w:t>
      </w:r>
    </w:p>
    <w:p>
      <w:pPr>
        <w:spacing w:line="276" w:lineRule="auto" w:before="0" w:after="80"/>
        <w:ind w:firstLine="0"/>
        <w:jc w:val="center"/>
      </w:pPr>
      <w:r>
        <w:rPr>
          <w:rFonts w:ascii="Times New Roman" w:hAnsi="Times New Roman" w:cs="Times New Roman" w:eastAsia="Times New Roman"/>
          <w:b/>
          <w:i w:val="0"/>
          <w:sz w:val="28"/>
        </w:rPr>
        <w:t>REGISTRO DOMINIALE</w:t>
      </w:r>
    </w:p>
    <w:p>
      <w:pPr>
        <w:spacing w:line="276" w:lineRule="auto" w:before="0" w:after="200"/>
        <w:ind w:firstLine="0"/>
        <w:jc w:val="center"/>
      </w:pPr>
      <w:r>
        <w:rPr>
          <w:rFonts w:ascii="Times New Roman" w:hAnsi="Times New Roman" w:cs="Times New Roman" w:eastAsia="Times New Roman"/>
          <w:b/>
          <w:i w:val="0"/>
          <w:sz w:val="26"/>
        </w:rPr>
        <w:t>DOMINIO 4 — MASSONERIA E SOCIETÀ SEGRETE</w:t>
      </w:r>
    </w:p>
    <w:p>
      <w:pPr>
        <w:spacing w:line="276" w:lineRule="auto" w:before="0" w:after="480"/>
        <w:ind w:firstLine="0"/>
        <w:jc w:val="center"/>
      </w:pPr>
      <w:r>
        <w:rPr>
          <w:rFonts w:ascii="Times New Roman" w:hAnsi="Times New Roman" w:cs="Times New Roman" w:eastAsia="Times New Roman"/>
          <w:b w:val="0"/>
          <w:i/>
          <w:sz w:val="22"/>
        </w:rPr>
        <w:t>Area cerebrale D4 della struttura neuronale dell’opera — partizione del Registro Integrale V63</w:t>
      </w:r>
    </w:p>
    <w:p>
      <w:pPr>
        <w:spacing w:line="276" w:lineRule="auto" w:before="0" w:after="80"/>
        <w:ind w:firstLine="0"/>
        <w:jc w:val="center"/>
      </w:pPr>
      <w:r>
        <w:rPr>
          <w:rFonts w:ascii="Times New Roman" w:hAnsi="Times New Roman" w:cs="Times New Roman" w:eastAsia="Times New Roman"/>
          <w:b/>
          <w:i w:val="0"/>
          <w:sz w:val="24"/>
        </w:rPr>
        <w:t>Luigi De Michele</w:t>
      </w:r>
    </w:p>
    <w:p>
      <w:pPr>
        <w:spacing w:line="276" w:lineRule="auto" w:before="0" w:after="0"/>
        <w:ind w:firstLine="0"/>
        <w:jc w:val="center"/>
      </w:pPr>
      <w:r>
        <w:rPr>
          <w:rFonts w:ascii="Times New Roman" w:hAnsi="Times New Roman" w:cs="Times New Roman" w:eastAsia="Times New Roman"/>
          <w:b w:val="0"/>
          <w:i w:val="0"/>
          <w:sz w:val="24"/>
        </w:rPr>
        <w:t>Due agosto duemilaventisei</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PRIMA — STATUTO DEL REGISTRO DOMINIALE</w:t>
      </w:r>
    </w:p>
    <w:p>
      <w:pPr>
        <w:spacing w:line="276" w:lineRule="auto" w:before="0" w:after="80"/>
        <w:ind w:firstLine="425"/>
        <w:jc w:val="both"/>
      </w:pPr>
      <w:r>
        <w:rPr>
          <w:rFonts w:ascii="Times New Roman" w:hAnsi="Times New Roman" w:cs="Times New Roman" w:eastAsia="Times New Roman"/>
          <w:b w:val="0"/>
          <w:i w:val="0"/>
          <w:sz w:val="24"/>
        </w:rPr>
        <w:t>Il presente documento costituisce il Registro Dominiale del Dominio 4 — massoneria e società segrete, ossia l’area cerebrale D4 della struttura neuronale dell’opera, secondo la corrispondenza fissata dalla metodologia vigente: ciascun nodo è un neurone, i Domini di Potere sono le aree o moduli cerebrali, gli archi tipizzati sono le sinapsi, incluse quelle che attraversano aree differenti. Il documento nasce dall’applicazione del modello di censimento al Registro Integrale V63 nella versione Word autentica consegnata dall’autore in data odierna, dalla quale sono state estratte programmaticamente tutte le schede-nodo, deduplicate conservando per ciascun nodo la scheda più estesa tra le ricorrenze cumulative delle edizioni preservate, e ripartite per dominio di appartenenza primario, inteso come il primo dominio della marcatura di ciascuna scheda.</w:t>
      </w:r>
    </w:p>
    <w:p>
      <w:pPr>
        <w:spacing w:line="276" w:lineRule="auto" w:before="0" w:after="80"/>
        <w:ind w:firstLine="425"/>
        <w:jc w:val="both"/>
      </w:pPr>
      <w:r>
        <w:rPr>
          <w:rFonts w:ascii="Times New Roman" w:hAnsi="Times New Roman" w:cs="Times New Roman" w:eastAsia="Times New Roman"/>
          <w:b w:val="0"/>
          <w:i w:val="0"/>
          <w:sz w:val="24"/>
        </w:rPr>
        <w:t>Dal Registro Integrale sono state estratte complessivamente quattrocentocinquantacinque schede di nodo-persona uniche, duecentoundici schede di nodo-organizzazione uniche, duecento nodi-evento unici della cronologia marcata e cinquantasei archi cross-section unici. Al presente dominio afferiscono sei nodi-persona a dominanza primaria e sei nodi-persona in proiezione da altri domini, ossia neuroni la cui dominanza primaria risiede altrove ma che la marcatura registra come attivi anche in questa area; quattro nodi-organizzazione a dominanza primaria e zero in proiezione; quindici sinapsi cross-section afferenti e otto nodi-evento correlati. La nozione di proiezione traduce nel lessico neuronale il concetto di rete multilivello: lo stesso neurone esiste simultaneamente su più strati e le sue schede sono qui riprodotte integralmente affinché ogni Registro Dominiale sia autosufficiente.</w:t>
      </w:r>
    </w:p>
    <w:p>
      <w:pPr>
        <w:spacing w:line="276" w:lineRule="auto" w:before="0" w:after="80"/>
        <w:ind w:firstLine="425"/>
        <w:jc w:val="both"/>
      </w:pPr>
      <w:r>
        <w:rPr>
          <w:rFonts w:ascii="Times New Roman" w:hAnsi="Times New Roman" w:cs="Times New Roman" w:eastAsia="Times New Roman"/>
          <w:b w:val="0"/>
          <w:i w:val="0"/>
          <w:sz w:val="24"/>
        </w:rPr>
        <w:t>Lo statuto probatorio è quello dell’opera e non subisce eccezioni: ogni scheda conserva la classificazione Savona attribuita nella loro sede d’origine, riportata accanto a ciascun nome. Fanno eccezione dichiarata le due sezioni di attribuzione automatica: le sinapsi cross-section e i nodi-evento sono privi di marcatura di dominio nel Registro Integrale e sono stati assegnati a questa area mediante appaiamento lessicale tra il loro testo e il roster dei neuroni del dominio; tale attribuzione è per definizione di Livello C, è falsificabile scheda per scheda, e la promozione di livello passa soltanto per il vaglio umano dell’autore. Le schede sono riprodotte verbatim in ossequio al principio di cumulatività preservativa; i Pattern analitici e i paragrafi di prosa restano nel Registro Integrale, cui questo documento rinvia.</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SECONDA — NODI-PERSONA A DOMINANZA PRIMARIA</w:t>
      </w:r>
    </w:p>
    <w:p>
      <w:pPr>
        <w:spacing w:line="276" w:lineRule="auto" w:before="160" w:after="40"/>
        <w:ind w:firstLine="0"/>
        <w:jc w:val="both"/>
      </w:pPr>
      <w:r>
        <w:rPr>
          <w:rFonts w:ascii="Times New Roman" w:hAnsi="Times New Roman" w:cs="Times New Roman" w:eastAsia="Times New Roman"/>
          <w:b/>
          <w:i w:val="0"/>
          <w:sz w:val="24"/>
        </w:rPr>
        <w:t>▶ Licio Gelli</w:t>
      </w:r>
      <w:r>
        <w:rPr>
          <w:rFonts w:ascii="Times New Roman" w:hAnsi="Times New Roman" w:cs="Times New Roman" w:eastAsia="Times New Roman"/>
          <w:b/>
          <w:i w:val="0"/>
          <w:sz w:val="24"/>
        </w:rPr>
        <w:t xml:space="preserve">  [CARD]</w:t>
      </w:r>
      <w:r>
        <w:rPr>
          <w:rFonts w:ascii="Times New Roman" w:hAnsi="Times New Roman" w:cs="Times New Roman" w:eastAsia="Times New Roman"/>
          <w:b w:val="0"/>
          <w:i w:val="0"/>
          <w:sz w:val="24"/>
        </w:rPr>
        <w:t xml:space="preserve">  [D4 D2 D3 D6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Pistoia 1919 – Arezzo 2015. Venerabile Maestro della Loggia P2 (Propaganda Due) del GOI. Tessitore della rete occulta italiana del dopoguerra. Lista P2 sequestrata 17 marzo 1981 a Castiglion Fibocchi: 962 affiliati documentati. Pregresso fascista (volontario in Spagna nelle Brigate del CTV, ufficiale di collegamento tra Italia fascista e Croati ustascia). Connessioni con CIA, dittatura argentina (Gran Cruz del Libertador 1974, consigliere ambasciata argentina a Roma), ESMA. Latitanza in Argentina e Svizzera 1981-1987. Condannato per il crack Banco Ambrosiano. 86 occorrenze in INTERO_COM 52, 45 in INTERO_COM 58.</w:t>
      </w:r>
    </w:p>
    <w:p>
      <w:pPr>
        <w:spacing w:line="276" w:lineRule="auto" w:before="0" w:after="40"/>
        <w:ind w:firstLine="425"/>
        <w:jc w:val="both"/>
      </w:pPr>
      <w:r>
        <w:rPr>
          <w:rFonts w:ascii="Times New Roman" w:hAnsi="Times New Roman" w:cs="Times New Roman" w:eastAsia="Times New Roman"/>
          <w:b w:val="0"/>
          <w:i w:val="0"/>
          <w:sz w:val="24"/>
        </w:rPr>
        <w:t>Connessioni: P2, GOI, CIA, Argentina-Massera, Sindona, Calvi, Pattern 14 ⊕</w:t>
      </w:r>
    </w:p>
    <w:p>
      <w:pPr>
        <w:spacing w:line="276" w:lineRule="auto" w:before="160" w:after="40"/>
        <w:ind w:firstLine="0"/>
        <w:jc w:val="both"/>
      </w:pPr>
      <w:r>
        <w:rPr>
          <w:rFonts w:ascii="Times New Roman" w:hAnsi="Times New Roman" w:cs="Times New Roman" w:eastAsia="Times New Roman"/>
          <w:b/>
          <w:i w:val="0"/>
          <w:sz w:val="24"/>
        </w:rPr>
        <w:t>▶ Giuliano Di Bernardo</w:t>
      </w:r>
      <w:r>
        <w:rPr>
          <w:rFonts w:ascii="Times New Roman" w:hAnsi="Times New Roman" w:cs="Times New Roman" w:eastAsia="Times New Roman"/>
          <w:b w:val="0"/>
          <w:i w:val="0"/>
          <w:sz w:val="24"/>
        </w:rPr>
        <w:t xml:space="preserve">  [D4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Bolzano 1939. Gran Maestro del GOI (1990–1993). Successivamente fondatore della Gran Loggia Regolare d'Italia.</w:t>
      </w:r>
    </w:p>
    <w:p>
      <w:pPr>
        <w:spacing w:line="276" w:lineRule="auto" w:before="0" w:after="40"/>
        <w:ind w:firstLine="425"/>
        <w:jc w:val="both"/>
      </w:pPr>
      <w:r>
        <w:rPr>
          <w:rFonts w:ascii="Times New Roman" w:hAnsi="Times New Roman" w:cs="Times New Roman" w:eastAsia="Times New Roman"/>
          <w:b w:val="0"/>
          <w:i w:val="0"/>
          <w:sz w:val="24"/>
        </w:rPr>
        <w:t>Connessioni: GOI 1990-1993, GLRI</w:t>
      </w:r>
    </w:p>
    <w:p>
      <w:pPr>
        <w:spacing w:line="276" w:lineRule="auto" w:before="160" w:after="40"/>
        <w:ind w:firstLine="0"/>
        <w:jc w:val="both"/>
      </w:pPr>
      <w:r>
        <w:rPr>
          <w:rFonts w:ascii="Times New Roman" w:hAnsi="Times New Roman" w:cs="Times New Roman" w:eastAsia="Times New Roman"/>
          <w:b/>
          <w:i w:val="0"/>
          <w:sz w:val="24"/>
        </w:rPr>
        <w:t>▶ Stefano Bisi</w:t>
      </w:r>
      <w:r>
        <w:rPr>
          <w:rFonts w:ascii="Times New Roman" w:hAnsi="Times New Roman" w:cs="Times New Roman" w:eastAsia="Times New Roman"/>
          <w:b w:val="0"/>
          <w:i w:val="0"/>
          <w:sz w:val="24"/>
        </w:rPr>
        <w:t xml:space="preserve">  [D4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Gran Maestro del GOI dal 2014.</w:t>
      </w:r>
    </w:p>
    <w:p>
      <w:pPr>
        <w:spacing w:line="276" w:lineRule="auto" w:before="0" w:after="40"/>
        <w:ind w:firstLine="425"/>
        <w:jc w:val="both"/>
      </w:pPr>
      <w:r>
        <w:rPr>
          <w:rFonts w:ascii="Times New Roman" w:hAnsi="Times New Roman" w:cs="Times New Roman" w:eastAsia="Times New Roman"/>
          <w:b w:val="0"/>
          <w:i w:val="0"/>
          <w:sz w:val="24"/>
        </w:rPr>
        <w:t>Connessioni: GOI 2014-</w:t>
      </w:r>
    </w:p>
    <w:p>
      <w:pPr>
        <w:spacing w:line="276" w:lineRule="auto" w:before="160" w:after="40"/>
        <w:ind w:firstLine="0"/>
        <w:jc w:val="both"/>
      </w:pPr>
      <w:r>
        <w:rPr>
          <w:rFonts w:ascii="Times New Roman" w:hAnsi="Times New Roman" w:cs="Times New Roman" w:eastAsia="Times New Roman"/>
          <w:b/>
          <w:i w:val="0"/>
          <w:sz w:val="24"/>
        </w:rPr>
        <w:t>▶ Armando Corona</w:t>
      </w:r>
      <w:r>
        <w:rPr>
          <w:rFonts w:ascii="Times New Roman" w:hAnsi="Times New Roman" w:cs="Times New Roman" w:eastAsia="Times New Roman"/>
          <w:b w:val="0"/>
          <w:i w:val="0"/>
          <w:sz w:val="24"/>
        </w:rPr>
        <w:t xml:space="preserve">  [D4 D2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Cagliari 1921 – Cagliari 2009. Gran Maestro del GOI 1982–1990 (durante la fase di emersione P2 e ricostruzione). Senatore PRI.</w:t>
      </w:r>
    </w:p>
    <w:p>
      <w:pPr>
        <w:spacing w:line="276" w:lineRule="auto" w:before="0" w:after="40"/>
        <w:ind w:firstLine="425"/>
        <w:jc w:val="both"/>
      </w:pPr>
      <w:r>
        <w:rPr>
          <w:rFonts w:ascii="Times New Roman" w:hAnsi="Times New Roman" w:cs="Times New Roman" w:eastAsia="Times New Roman"/>
          <w:b w:val="0"/>
          <w:i w:val="0"/>
          <w:sz w:val="24"/>
        </w:rPr>
        <w:t>Connessioni: GOI 1982-1990, PRI</w:t>
      </w:r>
    </w:p>
    <w:p>
      <w:pPr>
        <w:spacing w:line="276" w:lineRule="auto" w:before="160" w:after="40"/>
        <w:ind w:firstLine="0"/>
        <w:jc w:val="both"/>
      </w:pPr>
      <w:r>
        <w:rPr>
          <w:rFonts w:ascii="Times New Roman" w:hAnsi="Times New Roman" w:cs="Times New Roman" w:eastAsia="Times New Roman"/>
          <w:b/>
          <w:i w:val="0"/>
          <w:sz w:val="24"/>
        </w:rPr>
        <w:t>▶ Ennio Salvini</w:t>
      </w:r>
      <w:r>
        <w:rPr>
          <w:rFonts w:ascii="Times New Roman" w:hAnsi="Times New Roman" w:cs="Times New Roman" w:eastAsia="Times New Roman"/>
          <w:b w:val="0"/>
          <w:i w:val="0"/>
          <w:sz w:val="24"/>
        </w:rPr>
        <w:t xml:space="preserve">  [D4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Gran Maestro del GOI dopo la rivelazione P2.</w:t>
      </w:r>
    </w:p>
    <w:p>
      <w:pPr>
        <w:spacing w:line="276" w:lineRule="auto" w:before="0" w:after="40"/>
        <w:ind w:firstLine="425"/>
        <w:jc w:val="both"/>
      </w:pPr>
      <w:r>
        <w:rPr>
          <w:rFonts w:ascii="Times New Roman" w:hAnsi="Times New Roman" w:cs="Times New Roman" w:eastAsia="Times New Roman"/>
          <w:b w:val="0"/>
          <w:i w:val="0"/>
          <w:sz w:val="24"/>
        </w:rPr>
        <w:t>Connessioni: GOI post-P2</w:t>
      </w:r>
    </w:p>
    <w:p>
      <w:pPr>
        <w:spacing w:line="276" w:lineRule="auto" w:before="160" w:after="40"/>
        <w:ind w:firstLine="0"/>
        <w:jc w:val="both"/>
      </w:pPr>
      <w:r>
        <w:rPr>
          <w:rFonts w:ascii="Times New Roman" w:hAnsi="Times New Roman" w:cs="Times New Roman" w:eastAsia="Times New Roman"/>
          <w:b/>
          <w:i w:val="0"/>
          <w:sz w:val="24"/>
        </w:rPr>
        <w:t>▶ Lino Salvini</w:t>
      </w:r>
      <w:r>
        <w:rPr>
          <w:rFonts w:ascii="Times New Roman" w:hAnsi="Times New Roman" w:cs="Times New Roman" w:eastAsia="Times New Roman"/>
          <w:b w:val="0"/>
          <w:i w:val="0"/>
          <w:sz w:val="24"/>
        </w:rPr>
        <w:t xml:space="preserve">  [D4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Gran Maestro del GOI nei primi anni Settanta. Coinvolto nel caso piazza Fontana (sospetti su contatti con Ordine Nuovo via via Aginter, Savona B). Audito dalla Commissione Stragi.</w:t>
      </w:r>
    </w:p>
    <w:p>
      <w:pPr>
        <w:spacing w:line="276" w:lineRule="auto" w:before="0" w:after="40"/>
        <w:ind w:firstLine="425"/>
        <w:jc w:val="both"/>
      </w:pPr>
      <w:r>
        <w:rPr>
          <w:rFonts w:ascii="Times New Roman" w:hAnsi="Times New Roman" w:cs="Times New Roman" w:eastAsia="Times New Roman"/>
          <w:b w:val="0"/>
          <w:i w:val="0"/>
          <w:sz w:val="24"/>
        </w:rPr>
        <w:t>Connessioni: GOI, P2, Ordine Nuovo (B)</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TERZA — NODI-PERSONA IN PROIEZIONE DA ALTRI DOMINI</w:t>
      </w:r>
    </w:p>
    <w:p>
      <w:pPr>
        <w:spacing w:line="276" w:lineRule="auto" w:before="160" w:after="40"/>
        <w:ind w:firstLine="0"/>
        <w:jc w:val="both"/>
      </w:pPr>
      <w:r>
        <w:rPr>
          <w:rFonts w:ascii="Times New Roman" w:hAnsi="Times New Roman" w:cs="Times New Roman" w:eastAsia="Times New Roman"/>
          <w:b/>
          <w:i w:val="0"/>
          <w:sz w:val="24"/>
        </w:rPr>
        <w:t>▶ Giulio Andreotti</w:t>
      </w:r>
      <w:r>
        <w:rPr>
          <w:rFonts w:ascii="Times New Roman" w:hAnsi="Times New Roman" w:cs="Times New Roman" w:eastAsia="Times New Roman"/>
          <w:b/>
          <w:i w:val="0"/>
          <w:sz w:val="24"/>
        </w:rPr>
        <w:t xml:space="preserve">  [CARD]</w:t>
      </w:r>
      <w:r>
        <w:rPr>
          <w:rFonts w:ascii="Times New Roman" w:hAnsi="Times New Roman" w:cs="Times New Roman" w:eastAsia="Times New Roman"/>
          <w:b w:val="0"/>
          <w:i w:val="0"/>
          <w:sz w:val="24"/>
        </w:rPr>
        <w:t xml:space="preserve">  [D2 D3 D4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Roma 1919 – Roma 2013. Sette volte Presidente del Consiglio (1972, 1976–1979, 1989–1992). Ministro della Difesa, degli Esteri, del Bilancio. Sintesi della Democrazia Cristiana atlantista. Rivelazione di Gladio al Parlamento (18 ottobre 1990). 332 occorrenze nel corpus INTERO_COM 58. Processato per associazione mafiosa e per omicidio Pecorelli, assolto in via definitiva con sentenze articolate (Cassazione 2003-2004) che riconobbero rapporti con Cosa Nostra fino al 1980 ma esclusero l'associazione mafiosa successiva.</w:t>
      </w:r>
    </w:p>
    <w:p>
      <w:pPr>
        <w:spacing w:line="276" w:lineRule="auto" w:before="0" w:after="40"/>
        <w:ind w:firstLine="425"/>
        <w:jc w:val="both"/>
      </w:pPr>
      <w:r>
        <w:rPr>
          <w:rFonts w:ascii="Times New Roman" w:hAnsi="Times New Roman" w:cs="Times New Roman" w:eastAsia="Times New Roman"/>
          <w:b w:val="0"/>
          <w:i w:val="0"/>
          <w:sz w:val="24"/>
        </w:rPr>
        <w:t>Connessioni: Gladio, SID, Loggia P2, Lima-Ciancimino, Bontate, Pecorelli, Maletti, Calvi ⊕</w:t>
      </w:r>
    </w:p>
    <w:p>
      <w:pPr>
        <w:spacing w:line="276" w:lineRule="auto" w:before="160" w:after="40"/>
        <w:ind w:firstLine="0"/>
        <w:jc w:val="both"/>
      </w:pPr>
      <w:r>
        <w:rPr>
          <w:rFonts w:ascii="Times New Roman" w:hAnsi="Times New Roman" w:cs="Times New Roman" w:eastAsia="Times New Roman"/>
          <w:b/>
          <w:i w:val="0"/>
          <w:sz w:val="24"/>
        </w:rPr>
        <w:t>▶ Michele Sindona</w:t>
      </w:r>
      <w:r>
        <w:rPr>
          <w:rFonts w:ascii="Times New Roman" w:hAnsi="Times New Roman" w:cs="Times New Roman" w:eastAsia="Times New Roman"/>
          <w:b/>
          <w:i w:val="0"/>
          <w:sz w:val="24"/>
        </w:rPr>
        <w:t xml:space="preserve">  [CARD]</w:t>
      </w:r>
      <w:r>
        <w:rPr>
          <w:rFonts w:ascii="Times New Roman" w:hAnsi="Times New Roman" w:cs="Times New Roman" w:eastAsia="Times New Roman"/>
          <w:b w:val="0"/>
          <w:i w:val="0"/>
          <w:sz w:val="24"/>
        </w:rPr>
        <w:t xml:space="preserve">  [D6 D4 D1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D6</w:t>
      </w:r>
    </w:p>
    <w:p>
      <w:pPr>
        <w:spacing w:line="276" w:lineRule="auto" w:before="0" w:after="40"/>
        <w:ind w:firstLine="425"/>
        <w:jc w:val="both"/>
      </w:pPr>
      <w:r>
        <w:rPr>
          <w:rFonts w:ascii="Times New Roman" w:hAnsi="Times New Roman" w:cs="Times New Roman" w:eastAsia="Times New Roman"/>
          <w:b w:val="0"/>
          <w:i w:val="0"/>
          <w:sz w:val="24"/>
        </w:rPr>
        <w:t>Patti 1920 – Voghera 22 marzo 1986 (avvelenato in carcere). Banchiere siciliano. Iscritto P2. Proprietario della Banca Privata Italiana e della Franklin National Bank di New York (con presidenza di David Kennedy, ex Segretario al Tesoro USA). Connessione strutturale Sindona-IOR-Marcinkus. Bancarotta nel 1974. Estradato dagli USA in Italia nel 1984. Condannato all'ergastolo per l'omicidio del liquidatore Giorgio Ambrosoli (1979). Avvelenato con cianuro nel carcere di Voghera (22 marzo 1986).</w:t>
      </w:r>
    </w:p>
    <w:p>
      <w:pPr>
        <w:spacing w:line="276" w:lineRule="auto" w:before="0" w:after="40"/>
        <w:ind w:firstLine="425"/>
        <w:jc w:val="both"/>
      </w:pPr>
      <w:r>
        <w:rPr>
          <w:rFonts w:ascii="Times New Roman" w:hAnsi="Times New Roman" w:cs="Times New Roman" w:eastAsia="Times New Roman"/>
          <w:b w:val="0"/>
          <w:i w:val="0"/>
          <w:sz w:val="24"/>
        </w:rPr>
        <w:t>Connessioni: P2, IOR, Banco Ambrosiano, CIA, Cosa Nostra USA ⊕</w:t>
      </w:r>
    </w:p>
    <w:p>
      <w:pPr>
        <w:spacing w:line="276" w:lineRule="auto" w:before="160" w:after="40"/>
        <w:ind w:firstLine="0"/>
        <w:jc w:val="both"/>
      </w:pPr>
      <w:r>
        <w:rPr>
          <w:rFonts w:ascii="Times New Roman" w:hAnsi="Times New Roman" w:cs="Times New Roman" w:eastAsia="Times New Roman"/>
          <w:b/>
          <w:i w:val="0"/>
          <w:sz w:val="24"/>
        </w:rPr>
        <w:t>▶ Roberto Calvi</w:t>
      </w:r>
      <w:r>
        <w:rPr>
          <w:rFonts w:ascii="Times New Roman" w:hAnsi="Times New Roman" w:cs="Times New Roman" w:eastAsia="Times New Roman"/>
          <w:b w:val="0"/>
          <w:i w:val="0"/>
          <w:sz w:val="24"/>
        </w:rPr>
        <w:t xml:space="preserve">  [D6 D4 D5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D6</w:t>
      </w:r>
    </w:p>
    <w:p>
      <w:pPr>
        <w:spacing w:line="276" w:lineRule="auto" w:before="0" w:after="40"/>
        <w:ind w:firstLine="425"/>
        <w:jc w:val="both"/>
      </w:pPr>
      <w:r>
        <w:rPr>
          <w:rFonts w:ascii="Times New Roman" w:hAnsi="Times New Roman" w:cs="Times New Roman" w:eastAsia="Times New Roman"/>
          <w:b w:val="0"/>
          <w:i w:val="0"/>
          <w:sz w:val="24"/>
        </w:rPr>
        <w:t>Milano 1920 – Londra 18 giugno 1982. Banchiere. Presidente del Banco Ambrosiano (1975–1982). Iscritto P2. Connessioni IOR-Marcinkus. Trovato impiccato sotto il Ponte dei Frati Neri (Blackfriars) di Londra il 18 giugno 1982. La sentenza italiana del 2007 stabilì che si trattò di omicidio (mandato Cosa Nostra-Pippo Calò). 82 occorrenze in INTERO_COM 58.</w:t>
      </w:r>
    </w:p>
    <w:p>
      <w:pPr>
        <w:spacing w:line="276" w:lineRule="auto" w:before="0" w:after="40"/>
        <w:ind w:firstLine="425"/>
        <w:jc w:val="both"/>
      </w:pPr>
      <w:r>
        <w:rPr>
          <w:rFonts w:ascii="Times New Roman" w:hAnsi="Times New Roman" w:cs="Times New Roman" w:eastAsia="Times New Roman"/>
          <w:b w:val="0"/>
          <w:i w:val="0"/>
          <w:sz w:val="24"/>
        </w:rPr>
        <w:t>Connessioni: Banco Ambrosiano, P2-Gelli, IOR-Marcinkus, Cosa Nostra-Calò ⊕</w:t>
      </w:r>
    </w:p>
    <w:p>
      <w:pPr>
        <w:spacing w:line="276" w:lineRule="auto" w:before="160" w:after="40"/>
        <w:ind w:firstLine="0"/>
        <w:jc w:val="both"/>
      </w:pPr>
      <w:r>
        <w:rPr>
          <w:rFonts w:ascii="Times New Roman" w:hAnsi="Times New Roman" w:cs="Times New Roman" w:eastAsia="Times New Roman"/>
          <w:b/>
          <w:i w:val="0"/>
          <w:sz w:val="24"/>
        </w:rPr>
        <w:t>▶ Paul Casimir Marcinkus</w:t>
      </w:r>
      <w:r>
        <w:rPr>
          <w:rFonts w:ascii="Times New Roman" w:hAnsi="Times New Roman" w:cs="Times New Roman" w:eastAsia="Times New Roman"/>
          <w:b w:val="0"/>
          <w:i w:val="0"/>
          <w:sz w:val="24"/>
        </w:rPr>
        <w:t xml:space="preserve">  [D5 D6 D4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D5</w:t>
      </w:r>
    </w:p>
    <w:p>
      <w:pPr>
        <w:spacing w:line="276" w:lineRule="auto" w:before="0" w:after="40"/>
        <w:ind w:firstLine="425"/>
        <w:jc w:val="both"/>
      </w:pPr>
      <w:r>
        <w:rPr>
          <w:rFonts w:ascii="Times New Roman" w:hAnsi="Times New Roman" w:cs="Times New Roman" w:eastAsia="Times New Roman"/>
          <w:b w:val="0"/>
          <w:i w:val="0"/>
          <w:sz w:val="24"/>
        </w:rPr>
        <w:t>Cicero (Illinois) 1922 – Sun City (Arizona) 2006. Arcivescovo. Presidente dell'IOR (1971–1989). Fonti FBI documentano legami con Cosa Nostra americana (famiglia Chicago Outfit) sin dalle origini. Connessioni IOR-Banco Ambrosiano-Sindona. Lettere di patronato dell'IOR a società off-shore di Calvi (1981). Indagato dalla Procura di Milano (1982-1987), protetto da immunità Lateranense. Trasferito in Arizona dopo il 1989.</w:t>
      </w:r>
    </w:p>
    <w:p>
      <w:pPr>
        <w:spacing w:line="276" w:lineRule="auto" w:before="0" w:after="40"/>
        <w:ind w:firstLine="425"/>
        <w:jc w:val="both"/>
      </w:pPr>
      <w:r>
        <w:rPr>
          <w:rFonts w:ascii="Times New Roman" w:hAnsi="Times New Roman" w:cs="Times New Roman" w:eastAsia="Times New Roman"/>
          <w:b w:val="0"/>
          <w:i w:val="0"/>
          <w:sz w:val="24"/>
        </w:rPr>
        <w:t>Connessioni: IOR, Banco Ambrosiano, Sindona, Calvi, Cosa Nostra Chicago ⊕</w:t>
      </w:r>
    </w:p>
    <w:p>
      <w:pPr>
        <w:spacing w:line="276" w:lineRule="auto" w:before="160" w:after="40"/>
        <w:ind w:firstLine="0"/>
        <w:jc w:val="both"/>
      </w:pPr>
      <w:r>
        <w:rPr>
          <w:rFonts w:ascii="Times New Roman" w:hAnsi="Times New Roman" w:cs="Times New Roman" w:eastAsia="Times New Roman"/>
          <w:b/>
          <w:i w:val="0"/>
          <w:sz w:val="24"/>
        </w:rPr>
        <w:t>▶ Mino Pecorelli</w:t>
      </w:r>
      <w:r>
        <w:rPr>
          <w:rFonts w:ascii="Times New Roman" w:hAnsi="Times New Roman" w:cs="Times New Roman" w:eastAsia="Times New Roman"/>
          <w:b w:val="0"/>
          <w:i w:val="0"/>
          <w:sz w:val="24"/>
        </w:rPr>
        <w:t xml:space="preserve">  [D8 D4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D8</w:t>
      </w:r>
    </w:p>
    <w:p>
      <w:pPr>
        <w:spacing w:line="276" w:lineRule="auto" w:before="0" w:after="40"/>
        <w:ind w:firstLine="425"/>
        <w:jc w:val="both"/>
      </w:pPr>
      <w:r>
        <w:rPr>
          <w:rFonts w:ascii="Times New Roman" w:hAnsi="Times New Roman" w:cs="Times New Roman" w:eastAsia="Times New Roman"/>
          <w:b w:val="0"/>
          <w:i w:val="0"/>
          <w:sz w:val="24"/>
        </w:rPr>
        <w:t>Sessano del Molise 1928 – Roma 20 marzo 1979. Giornalista. Direttore di OP (Osservatore Politico). Iscritto P2. Assassinato il 20 marzo 1979 a Roma. Imputati Andreotti, Pippo Calò, Massimo Carminati: assolti in via definitiva (Cassazione 2003) per insufficienza di prove.</w:t>
      </w:r>
    </w:p>
    <w:p>
      <w:pPr>
        <w:spacing w:line="276" w:lineRule="auto" w:before="0" w:after="40"/>
        <w:ind w:firstLine="425"/>
        <w:jc w:val="both"/>
      </w:pPr>
      <w:r>
        <w:rPr>
          <w:rFonts w:ascii="Times New Roman" w:hAnsi="Times New Roman" w:cs="Times New Roman" w:eastAsia="Times New Roman"/>
          <w:b w:val="0"/>
          <w:i w:val="0"/>
          <w:sz w:val="24"/>
        </w:rPr>
        <w:t>Connessioni: OP, P2, Andreotti (proc.), Calò, Carminati ⊕</w:t>
      </w:r>
    </w:p>
    <w:p>
      <w:pPr>
        <w:spacing w:line="276" w:lineRule="auto" w:before="160" w:after="40"/>
        <w:ind w:firstLine="0"/>
        <w:jc w:val="both"/>
      </w:pPr>
      <w:r>
        <w:rPr>
          <w:rFonts w:ascii="Times New Roman" w:hAnsi="Times New Roman" w:cs="Times New Roman" w:eastAsia="Times New Roman"/>
          <w:b/>
          <w:i w:val="0"/>
          <w:sz w:val="24"/>
        </w:rPr>
        <w:t>▶ José López Rega</w:t>
      </w:r>
      <w:r>
        <w:rPr>
          <w:rFonts w:ascii="Times New Roman" w:hAnsi="Times New Roman" w:cs="Times New Roman" w:eastAsia="Times New Roman"/>
          <w:b w:val="0"/>
          <w:i w:val="0"/>
          <w:sz w:val="24"/>
        </w:rPr>
        <w:t xml:space="preserve">  [D2 D7 D4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r>
        <w:rPr>
          <w:rFonts w:ascii="Times New Roman" w:hAnsi="Times New Roman" w:cs="Times New Roman" w:eastAsia="Times New Roman"/>
          <w:b w:val="0"/>
          <w:i/>
          <w:sz w:val="24"/>
        </w:rPr>
        <w:t xml:space="preserve">  — proiezione da D2</w:t>
      </w:r>
    </w:p>
    <w:p>
      <w:pPr>
        <w:spacing w:line="276" w:lineRule="auto" w:before="0" w:after="40"/>
        <w:ind w:firstLine="425"/>
        <w:jc w:val="both"/>
      </w:pPr>
      <w:r>
        <w:rPr>
          <w:rFonts w:ascii="Times New Roman" w:hAnsi="Times New Roman" w:cs="Times New Roman" w:eastAsia="Times New Roman"/>
          <w:b w:val="0"/>
          <w:i w:val="0"/>
          <w:sz w:val="24"/>
        </w:rPr>
        <w:t>Buenos Aires 1916 – Buenos Aires 1989. Ministro del Benessere Sociale (1973-1975). Architetto della Triple A (Alianza Anticomunista Argentina). Iscritto P2. Esoterista occultista.</w:t>
      </w:r>
    </w:p>
    <w:p>
      <w:pPr>
        <w:spacing w:line="276" w:lineRule="auto" w:before="0" w:after="40"/>
        <w:ind w:firstLine="425"/>
        <w:jc w:val="both"/>
      </w:pPr>
      <w:r>
        <w:rPr>
          <w:rFonts w:ascii="Times New Roman" w:hAnsi="Times New Roman" w:cs="Times New Roman" w:eastAsia="Times New Roman"/>
          <w:b w:val="0"/>
          <w:i w:val="0"/>
          <w:sz w:val="24"/>
        </w:rPr>
        <w:t>Connessioni: Triple A, P2, esoterismo, peronismo destra</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QUARTA — NODI-ORGANIZZAZIONE A DOMINANZA PRIMARIA</w:t>
      </w:r>
    </w:p>
    <w:p>
      <w:pPr>
        <w:spacing w:line="276" w:lineRule="auto" w:before="160" w:after="40"/>
        <w:ind w:firstLine="0"/>
        <w:jc w:val="both"/>
      </w:pPr>
      <w:r>
        <w:rPr>
          <w:rFonts w:ascii="Times New Roman" w:hAnsi="Times New Roman" w:cs="Times New Roman" w:eastAsia="Times New Roman"/>
          <w:b/>
          <w:i w:val="0"/>
          <w:sz w:val="24"/>
        </w:rPr>
        <w:t>◆ Loggia P2 (Propaganda Due)</w:t>
      </w:r>
      <w:r>
        <w:rPr>
          <w:rFonts w:ascii="Times New Roman" w:hAnsi="Times New Roman" w:cs="Times New Roman" w:eastAsia="Times New Roman"/>
          <w:b/>
          <w:i w:val="0"/>
          <w:sz w:val="24"/>
        </w:rPr>
        <w:t xml:space="preserve">  [CARD]</w:t>
      </w:r>
      <w:r>
        <w:rPr>
          <w:rFonts w:ascii="Times New Roman" w:hAnsi="Times New Roman" w:cs="Times New Roman" w:eastAsia="Times New Roman"/>
          <w:b w:val="0"/>
          <w:i w:val="0"/>
          <w:sz w:val="24"/>
        </w:rPr>
        <w:t xml:space="preserve">  [D4 D2 D3 D6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Loggia massonica del Grande Oriente d'Italia (GOI). Riservata fin dalla sua istituzione, divenuta «coperta» dal 1976. Venerabile Maestro Licio Gelli. Lista P2 sequestrata 17 marzo 1981 a Castiglion Fibocchi: 962 affiliati documentati con tessere e quote pagate. Il «Piano di Rinascita Democratica» (gennaio 1976) costituisce il documento programmatico. Sciolta con legge 17/1982. Iscritti: tre direttori dei servizi segreti (Miceli, Santovito, Grassini), il direttore della Guardia di Finanza Orazio Giannini, due ministri in carica (Foschi, Manca) e diciassette parlamentari, generali (195), giornalisti (50+), magistrati (15), banchieri (35), industriali. Pattern paradigmatico di Hub Centralizzato.</w:t>
      </w:r>
    </w:p>
    <w:p>
      <w:pPr>
        <w:spacing w:line="276" w:lineRule="auto" w:before="160" w:after="40"/>
        <w:ind w:firstLine="0"/>
        <w:jc w:val="both"/>
      </w:pPr>
      <w:r>
        <w:rPr>
          <w:rFonts w:ascii="Times New Roman" w:hAnsi="Times New Roman" w:cs="Times New Roman" w:eastAsia="Times New Roman"/>
          <w:b/>
          <w:i w:val="0"/>
          <w:sz w:val="24"/>
        </w:rPr>
        <w:t>◆ P2 in Argentina</w:t>
      </w:r>
      <w:r>
        <w:rPr>
          <w:rFonts w:ascii="Times New Roman" w:hAnsi="Times New Roman" w:cs="Times New Roman" w:eastAsia="Times New Roman"/>
          <w:b w:val="0"/>
          <w:i w:val="0"/>
          <w:sz w:val="24"/>
        </w:rPr>
        <w:t xml:space="preserve">  [D4 D2 D6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160" w:after="40"/>
        <w:ind w:firstLine="0"/>
        <w:jc w:val="both"/>
      </w:pPr>
      <w:r>
        <w:rPr>
          <w:rFonts w:ascii="Times New Roman" w:hAnsi="Times New Roman" w:cs="Times New Roman" w:eastAsia="Times New Roman"/>
          <w:b/>
          <w:i w:val="0"/>
          <w:sz w:val="24"/>
        </w:rPr>
        <w:t>◆ GLRI (Gran Loggia Regolare d'Italia)</w:t>
      </w:r>
      <w:r>
        <w:rPr>
          <w:rFonts w:ascii="Times New Roman" w:hAnsi="Times New Roman" w:cs="Times New Roman" w:eastAsia="Times New Roman"/>
          <w:b w:val="0"/>
          <w:i w:val="0"/>
          <w:sz w:val="24"/>
        </w:rPr>
        <w:t xml:space="preserve">  [D4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Obbedienza massonica scissa dal GOI dal 1993. Riconosciuta dalla United Grand Lodge of England.</w:t>
      </w:r>
    </w:p>
    <w:p>
      <w:pPr>
        <w:spacing w:line="276" w:lineRule="auto" w:before="160" w:after="40"/>
        <w:ind w:firstLine="0"/>
        <w:jc w:val="both"/>
      </w:pPr>
      <w:r>
        <w:rPr>
          <w:rFonts w:ascii="Times New Roman" w:hAnsi="Times New Roman" w:cs="Times New Roman" w:eastAsia="Times New Roman"/>
          <w:b/>
          <w:i w:val="0"/>
          <w:sz w:val="24"/>
        </w:rPr>
        <w:t>◆ GOI (Grande Oriente d'Italia – Palazzo Giustiniani)</w:t>
      </w:r>
      <w:r>
        <w:rPr>
          <w:rFonts w:ascii="Times New Roman" w:hAnsi="Times New Roman" w:cs="Times New Roman" w:eastAsia="Times New Roman"/>
          <w:b w:val="0"/>
          <w:i w:val="0"/>
          <w:sz w:val="24"/>
        </w:rPr>
        <w:t xml:space="preserve">  [D4 |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Principale obbedienza massonica italiana. Tradizionalmente liberale-radicale. Sede in Palazzo Giustiniani (Roma). Maestri venerabili principali del periodo: Salvini, Salvini II, Gamberini, Battelli, Corona, Di Bernardo, Raffi, Bisi.</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QUINTA — NODI-ORGANIZZAZIONE IN PROIEZIONE</w:t>
      </w:r>
    </w:p>
    <w:p>
      <w:pPr>
        <w:spacing w:line="276" w:lineRule="auto" w:before="0" w:after="0"/>
        <w:ind w:firstLine="425"/>
        <w:jc w:val="both"/>
      </w:pPr>
      <w:r>
        <w:rPr>
          <w:rFonts w:ascii="Times New Roman" w:hAnsi="Times New Roman" w:cs="Times New Roman" w:eastAsia="Times New Roman"/>
          <w:b w:val="0"/>
          <w:i w:val="0"/>
          <w:sz w:val="24"/>
        </w:rPr>
        <w:t>Nessun nodo-organizzazione in proiezione risulta marcato su questo dominio: lacuna dichiarata.</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SESTA — SINAPSI CROSS-SECTION AFFERENTI (ATTRIBUZIONE AUTOMATICA DI LIVELLO C)</w:t>
      </w:r>
    </w:p>
    <w:p>
      <w:pPr>
        <w:spacing w:line="276" w:lineRule="auto" w:before="160" w:after="40"/>
        <w:ind w:firstLine="0"/>
        <w:jc w:val="both"/>
      </w:pPr>
      <w:r>
        <w:rPr>
          <w:rFonts w:ascii="Times New Roman" w:hAnsi="Times New Roman" w:cs="Times New Roman" w:eastAsia="Times New Roman"/>
          <w:b/>
          <w:i w:val="0"/>
          <w:sz w:val="24"/>
        </w:rPr>
        <w:t>◈ Arco #01 — Gelli–P2 → Argentina-Massera-ESMA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Licio Gelli riceve il 22 maggio 1974 dalla mano di Juan Domingo Perón la Gran Cruz dell'Ordine del Libertador San Martín. Documentata l'iscrizione di Emilio Massera, Suárez Mason, Harguindeguy e López Rega alla Loggia P2. La sezione argentina della P2 funziona come centrale di reclutamento per il Processo di Riorganizzazione Nazionale (1976-1983). L'ESMA come istituzione operativa sopravviene strutturalmente dalla rete relazionale costruita da Gelli come consigliere d'ambasciata Buenos Aires-Roma sotto Perón.</w:t>
      </w:r>
    </w:p>
    <w:p>
      <w:pPr>
        <w:spacing w:line="276" w:lineRule="auto" w:before="0" w:after="40"/>
        <w:ind w:firstLine="425"/>
        <w:jc w:val="both"/>
      </w:pPr>
      <w:r>
        <w:rPr>
          <w:rFonts w:ascii="Times New Roman" w:hAnsi="Times New Roman" w:cs="Times New Roman" w:eastAsia="Times New Roman"/>
          <w:b w:val="0"/>
          <w:i w:val="0"/>
          <w:sz w:val="24"/>
        </w:rPr>
        <w:t>Attori principali: Licio Gelli, Emilio Massera, Carlos Suárez Mason, Albano Harguindeguy, José López Rega, Juan Domingo Perón</w:t>
      </w:r>
    </w:p>
    <w:p>
      <w:pPr>
        <w:spacing w:line="276" w:lineRule="auto" w:before="160" w:after="40"/>
        <w:ind w:firstLine="0"/>
        <w:jc w:val="both"/>
      </w:pPr>
      <w:r>
        <w:rPr>
          <w:rFonts w:ascii="Times New Roman" w:hAnsi="Times New Roman" w:cs="Times New Roman" w:eastAsia="Times New Roman"/>
          <w:b/>
          <w:i w:val="0"/>
          <w:sz w:val="24"/>
        </w:rPr>
        <w:t>◈ Arco #08 — Gladio → Stay-Behind NATO globale (Isomorfismo)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struttura italiana Gladio (1956-1990, 622 quadri al 1990, centro di addestramento Capo Marrargiu Sardegna) appartiene al network NATO ACC-CPC (Allied Clandestine Committee – Clandestine Planning Committee). Strutture sorelle documentate: P-26 Svizzera, ROC Norvegia, SDRA-8 Belgio, Glaive Lussemburgo, OW-Network Olanda, Counter-Guerrilla (Kontr-Gerilla) Turchia, ÖWSGV Austria, Network Anders Grecia, GAL Spagna, Aginter Press Portogallo. Pattern di isomorfismo strutturale globale.</w:t>
      </w:r>
    </w:p>
    <w:p>
      <w:pPr>
        <w:spacing w:line="276" w:lineRule="auto" w:before="0" w:after="40"/>
        <w:ind w:firstLine="425"/>
        <w:jc w:val="both"/>
      </w:pPr>
      <w:r>
        <w:rPr>
          <w:rFonts w:ascii="Times New Roman" w:hAnsi="Times New Roman" w:cs="Times New Roman" w:eastAsia="Times New Roman"/>
          <w:b w:val="0"/>
          <w:i w:val="0"/>
          <w:sz w:val="24"/>
        </w:rPr>
        <w:t>Attori principali: Licio Gelli, Vito Miceli, Gianadelio Maletti, Yves Guérin-Sérac, Alparslan Türkeş</w:t>
      </w:r>
    </w:p>
    <w:p>
      <w:pPr>
        <w:spacing w:line="276" w:lineRule="auto" w:before="160" w:after="40"/>
        <w:ind w:firstLine="0"/>
        <w:jc w:val="both"/>
      </w:pPr>
      <w:r>
        <w:rPr>
          <w:rFonts w:ascii="Times New Roman" w:hAnsi="Times New Roman" w:cs="Times New Roman" w:eastAsia="Times New Roman"/>
          <w:b/>
          <w:i w:val="0"/>
          <w:sz w:val="24"/>
        </w:rPr>
        <w:t>◈ Arco #09 — P2 → P-Reti europee (Isomorfismo)</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Loggia P2 di Gelli come modello strutturale di hub-massonico-politico-finanziario. Strutture isomorfe: P3 italiana (anni 2000), Loggia di Monte Carlo, Loggia San Marco, sezione argentina della P2, Loggia Ungheria. Il patron Pier Lombardo gerarchicamente in posizione di Venerabile Maestro come modello replicato. Pattern Hub Centralizzato.</w:t>
      </w:r>
    </w:p>
    <w:p>
      <w:pPr>
        <w:spacing w:line="276" w:lineRule="auto" w:before="0" w:after="40"/>
        <w:ind w:firstLine="425"/>
        <w:jc w:val="both"/>
      </w:pPr>
      <w:r>
        <w:rPr>
          <w:rFonts w:ascii="Times New Roman" w:hAnsi="Times New Roman" w:cs="Times New Roman" w:eastAsia="Times New Roman"/>
          <w:b w:val="0"/>
          <w:i w:val="0"/>
          <w:sz w:val="24"/>
        </w:rPr>
        <w:t>Attori principali: Licio Gelli, Roberto Calvi, Michele Sindona, Umberto Ortolani, Carlo Pesenti</w:t>
      </w:r>
    </w:p>
    <w:p>
      <w:pPr>
        <w:spacing w:line="276" w:lineRule="auto" w:before="160" w:after="40"/>
        <w:ind w:firstLine="0"/>
        <w:jc w:val="both"/>
      </w:pPr>
      <w:r>
        <w:rPr>
          <w:rFonts w:ascii="Times New Roman" w:hAnsi="Times New Roman" w:cs="Times New Roman" w:eastAsia="Times New Roman"/>
          <w:b/>
          <w:i w:val="0"/>
          <w:sz w:val="24"/>
        </w:rPr>
        <w:t>◈ Arco #10 — Sindona-Calvi → IOR-Banchi vaticani-Estero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Michele Sindona (Patti 1920 – Voghera 1986, avvelenamento da cianuro) come architetto della Banca Privata Italiana, Franklin National Bank (USA), Banca Cattolica del Veneto. Roberto Calvi (Milano 1920 – Londra 17 giugno 1982) come presidente del Banco Ambrosiano. Connessione strutturale con Marcinkus all'IOR. Crack del Banco Ambrosiano (giugno 1982) come terminale di una rete di riciclaggio globale a triangolo Roma-Vatican-Lugano-Bahamas-Caraibi.</w:t>
      </w:r>
    </w:p>
    <w:p>
      <w:pPr>
        <w:spacing w:line="276" w:lineRule="auto" w:before="0" w:after="40"/>
        <w:ind w:firstLine="425"/>
        <w:jc w:val="both"/>
      </w:pPr>
      <w:r>
        <w:rPr>
          <w:rFonts w:ascii="Times New Roman" w:hAnsi="Times New Roman" w:cs="Times New Roman" w:eastAsia="Times New Roman"/>
          <w:b w:val="0"/>
          <w:i w:val="0"/>
          <w:sz w:val="24"/>
        </w:rPr>
        <w:t>Attori principali: Michele Sindona, Roberto Calvi, Paul Marcinkus, Umberto Ortolani, Licio Gelli</w:t>
      </w:r>
    </w:p>
    <w:p>
      <w:pPr>
        <w:spacing w:line="276" w:lineRule="auto" w:before="160" w:after="40"/>
        <w:ind w:firstLine="0"/>
        <w:jc w:val="both"/>
      </w:pPr>
      <w:r>
        <w:rPr>
          <w:rFonts w:ascii="Times New Roman" w:hAnsi="Times New Roman" w:cs="Times New Roman" w:eastAsia="Times New Roman"/>
          <w:b/>
          <w:i w:val="0"/>
          <w:sz w:val="24"/>
        </w:rPr>
        <w:t>◈ Arco #11 — Andreotti → Lima-Ciancimino-Bontate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Giulio Andreotti come hub politico nazionale. Salvo Lima (eurodeputato DC, ucciso 12 marzo 1992 a Mondello) come terminale siciliano. Vito Ciancimino (sindaco di Palermo 1970-1971 sotto i Corleonesi) come ponte mafia-politica. Stefano Bontate (capo mandamento Santa Maria di Gesù, ucciso 23 aprile 1981) come ramo «moderato» della mafia siciliana. Pattern Career Path documentato in tre processi (Andreotti I-II-III: assolto in Cassazione 2003 per i fatti post-1980, prescritto pre-1980).</w:t>
      </w:r>
    </w:p>
    <w:p>
      <w:pPr>
        <w:spacing w:line="276" w:lineRule="auto" w:before="0" w:after="40"/>
        <w:ind w:firstLine="425"/>
        <w:jc w:val="both"/>
      </w:pPr>
      <w:r>
        <w:rPr>
          <w:rFonts w:ascii="Times New Roman" w:hAnsi="Times New Roman" w:cs="Times New Roman" w:eastAsia="Times New Roman"/>
          <w:b w:val="0"/>
          <w:i w:val="0"/>
          <w:sz w:val="24"/>
        </w:rPr>
        <w:t>Attori principali: Giulio Andreotti, Salvo Lima, Vito Ciancimino, Stefano Bontate, Salvatore Salvo, Ignazio Salvo</w:t>
      </w:r>
    </w:p>
    <w:p>
      <w:pPr>
        <w:spacing w:line="276" w:lineRule="auto" w:before="160" w:after="40"/>
        <w:ind w:firstLine="0"/>
        <w:jc w:val="both"/>
      </w:pPr>
      <w:r>
        <w:rPr>
          <w:rFonts w:ascii="Times New Roman" w:hAnsi="Times New Roman" w:cs="Times New Roman" w:eastAsia="Times New Roman"/>
          <w:b/>
          <w:i w:val="0"/>
          <w:sz w:val="24"/>
        </w:rPr>
        <w:t>◈ Arco #12 — Trattativa Stato-Mafia → Borsellino-Mori-Subranni (Eredità)</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sequenza delle stragi del 1992-1993 (Capaci 23 maggio 1992, via D'Amelio 19 luglio 1992, via dei Georgofili Firenze 27 maggio 1993, via Palestro Milano 27 luglio 1993, San Giovanni in Laterano 28 luglio 1993). La Trattativa Stato-Mafia come negoziato strutturale tra apparati ROS dei Carabinieri (Mori, Subranni, De Donno) e i vertici di Cosa Nostra (Provenzano, Riina, Bagarella) attraverso Vito Ciancimino. Il «papello» di Riina come documento programmatico delle richieste mafiose.</w:t>
      </w:r>
    </w:p>
    <w:p>
      <w:pPr>
        <w:spacing w:line="276" w:lineRule="auto" w:before="0" w:after="40"/>
        <w:ind w:firstLine="425"/>
        <w:jc w:val="both"/>
      </w:pPr>
      <w:r>
        <w:rPr>
          <w:rFonts w:ascii="Times New Roman" w:hAnsi="Times New Roman" w:cs="Times New Roman" w:eastAsia="Times New Roman"/>
          <w:b w:val="0"/>
          <w:i w:val="0"/>
          <w:sz w:val="24"/>
        </w:rPr>
        <w:t>Attori principali: Mario Mori, Antonio Subranni, Giuseppe De Donno, Vito Ciancimino, Salvatore Riina, Bernardo Provenzano</w:t>
      </w:r>
    </w:p>
    <w:p>
      <w:pPr>
        <w:spacing w:line="276" w:lineRule="auto" w:before="160" w:after="40"/>
        <w:ind w:firstLine="0"/>
        <w:jc w:val="both"/>
      </w:pPr>
      <w:r>
        <w:rPr>
          <w:rFonts w:ascii="Times New Roman" w:hAnsi="Times New Roman" w:cs="Times New Roman" w:eastAsia="Times New Roman"/>
          <w:b/>
          <w:i w:val="0"/>
          <w:sz w:val="24"/>
        </w:rPr>
        <w:t>◈ Arco #17 — Lodo Moro → Palestina-Italia (Strumentalizzazione)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L'accordo non scritto sancito da Aldo Moro nel 1973 (poi confermato da Andreotti) prevedeva la non-ostilità delle organizzazioni palestinesi (FPLP, Settembre Nero) verso il territorio italiano in cambio della tolleranza per il transito di armi e operativi attraverso i porti italiani. Strage di Fiumicino del 17 dicembre 1973 (Settembre Nero) come violazione del lodo. Strage di Bologna 1980 come riformulazione del lodo dopo l'omicidio Moro 1978.</w:t>
      </w:r>
    </w:p>
    <w:p>
      <w:pPr>
        <w:spacing w:line="276" w:lineRule="auto" w:before="0" w:after="40"/>
        <w:ind w:firstLine="425"/>
        <w:jc w:val="both"/>
      </w:pPr>
      <w:r>
        <w:rPr>
          <w:rFonts w:ascii="Times New Roman" w:hAnsi="Times New Roman" w:cs="Times New Roman" w:eastAsia="Times New Roman"/>
          <w:b w:val="0"/>
          <w:i w:val="0"/>
          <w:sz w:val="24"/>
        </w:rPr>
        <w:t>Attori principali: Aldo Moro, Giulio Andreotti, George Habash, Wadi Haddad, Bassam Abu Sharif</w:t>
      </w:r>
    </w:p>
    <w:p>
      <w:pPr>
        <w:spacing w:line="276" w:lineRule="auto" w:before="160" w:after="40"/>
        <w:ind w:firstLine="0"/>
        <w:jc w:val="both"/>
      </w:pPr>
      <w:r>
        <w:rPr>
          <w:rFonts w:ascii="Times New Roman" w:hAnsi="Times New Roman" w:cs="Times New Roman" w:eastAsia="Times New Roman"/>
          <w:b/>
          <w:i w:val="0"/>
          <w:sz w:val="24"/>
        </w:rPr>
        <w:t>◈ Arco #18 — Sismi-Mossad → Affari Achille Lauro-Sigonella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L'affare Achille Lauro (7 ottobre 1985, dirottamento del transatlantico) come caso paradigmatico di tensione USA-Italia-Mossad. Crisi di Sigonella (11 ottobre 1985, scontro Carabinieri-Delta Force USA per Abu Abbas). Connessioni Sismi (Martini)-Mossad. Caso paradigmatico di accoppiamento strutturale tra servizi Atlantici e mediterranei.</w:t>
      </w:r>
    </w:p>
    <w:p>
      <w:pPr>
        <w:spacing w:line="276" w:lineRule="auto" w:before="0" w:after="40"/>
        <w:ind w:firstLine="425"/>
        <w:jc w:val="both"/>
      </w:pPr>
      <w:r>
        <w:rPr>
          <w:rFonts w:ascii="Times New Roman" w:hAnsi="Times New Roman" w:cs="Times New Roman" w:eastAsia="Times New Roman"/>
          <w:b w:val="0"/>
          <w:i w:val="0"/>
          <w:sz w:val="24"/>
        </w:rPr>
        <w:t>Attori principali: Bettino Craxi, Giulio Andreotti, Fulvio Martini, Abu Abbas, Yitzhak Rabin</w:t>
      </w:r>
    </w:p>
    <w:p>
      <w:pPr>
        <w:spacing w:line="276" w:lineRule="auto" w:before="160" w:after="40"/>
        <w:ind w:firstLine="0"/>
        <w:jc w:val="both"/>
      </w:pPr>
      <w:r>
        <w:rPr>
          <w:rFonts w:ascii="Times New Roman" w:hAnsi="Times New Roman" w:cs="Times New Roman" w:eastAsia="Times New Roman"/>
          <w:b/>
          <w:i w:val="0"/>
          <w:sz w:val="24"/>
        </w:rPr>
        <w:t>◈ Arco #26 — Bannon-Steve Miller → Le Cercle moderna (Filiazione ideologica)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B</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Steve Bannon come architetto del MAGA-trumpismo e ideologo della destra populista globale. Discepoli: Marion Maréchal-Le Pen (Francia), Matteo Salvini (Italia), Viktor Orbán (Ungheria), Jair Bolsonaro (Brasile), Javier Milei (Argentina). Movimento ai sensi geopolitici come Le Cercle moderna (rete coordinata informalmente). Heritage Foundation Project 2025 come piano programmatico.</w:t>
      </w:r>
    </w:p>
    <w:p>
      <w:pPr>
        <w:spacing w:line="276" w:lineRule="auto" w:before="0" w:after="40"/>
        <w:ind w:firstLine="425"/>
        <w:jc w:val="both"/>
      </w:pPr>
      <w:r>
        <w:rPr>
          <w:rFonts w:ascii="Times New Roman" w:hAnsi="Times New Roman" w:cs="Times New Roman" w:eastAsia="Times New Roman"/>
          <w:b w:val="0"/>
          <w:i w:val="0"/>
          <w:sz w:val="24"/>
        </w:rPr>
        <w:t>Attori principali: Steve Bannon, Stephen Miller, Marion Maréchal, Viktor Orbán, Matteo Salvini</w:t>
      </w:r>
    </w:p>
    <w:p>
      <w:pPr>
        <w:spacing w:line="276" w:lineRule="auto" w:before="160" w:after="40"/>
        <w:ind w:firstLine="0"/>
        <w:jc w:val="both"/>
      </w:pPr>
      <w:r>
        <w:rPr>
          <w:rFonts w:ascii="Times New Roman" w:hAnsi="Times New Roman" w:cs="Times New Roman" w:eastAsia="Times New Roman"/>
          <w:b/>
          <w:i w:val="0"/>
          <w:sz w:val="24"/>
        </w:rPr>
        <w:t>◈ Arco #27 — Trump → Salvini-Meloni-Orbán-Milei-Modi-Erdoğan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Asse globale dei populisti di destra coordinati informalmente attraverso Bannon-Heritage. Conferenze CPAC come hub di coordinamento (Dallas, Budapest, Buenos Aires, San Paolo). Pattern di convergenza politica globale. Caso paradigmatico: la sospensione di Salvini al Cremlino agosto 2018 (foto pubblica con Lavrov) e i contatti Bolsonaro-Trump.</w:t>
      </w:r>
    </w:p>
    <w:p>
      <w:pPr>
        <w:spacing w:line="276" w:lineRule="auto" w:before="0" w:after="40"/>
        <w:ind w:firstLine="425"/>
        <w:jc w:val="both"/>
      </w:pPr>
      <w:r>
        <w:rPr>
          <w:rFonts w:ascii="Times New Roman" w:hAnsi="Times New Roman" w:cs="Times New Roman" w:eastAsia="Times New Roman"/>
          <w:b w:val="0"/>
          <w:i w:val="0"/>
          <w:sz w:val="24"/>
        </w:rPr>
        <w:t>Attori principali: Donald Trump, Matteo Salvini, Giorgia Meloni, Viktor Orbán, Javier Milei</w:t>
      </w:r>
    </w:p>
    <w:p>
      <w:pPr>
        <w:spacing w:line="276" w:lineRule="auto" w:before="160" w:after="40"/>
        <w:ind w:firstLine="0"/>
        <w:jc w:val="both"/>
      </w:pPr>
      <w:r>
        <w:rPr>
          <w:rFonts w:ascii="Times New Roman" w:hAnsi="Times New Roman" w:cs="Times New Roman" w:eastAsia="Times New Roman"/>
          <w:b/>
          <w:i w:val="0"/>
          <w:sz w:val="24"/>
        </w:rPr>
        <w:t>◈ Arco #28 — Putin-Dugin → Eurasiismo-Estrema destra europea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Aleksandr Dugin come ideologo dell'eurasiismo russo (post-2000). Influenza su Le Pen, Salvini, AfD tedesca, Casa Pound italiana, Jobbik ungherese, Forza Nuova, partiti euroscettici. Caso paradigmatico: il prestito di 9 milioni di euro del FN francese da banca russa nel 2014. Architettura strutturale di filiazione ideologico-finanziaria.</w:t>
      </w:r>
    </w:p>
    <w:p>
      <w:pPr>
        <w:spacing w:line="276" w:lineRule="auto" w:before="0" w:after="40"/>
        <w:ind w:firstLine="425"/>
        <w:jc w:val="both"/>
      </w:pPr>
      <w:r>
        <w:rPr>
          <w:rFonts w:ascii="Times New Roman" w:hAnsi="Times New Roman" w:cs="Times New Roman" w:eastAsia="Times New Roman"/>
          <w:b w:val="0"/>
          <w:i w:val="0"/>
          <w:sz w:val="24"/>
        </w:rPr>
        <w:t>Attori principali: Aleksandr Dugin, Marine Le Pen, Matteo Salvini, Heinz-Christian Strache, Sahra Wagenknecht</w:t>
      </w:r>
    </w:p>
    <w:p>
      <w:pPr>
        <w:spacing w:line="276" w:lineRule="auto" w:before="160" w:after="40"/>
        <w:ind w:firstLine="0"/>
        <w:jc w:val="both"/>
      </w:pPr>
      <w:r>
        <w:rPr>
          <w:rFonts w:ascii="Times New Roman" w:hAnsi="Times New Roman" w:cs="Times New Roman" w:eastAsia="Times New Roman"/>
          <w:b/>
          <w:i w:val="0"/>
          <w:sz w:val="24"/>
        </w:rPr>
        <w:t>◈ Arco #35 — Andreotti-Federici-Giuliano → Portella della Ginestra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Portella della Ginestra (1° maggio 1947): la Banda Giuliano spara sulla folla riunita per la festa del lavoro. 11 morti, 27 feriti. Connessioni MIS-Cosa Nostra-DC siciliana documentate. Caso paradigmatico di strumentalizzazione del banditismo siciliano per finalità politiche elettorali (consultazioni regionali siciliane 1947 come spartiacque).</w:t>
      </w:r>
    </w:p>
    <w:p>
      <w:pPr>
        <w:spacing w:line="276" w:lineRule="auto" w:before="0" w:after="40"/>
        <w:ind w:firstLine="425"/>
        <w:jc w:val="both"/>
      </w:pPr>
      <w:r>
        <w:rPr>
          <w:rFonts w:ascii="Times New Roman" w:hAnsi="Times New Roman" w:cs="Times New Roman" w:eastAsia="Times New Roman"/>
          <w:b w:val="0"/>
          <w:i w:val="0"/>
          <w:sz w:val="24"/>
        </w:rPr>
        <w:t>Attori principali: Salvatore Giuliano, Gaspare Pisciotta, Mario Scelba, Bernardo Mattarella, Calogero Vizzini</w:t>
      </w:r>
    </w:p>
    <w:p>
      <w:pPr>
        <w:spacing w:line="276" w:lineRule="auto" w:before="160" w:after="40"/>
        <w:ind w:firstLine="0"/>
        <w:jc w:val="both"/>
      </w:pPr>
      <w:r>
        <w:rPr>
          <w:rFonts w:ascii="Times New Roman" w:hAnsi="Times New Roman" w:cs="Times New Roman" w:eastAsia="Times New Roman"/>
          <w:b/>
          <w:i w:val="0"/>
          <w:sz w:val="24"/>
        </w:rPr>
        <w:t>◈ Arco #42 — Bologna 1980 → NAR-Servizi inquinati-Banda Magliana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della stazione di Bologna (2 agosto 1980, 85 morti, 200+ feriti). Esecutori condannati definitivamente: Giusva Fioravanti, Francesca Mambro (NAR), Luigi Ciavardini, Gilberto Cavallini. Mandanti: condanne in via di consolidamento per Paolo Bellini, Licio Gelli, Federico Umberto D'Amato, Mario Tedeschi (depistaggio). Caso paradigmatico di servizi inquinati e inquinanti.</w:t>
      </w:r>
    </w:p>
    <w:p>
      <w:pPr>
        <w:spacing w:line="276" w:lineRule="auto" w:before="0" w:after="40"/>
        <w:ind w:firstLine="425"/>
        <w:jc w:val="both"/>
      </w:pPr>
      <w:r>
        <w:rPr>
          <w:rFonts w:ascii="Times New Roman" w:hAnsi="Times New Roman" w:cs="Times New Roman" w:eastAsia="Times New Roman"/>
          <w:b w:val="0"/>
          <w:i w:val="0"/>
          <w:sz w:val="24"/>
        </w:rPr>
        <w:t>Attori principali: Giusva Fioravanti, Francesca Mambro, Licio Gelli, Federico Umberto D'Amato, Paolo Bellini</w:t>
      </w:r>
    </w:p>
    <w:p>
      <w:pPr>
        <w:spacing w:line="276" w:lineRule="auto" w:before="160" w:after="40"/>
        <w:ind w:firstLine="0"/>
        <w:jc w:val="both"/>
      </w:pPr>
      <w:r>
        <w:rPr>
          <w:rFonts w:ascii="Times New Roman" w:hAnsi="Times New Roman" w:cs="Times New Roman" w:eastAsia="Times New Roman"/>
          <w:b/>
          <w:i w:val="0"/>
          <w:sz w:val="24"/>
        </w:rPr>
        <w:t>◈ Arco #43 — Capaci-via D'Amelio 1992 → Riina-Bagarella-Mori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Capaci (23 maggio 1992, Falcone, Morvillo, 3 agenti scorta) e via D'Amelio (19 luglio 1992, Borsellino, 5 agenti scorta). Mandanti: Cupola di Cosa Nostra (Riina, Provenzano, Bagarella, Aglieri). Esecutori: Brusca, Ferro, Galliano, Spatuzza. Trattativa Stato-Mafia come contesto strategico.</w:t>
      </w:r>
    </w:p>
    <w:p>
      <w:pPr>
        <w:spacing w:line="276" w:lineRule="auto" w:before="0" w:after="40"/>
        <w:ind w:firstLine="425"/>
        <w:jc w:val="both"/>
      </w:pPr>
      <w:r>
        <w:rPr>
          <w:rFonts w:ascii="Times New Roman" w:hAnsi="Times New Roman" w:cs="Times New Roman" w:eastAsia="Times New Roman"/>
          <w:b w:val="0"/>
          <w:i w:val="0"/>
          <w:sz w:val="24"/>
        </w:rPr>
        <w:t>Attori principali: Salvatore Riina, Bernardo Provenzano, Leoluca Bagarella, Giovanni Brusca, Gaspare Spatuzza</w:t>
      </w:r>
    </w:p>
    <w:p>
      <w:pPr>
        <w:spacing w:line="276" w:lineRule="auto" w:before="160" w:after="40"/>
        <w:ind w:firstLine="0"/>
        <w:jc w:val="both"/>
      </w:pPr>
      <w:r>
        <w:rPr>
          <w:rFonts w:ascii="Times New Roman" w:hAnsi="Times New Roman" w:cs="Times New Roman" w:eastAsia="Times New Roman"/>
          <w:b/>
          <w:i w:val="0"/>
          <w:sz w:val="24"/>
        </w:rPr>
        <w:t>◈ Arco #51 — Vatican-Opus Dei-CL → Politica italiana (Convergenza)</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Tre reti cattoliche italiane: Opus Dei (Escrivá 1928, prelatura personale 1982), Comunione e Liberazione (Giussani 1954-2005), Focolare (Lubich). Connessioni documentate con: ambiente DC (Andreotti), centrodestra (Berlusconi-Meloni), Wojtyła. Pattern di convergenza Vatican-politica italiana.</w:t>
      </w:r>
    </w:p>
    <w:p>
      <w:pPr>
        <w:spacing w:line="276" w:lineRule="auto" w:before="0" w:after="40"/>
        <w:ind w:firstLine="425"/>
        <w:jc w:val="both"/>
      </w:pPr>
      <w:r>
        <w:rPr>
          <w:rFonts w:ascii="Times New Roman" w:hAnsi="Times New Roman" w:cs="Times New Roman" w:eastAsia="Times New Roman"/>
          <w:b w:val="0"/>
          <w:i w:val="0"/>
          <w:sz w:val="24"/>
        </w:rPr>
        <w:t>Attori principali: Josemaría Escrivá, Luigi Giussani, Chiara Lubich, Karol Wojtyła, Joseph Ratzinger</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PARTE SETTIMA — NODI-EVENTO CORRELATI (ATTRIBUZIONE AUTOMATICA DI LIVELLO C)</w:t>
      </w:r>
    </w:p>
    <w:p>
      <w:pPr>
        <w:spacing w:line="276" w:lineRule="auto" w:before="0" w:after="80"/>
        <w:ind w:firstLine="425"/>
        <w:jc w:val="both"/>
      </w:pPr>
      <w:r>
        <w:rPr>
          <w:rFonts w:ascii="Times New Roman" w:hAnsi="Times New Roman" w:cs="Times New Roman" w:eastAsia="Times New Roman"/>
          <w:b w:val="0"/>
          <w:i w:val="0"/>
          <w:sz w:val="24"/>
        </w:rPr>
        <w:t>I nodi-evento seguenti citano almeno un neurone di questa area; l’ordinamento è cronologico.</w:t>
      </w:r>
    </w:p>
    <w:p>
      <w:pPr>
        <w:spacing w:line="276" w:lineRule="auto" w:before="80" w:after="40"/>
        <w:ind w:firstLine="0"/>
        <w:jc w:val="both"/>
      </w:pPr>
      <w:r>
        <w:rPr>
          <w:rFonts w:ascii="Times New Roman" w:hAnsi="Times New Roman" w:cs="Times New Roman" w:eastAsia="Times New Roman"/>
          <w:b/>
          <w:i w:val="0"/>
          <w:sz w:val="24"/>
        </w:rPr>
        <w:t xml:space="preserve">› Operazione Gladio (ricorrenze multiple): </w:t>
      </w:r>
      <w:r>
        <w:rPr>
          <w:rFonts w:ascii="Times New Roman" w:hAnsi="Times New Roman" w:cs="Times New Roman" w:eastAsia="Times New Roman"/>
          <w:b w:val="0"/>
          <w:i w:val="0"/>
          <w:sz w:val="24"/>
        </w:rPr>
        <w:t>Stay-behind italiana NATO 1956-1990. Andreotti rivelazione 24/10/1990</w:t>
      </w:r>
    </w:p>
    <w:p>
      <w:pPr>
        <w:spacing w:line="276" w:lineRule="auto" w:before="80" w:after="40"/>
        <w:ind w:firstLine="0"/>
        <w:jc w:val="both"/>
      </w:pPr>
      <w:r>
        <w:rPr>
          <w:rFonts w:ascii="Times New Roman" w:hAnsi="Times New Roman" w:cs="Times New Roman" w:eastAsia="Times New Roman"/>
          <w:b/>
          <w:i w:val="0"/>
          <w:sz w:val="24"/>
        </w:rPr>
        <w:t xml:space="preserve">› Omicidio Pecorelli (ricorrenze multiple): </w:t>
      </w:r>
      <w:r>
        <w:rPr>
          <w:rFonts w:ascii="Times New Roman" w:hAnsi="Times New Roman" w:cs="Times New Roman" w:eastAsia="Times New Roman"/>
          <w:b w:val="0"/>
          <w:i w:val="0"/>
          <w:sz w:val="24"/>
        </w:rPr>
        <w:t>20/3/1979 Roma. Andreotti-Cosa Nostra processo Perugia</w:t>
      </w:r>
    </w:p>
    <w:p>
      <w:pPr>
        <w:spacing w:line="276" w:lineRule="auto" w:before="80" w:after="40"/>
        <w:ind w:firstLine="0"/>
        <w:jc w:val="both"/>
      </w:pPr>
      <w:r>
        <w:rPr>
          <w:rFonts w:ascii="Times New Roman" w:hAnsi="Times New Roman" w:cs="Times New Roman" w:eastAsia="Times New Roman"/>
          <w:b/>
          <w:i w:val="0"/>
          <w:sz w:val="24"/>
        </w:rPr>
        <w:t xml:space="preserve">› 2 agosto 1980 (ricorrenze multiple): </w:t>
      </w:r>
      <w:r>
        <w:rPr>
          <w:rFonts w:ascii="Times New Roman" w:hAnsi="Times New Roman" w:cs="Times New Roman" w:eastAsia="Times New Roman"/>
          <w:b w:val="0"/>
          <w:i w:val="0"/>
          <w:sz w:val="24"/>
        </w:rPr>
        <w:t>Strage della stazione di Bologna. NAR-Fioravanti-Mambro, P2-Gelli, D'Amato</w:t>
      </w:r>
    </w:p>
    <w:p>
      <w:pPr>
        <w:spacing w:line="276" w:lineRule="auto" w:before="80" w:after="40"/>
        <w:ind w:firstLine="0"/>
        <w:jc w:val="both"/>
      </w:pPr>
      <w:r>
        <w:rPr>
          <w:rFonts w:ascii="Times New Roman" w:hAnsi="Times New Roman" w:cs="Times New Roman" w:eastAsia="Times New Roman"/>
          <w:b/>
          <w:i w:val="0"/>
          <w:sz w:val="24"/>
        </w:rPr>
        <w:t xml:space="preserve">› 17 marzo 1981 (1+): </w:t>
      </w:r>
      <w:r>
        <w:rPr>
          <w:rFonts w:ascii="Times New Roman" w:hAnsi="Times New Roman" w:cs="Times New Roman" w:eastAsia="Times New Roman"/>
          <w:b w:val="0"/>
          <w:i w:val="0"/>
          <w:sz w:val="24"/>
        </w:rPr>
        <w:t>Sequestro liste P2 a Castiglion Fibocchi. Gelli-Salvini</w:t>
      </w:r>
    </w:p>
    <w:p>
      <w:pPr>
        <w:spacing w:line="276" w:lineRule="auto" w:before="80" w:after="40"/>
        <w:ind w:firstLine="0"/>
        <w:jc w:val="both"/>
      </w:pPr>
      <w:r>
        <w:rPr>
          <w:rFonts w:ascii="Times New Roman" w:hAnsi="Times New Roman" w:cs="Times New Roman" w:eastAsia="Times New Roman"/>
          <w:b/>
          <w:i w:val="0"/>
          <w:sz w:val="24"/>
        </w:rPr>
        <w:t xml:space="preserve">› Loggia P2 (ricorrenze multiple): </w:t>
      </w:r>
      <w:r>
        <w:rPr>
          <w:rFonts w:ascii="Times New Roman" w:hAnsi="Times New Roman" w:cs="Times New Roman" w:eastAsia="Times New Roman"/>
          <w:b w:val="0"/>
          <w:i w:val="0"/>
          <w:sz w:val="24"/>
        </w:rPr>
        <w:t>962 affiliati documentati 1981. Gelli</w:t>
      </w:r>
    </w:p>
    <w:p>
      <w:pPr>
        <w:spacing w:line="276" w:lineRule="auto" w:before="80" w:after="40"/>
        <w:ind w:firstLine="0"/>
        <w:jc w:val="both"/>
      </w:pPr>
      <w:r>
        <w:rPr>
          <w:rFonts w:ascii="Times New Roman" w:hAnsi="Times New Roman" w:cs="Times New Roman" w:eastAsia="Times New Roman"/>
          <w:b/>
          <w:i w:val="0"/>
          <w:sz w:val="24"/>
        </w:rPr>
        <w:t xml:space="preserve">› Maastricht 1992 (1+): </w:t>
      </w:r>
      <w:r>
        <w:rPr>
          <w:rFonts w:ascii="Times New Roman" w:hAnsi="Times New Roman" w:cs="Times New Roman" w:eastAsia="Times New Roman"/>
          <w:b w:val="0"/>
          <w:i w:val="0"/>
          <w:sz w:val="24"/>
        </w:rPr>
        <w:t>UE. Andreotti-Mitterrand-Kohl</w:t>
      </w:r>
    </w:p>
    <w:p>
      <w:pPr>
        <w:spacing w:line="276" w:lineRule="auto" w:before="80" w:after="40"/>
        <w:ind w:firstLine="0"/>
        <w:jc w:val="both"/>
      </w:pPr>
      <w:r>
        <w:rPr>
          <w:rFonts w:ascii="Times New Roman" w:hAnsi="Times New Roman" w:cs="Times New Roman" w:eastAsia="Times New Roman"/>
          <w:b/>
          <w:i w:val="0"/>
          <w:sz w:val="24"/>
        </w:rPr>
        <w:t xml:space="preserve">› SCU (ricorrenze multiple): </w:t>
      </w:r>
      <w:r>
        <w:rPr>
          <w:rFonts w:ascii="Times New Roman" w:hAnsi="Times New Roman" w:cs="Times New Roman" w:eastAsia="Times New Roman"/>
          <w:b w:val="0"/>
          <w:i w:val="0"/>
          <w:sz w:val="24"/>
        </w:rPr>
        <w:t>Sacra Corona Unita pugliese</w:t>
      </w:r>
    </w:p>
    <w:p>
      <w:pPr>
        <w:spacing w:line="276" w:lineRule="auto" w:before="80" w:after="40"/>
        <w:ind w:firstLine="0"/>
        <w:jc w:val="both"/>
      </w:pPr>
      <w:r>
        <w:rPr>
          <w:rFonts w:ascii="Times New Roman" w:hAnsi="Times New Roman" w:cs="Times New Roman" w:eastAsia="Times New Roman"/>
          <w:b/>
          <w:i w:val="0"/>
          <w:sz w:val="24"/>
        </w:rPr>
        <w:t xml:space="preserve">› Triple A (1+): </w:t>
      </w:r>
      <w:r>
        <w:rPr>
          <w:rFonts w:ascii="Times New Roman" w:hAnsi="Times New Roman" w:cs="Times New Roman" w:eastAsia="Times New Roman"/>
          <w:b w:val="0"/>
          <w:i w:val="0"/>
          <w:sz w:val="24"/>
        </w:rPr>
        <w:t>Alianza Anticomunista Argentina López Rega</w:t>
      </w:r>
    </w:p>
    <w:p>
      <w:r>
        <w:rPr>
          <w:rFonts w:ascii="Times New Roman" w:hAnsi="Times New Roman" w:cs="Times New Roman" w:eastAsia="Times New Roman"/>
        </w:rPr>
        <w:br w:type="page"/>
      </w:r>
    </w:p>
    <w:p>
      <w:pPr>
        <w:spacing w:line="276" w:lineRule="auto" w:before="280" w:after="120"/>
        <w:ind w:firstLine="0"/>
        <w:jc w:val="both"/>
      </w:pPr>
      <w:r>
        <w:rPr>
          <w:rFonts w:ascii="Times New Roman" w:hAnsi="Times New Roman" w:cs="Times New Roman" w:eastAsia="Times New Roman"/>
          <w:b/>
          <w:i w:val="0"/>
          <w:sz w:val="24"/>
        </w:rPr>
        <w:t>CHIUSURA — LACUNE E RINVII</w:t>
      </w:r>
    </w:p>
    <w:p>
      <w:pPr>
        <w:spacing w:line="276" w:lineRule="auto" w:before="0" w:after="0"/>
        <w:ind w:firstLine="425"/>
        <w:jc w:val="both"/>
      </w:pPr>
      <w:r>
        <w:rPr>
          <w:rFonts w:ascii="Times New Roman" w:hAnsi="Times New Roman" w:cs="Times New Roman" w:eastAsia="Times New Roman"/>
          <w:b w:val="0"/>
          <w:i w:val="0"/>
          <w:sz w:val="24"/>
        </w:rPr>
        <w:t>La partizione dominiale lascia fuori, per costruzione, ciò che il Registro Integrale non marca: sessantasette nodi-evento non citano alcun neurone censito e restano in attesa del futuro Registro Temporale; i quarantadue Pattern analitici, il Keyword Index e i paragrafi di prosa restano nel Registro Integrale V63; il registro dei nodi-luogo non esiste ancora e costituisce la lacuna strutturale già dichiarata dal censimento generale. La sinaptogenesi sistematica tra le aree — la costruzione degli archi interni ed esterni a questo dominio — appartiene alla fase successiva e attende le istruzioni dell’autore.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