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0"/>
        <w:jc w:val="center"/>
      </w:pPr>
      <w:r>
        <w:rPr>
          <w:rFonts w:ascii="Times New Roman" w:hAnsi="Times New Roman" w:cs="Times New Roman" w:eastAsia="Times New Roman"/>
          <w:b w:val="0"/>
          <w:i w:val="0"/>
          <w:sz w:val="24"/>
        </w:rPr>
      </w:r>
    </w:p>
    <w:p>
      <w:pPr>
        <w:spacing w:line="276" w:lineRule="auto" w:before="0" w:after="0"/>
        <w:ind w:firstLine="0"/>
        <w:jc w:val="center"/>
      </w:pPr>
      <w:r>
        <w:rPr>
          <w:rFonts w:ascii="Times New Roman" w:hAnsi="Times New Roman" w:cs="Times New Roman" w:eastAsia="Times New Roman"/>
          <w:b w:val="0"/>
          <w:i w:val="0"/>
          <w:sz w:val="24"/>
        </w:rPr>
      </w:r>
    </w:p>
    <w:p>
      <w:pPr>
        <w:spacing w:line="276" w:lineRule="auto" w:before="0" w:after="0"/>
        <w:ind w:firstLine="0"/>
        <w:jc w:val="center"/>
      </w:pPr>
      <w:r>
        <w:rPr>
          <w:rFonts w:ascii="Times New Roman" w:hAnsi="Times New Roman" w:cs="Times New Roman" w:eastAsia="Times New Roman"/>
          <w:b w:val="0"/>
          <w:i w:val="0"/>
          <w:sz w:val="24"/>
        </w:rPr>
      </w:r>
    </w:p>
    <w:p>
      <w:pPr>
        <w:spacing w:line="276" w:lineRule="auto" w:before="0" w:after="0"/>
        <w:ind w:firstLine="0"/>
        <w:jc w:val="center"/>
      </w:pPr>
      <w:r>
        <w:rPr>
          <w:rFonts w:ascii="Times New Roman" w:hAnsi="Times New Roman" w:cs="Times New Roman" w:eastAsia="Times New Roman"/>
          <w:b w:val="0"/>
          <w:i w:val="0"/>
          <w:sz w:val="24"/>
        </w:rPr>
      </w:r>
    </w:p>
    <w:p>
      <w:pPr>
        <w:spacing w:line="276" w:lineRule="auto" w:before="0" w:after="0"/>
        <w:ind w:firstLine="0"/>
        <w:jc w:val="center"/>
      </w:pPr>
      <w:r>
        <w:rPr>
          <w:rFonts w:ascii="Times New Roman" w:hAnsi="Times New Roman" w:cs="Times New Roman" w:eastAsia="Times New Roman"/>
          <w:b w:val="0"/>
          <w:i w:val="0"/>
          <w:sz w:val="24"/>
        </w:rPr>
      </w:r>
    </w:p>
    <w:p>
      <w:pPr>
        <w:spacing w:line="276" w:lineRule="auto" w:before="0" w:after="120"/>
        <w:ind w:firstLine="0"/>
        <w:jc w:val="center"/>
      </w:pPr>
      <w:r>
        <w:rPr>
          <w:rFonts w:ascii="Times New Roman" w:hAnsi="Times New Roman" w:cs="Times New Roman" w:eastAsia="Times New Roman"/>
          <w:b/>
          <w:i w:val="0"/>
          <w:sz w:val="32"/>
        </w:rPr>
        <w:t>ITALIA NERA</w:t>
      </w:r>
    </w:p>
    <w:p>
      <w:pPr>
        <w:spacing w:line="276" w:lineRule="auto" w:before="0" w:after="360"/>
        <w:ind w:firstLine="0"/>
        <w:jc w:val="center"/>
      </w:pPr>
      <w:r>
        <w:rPr>
          <w:rFonts w:ascii="Times New Roman" w:hAnsi="Times New Roman" w:cs="Times New Roman" w:eastAsia="Times New Roman"/>
          <w:b w:val="0"/>
          <w:i/>
          <w:sz w:val="24"/>
        </w:rPr>
        <w:t>Registro Analitico delle Reti Informali Transnazionali</w:t>
      </w:r>
    </w:p>
    <w:p>
      <w:pPr>
        <w:spacing w:line="276" w:lineRule="auto" w:before="0" w:after="80"/>
        <w:ind w:firstLine="0"/>
        <w:jc w:val="center"/>
      </w:pPr>
      <w:r>
        <w:rPr>
          <w:rFonts w:ascii="Times New Roman" w:hAnsi="Times New Roman" w:cs="Times New Roman" w:eastAsia="Times New Roman"/>
          <w:b/>
          <w:i w:val="0"/>
          <w:sz w:val="28"/>
        </w:rPr>
        <w:t>REGISTRO DOMINIALE</w:t>
      </w:r>
    </w:p>
    <w:p>
      <w:pPr>
        <w:spacing w:line="276" w:lineRule="auto" w:before="0" w:after="200"/>
        <w:ind w:firstLine="0"/>
        <w:jc w:val="center"/>
      </w:pPr>
      <w:r>
        <w:rPr>
          <w:rFonts w:ascii="Times New Roman" w:hAnsi="Times New Roman" w:cs="Times New Roman" w:eastAsia="Times New Roman"/>
          <w:b/>
          <w:i w:val="0"/>
          <w:sz w:val="26"/>
        </w:rPr>
        <w:t>DOMINIO 8 — MEDIA E CONTROLLO DELL'INFORMAZIONE</w:t>
      </w:r>
    </w:p>
    <w:p>
      <w:pPr>
        <w:spacing w:line="276" w:lineRule="auto" w:before="0" w:after="480"/>
        <w:ind w:firstLine="0"/>
        <w:jc w:val="center"/>
      </w:pPr>
      <w:r>
        <w:rPr>
          <w:rFonts w:ascii="Times New Roman" w:hAnsi="Times New Roman" w:cs="Times New Roman" w:eastAsia="Times New Roman"/>
          <w:b w:val="0"/>
          <w:i/>
          <w:sz w:val="22"/>
        </w:rPr>
        <w:t>Area cerebrale D8 della struttura neuronale dell’opera — partizione del Registro Integrale V63</w:t>
      </w:r>
    </w:p>
    <w:p>
      <w:pPr>
        <w:spacing w:line="276" w:lineRule="auto" w:before="0" w:after="80"/>
        <w:ind w:firstLine="0"/>
        <w:jc w:val="center"/>
      </w:pPr>
      <w:r>
        <w:rPr>
          <w:rFonts w:ascii="Times New Roman" w:hAnsi="Times New Roman" w:cs="Times New Roman" w:eastAsia="Times New Roman"/>
          <w:b/>
          <w:i w:val="0"/>
          <w:sz w:val="24"/>
        </w:rPr>
        <w:t>Luigi De Michele</w:t>
      </w:r>
    </w:p>
    <w:p>
      <w:pPr>
        <w:spacing w:line="276" w:lineRule="auto" w:before="0" w:after="0"/>
        <w:ind w:firstLine="0"/>
        <w:jc w:val="center"/>
      </w:pPr>
      <w:r>
        <w:rPr>
          <w:rFonts w:ascii="Times New Roman" w:hAnsi="Times New Roman" w:cs="Times New Roman" w:eastAsia="Times New Roman"/>
          <w:b w:val="0"/>
          <w:i w:val="0"/>
          <w:sz w:val="24"/>
        </w:rPr>
        <w:t>Due agosto duemilaventisei</w:t>
      </w:r>
    </w:p>
    <w:p>
      <w:r>
        <w:rPr>
          <w:rFonts w:ascii="Times New Roman" w:hAnsi="Times New Roman" w:cs="Times New Roman" w:eastAsia="Times New Roman"/>
        </w:rPr>
        <w:br w:type="page"/>
      </w:r>
    </w:p>
    <w:p>
      <w:pPr>
        <w:spacing w:line="276" w:lineRule="auto" w:before="280" w:after="120"/>
        <w:ind w:firstLine="0"/>
        <w:jc w:val="both"/>
      </w:pPr>
      <w:r>
        <w:rPr>
          <w:rFonts w:ascii="Times New Roman" w:hAnsi="Times New Roman" w:cs="Times New Roman" w:eastAsia="Times New Roman"/>
          <w:b/>
          <w:i w:val="0"/>
          <w:sz w:val="24"/>
        </w:rPr>
        <w:t>PARTE PRIMA — STATUTO DEL REGISTRO DOMINIALE</w:t>
      </w:r>
    </w:p>
    <w:p>
      <w:pPr>
        <w:spacing w:line="276" w:lineRule="auto" w:before="0" w:after="80"/>
        <w:ind w:firstLine="425"/>
        <w:jc w:val="both"/>
      </w:pPr>
      <w:r>
        <w:rPr>
          <w:rFonts w:ascii="Times New Roman" w:hAnsi="Times New Roman" w:cs="Times New Roman" w:eastAsia="Times New Roman"/>
          <w:b w:val="0"/>
          <w:i w:val="0"/>
          <w:sz w:val="24"/>
        </w:rPr>
        <w:t>Il presente documento costituisce il Registro Dominiale del Dominio 8 — media e controllo dell'informazione, ossia l’area cerebrale D8 della struttura neuronale dell’opera, secondo la corrispondenza fissata dalla metodologia vigente: ciascun nodo è un neurone, i Domini di Potere sono le aree o moduli cerebrali, gli archi tipizzati sono le sinapsi, incluse quelle che attraversano aree differenti. Il documento nasce dall’applicazione del modello di censimento al Registro Integrale V63 nella versione Word autentica consegnata dall’autore in data odierna, dalla quale sono state estratte programmaticamente tutte le schede-nodo, deduplicate conservando per ciascun nodo la scheda più estesa tra le ricorrenze cumulative delle edizioni preservate, e ripartite per dominio di appartenenza primario, inteso come il primo dominio della marcatura di ciascuna scheda.</w:t>
      </w:r>
    </w:p>
    <w:p>
      <w:pPr>
        <w:spacing w:line="276" w:lineRule="auto" w:before="0" w:after="80"/>
        <w:ind w:firstLine="425"/>
        <w:jc w:val="both"/>
      </w:pPr>
      <w:r>
        <w:rPr>
          <w:rFonts w:ascii="Times New Roman" w:hAnsi="Times New Roman" w:cs="Times New Roman" w:eastAsia="Times New Roman"/>
          <w:b w:val="0"/>
          <w:i w:val="0"/>
          <w:sz w:val="24"/>
        </w:rPr>
        <w:t>Dal Registro Integrale sono state estratte complessivamente quattrocentocinquantacinque schede di nodo-persona uniche, duecentoundici schede di nodo-organizzazione uniche, duecento nodi-evento unici della cronologia marcata e cinquantasei archi cross-section unici. Al presente dominio afferiscono sette nodi-persona a dominanza primaria e quattro nodi-persona in proiezione da altri domini, ossia neuroni la cui dominanza primaria risiede altrove ma che la marcatura registra come attivi anche in questa area; zero nodi-organizzazione a dominanza primaria e cinque in proiezione; sei sinapsi cross-section afferenti e tredici nodi-evento correlati. La nozione di proiezione traduce nel lessico neuronale il concetto di rete multilivello: lo stesso neurone esiste simultaneamente su più strati e le sue schede sono qui riprodotte integralmente affinché ogni Registro Dominiale sia autosufficiente.</w:t>
      </w:r>
    </w:p>
    <w:p>
      <w:pPr>
        <w:spacing w:line="276" w:lineRule="auto" w:before="0" w:after="80"/>
        <w:ind w:firstLine="425"/>
        <w:jc w:val="both"/>
      </w:pPr>
      <w:r>
        <w:rPr>
          <w:rFonts w:ascii="Times New Roman" w:hAnsi="Times New Roman" w:cs="Times New Roman" w:eastAsia="Times New Roman"/>
          <w:b w:val="0"/>
          <w:i w:val="0"/>
          <w:sz w:val="24"/>
        </w:rPr>
        <w:t>Lo statuto probatorio è quello dell’opera e non subisce eccezioni: ogni scheda conserva la classificazione Savona attribuita nella loro sede d’origine, riportata accanto a ciascun nome. Fanno eccezione dichiarata le due sezioni di attribuzione automatica: le sinapsi cross-section e i nodi-evento sono privi di marcatura di dominio nel Registro Integrale e sono stati assegnati a questa area mediante appaiamento lessicale tra il loro testo e il roster dei neuroni del dominio; tale attribuzione è per definizione di Livello C, è falsificabile scheda per scheda, e la promozione di livello passa soltanto per il vaglio umano dell’autore. Le schede sono riprodotte verbatim in ossequio al principio di cumulatività preservativa; i Pattern analitici e i paragrafi di prosa restano nel Registro Integrale, cui questo documento rinvia.</w:t>
      </w:r>
    </w:p>
    <w:p>
      <w:r>
        <w:rPr>
          <w:rFonts w:ascii="Times New Roman" w:hAnsi="Times New Roman" w:cs="Times New Roman" w:eastAsia="Times New Roman"/>
        </w:rPr>
        <w:br w:type="page"/>
      </w:r>
    </w:p>
    <w:p>
      <w:pPr>
        <w:spacing w:line="276" w:lineRule="auto" w:before="280" w:after="120"/>
        <w:ind w:firstLine="0"/>
        <w:jc w:val="both"/>
      </w:pPr>
      <w:r>
        <w:rPr>
          <w:rFonts w:ascii="Times New Roman" w:hAnsi="Times New Roman" w:cs="Times New Roman" w:eastAsia="Times New Roman"/>
          <w:b/>
          <w:i w:val="0"/>
          <w:sz w:val="24"/>
        </w:rPr>
        <w:t>PARTE SECONDA — NODI-PERSONA A DOMINANZA PRIMARIA</w:t>
      </w:r>
    </w:p>
    <w:p>
      <w:pPr>
        <w:spacing w:line="276" w:lineRule="auto" w:before="160" w:after="40"/>
        <w:ind w:firstLine="0"/>
        <w:jc w:val="both"/>
      </w:pPr>
      <w:r>
        <w:rPr>
          <w:rFonts w:ascii="Times New Roman" w:hAnsi="Times New Roman" w:cs="Times New Roman" w:eastAsia="Times New Roman"/>
          <w:b/>
          <w:i w:val="0"/>
          <w:sz w:val="24"/>
        </w:rPr>
        <w:t>▶ Enzo Biagi</w:t>
      </w:r>
      <w:r>
        <w:rPr>
          <w:rFonts w:ascii="Times New Roman" w:hAnsi="Times New Roman" w:cs="Times New Roman" w:eastAsia="Times New Roman"/>
          <w:b w:val="0"/>
          <w:i w:val="0"/>
          <w:sz w:val="24"/>
        </w:rPr>
        <w:t xml:space="preserve">  [D8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Pianaccio 1920 – Milano 2007. Giornalista. Editto Bulgaro di Berlusconi (2002) per le sue inchieste.</w:t>
      </w:r>
    </w:p>
    <w:p>
      <w:pPr>
        <w:spacing w:line="276" w:lineRule="auto" w:before="0" w:after="40"/>
        <w:ind w:firstLine="425"/>
        <w:jc w:val="both"/>
      </w:pPr>
      <w:r>
        <w:rPr>
          <w:rFonts w:ascii="Times New Roman" w:hAnsi="Times New Roman" w:cs="Times New Roman" w:eastAsia="Times New Roman"/>
          <w:b w:val="0"/>
          <w:i w:val="0"/>
          <w:sz w:val="24"/>
        </w:rPr>
        <w:t>Connessioni: RAI, editto bulgaro</w:t>
      </w:r>
    </w:p>
    <w:p>
      <w:pPr>
        <w:spacing w:line="276" w:lineRule="auto" w:before="160" w:after="40"/>
        <w:ind w:firstLine="0"/>
        <w:jc w:val="both"/>
      </w:pPr>
      <w:r>
        <w:rPr>
          <w:rFonts w:ascii="Times New Roman" w:hAnsi="Times New Roman" w:cs="Times New Roman" w:eastAsia="Times New Roman"/>
          <w:b/>
          <w:i w:val="0"/>
          <w:sz w:val="24"/>
        </w:rPr>
        <w:t>▶ Carlo Casalegno</w:t>
      </w:r>
      <w:r>
        <w:rPr>
          <w:rFonts w:ascii="Times New Roman" w:hAnsi="Times New Roman" w:cs="Times New Roman" w:eastAsia="Times New Roman"/>
          <w:b w:val="0"/>
          <w:i w:val="0"/>
          <w:sz w:val="24"/>
        </w:rPr>
        <w:t xml:space="preserve">  [D8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Torino 1916 – Torino 29 novembre 1977. Vicedirettore de La Stampa. Assassinato dalle BR il 29 novembre 1977 a Torino.</w:t>
      </w:r>
    </w:p>
    <w:p>
      <w:pPr>
        <w:spacing w:line="276" w:lineRule="auto" w:before="0" w:after="40"/>
        <w:ind w:firstLine="425"/>
        <w:jc w:val="both"/>
      </w:pPr>
      <w:r>
        <w:rPr>
          <w:rFonts w:ascii="Times New Roman" w:hAnsi="Times New Roman" w:cs="Times New Roman" w:eastAsia="Times New Roman"/>
          <w:b w:val="0"/>
          <w:i w:val="0"/>
          <w:sz w:val="24"/>
        </w:rPr>
        <w:t>Connessioni: La Stampa, BR</w:t>
      </w:r>
    </w:p>
    <w:p>
      <w:pPr>
        <w:spacing w:line="276" w:lineRule="auto" w:before="160" w:after="40"/>
        <w:ind w:firstLine="0"/>
        <w:jc w:val="both"/>
      </w:pPr>
      <w:r>
        <w:rPr>
          <w:rFonts w:ascii="Times New Roman" w:hAnsi="Times New Roman" w:cs="Times New Roman" w:eastAsia="Times New Roman"/>
          <w:b/>
          <w:i w:val="0"/>
          <w:sz w:val="24"/>
        </w:rPr>
        <w:t>▶ Mauro De Mauro</w:t>
      </w:r>
      <w:r>
        <w:rPr>
          <w:rFonts w:ascii="Times New Roman" w:hAnsi="Times New Roman" w:cs="Times New Roman" w:eastAsia="Times New Roman"/>
          <w:b w:val="0"/>
          <w:i w:val="0"/>
          <w:sz w:val="24"/>
        </w:rPr>
        <w:t xml:space="preserve">  [D8 D1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Foggia 1921 – Palermo 16 settembre 1970. Giornalista de L'Ora di Palermo. Indagine su Cosa Nostra-Mattei. Sequestrato e ucciso da Cosa Nostra il 16 settembre 1970. Caso ancora aperto.</w:t>
      </w:r>
    </w:p>
    <w:p>
      <w:pPr>
        <w:spacing w:line="276" w:lineRule="auto" w:before="0" w:after="40"/>
        <w:ind w:firstLine="425"/>
        <w:jc w:val="both"/>
      </w:pPr>
      <w:r>
        <w:rPr>
          <w:rFonts w:ascii="Times New Roman" w:hAnsi="Times New Roman" w:cs="Times New Roman" w:eastAsia="Times New Roman"/>
          <w:b w:val="0"/>
          <w:i w:val="0"/>
          <w:sz w:val="24"/>
        </w:rPr>
        <w:t>Connessioni: L'Ora, Cosa Nostra, Mattei (B), giornalismo investigativo</w:t>
      </w:r>
    </w:p>
    <w:p>
      <w:pPr>
        <w:spacing w:line="276" w:lineRule="auto" w:before="160" w:after="40"/>
        <w:ind w:firstLine="0"/>
        <w:jc w:val="both"/>
      </w:pPr>
      <w:r>
        <w:rPr>
          <w:rFonts w:ascii="Times New Roman" w:hAnsi="Times New Roman" w:cs="Times New Roman" w:eastAsia="Times New Roman"/>
          <w:b/>
          <w:i w:val="0"/>
          <w:sz w:val="24"/>
        </w:rPr>
        <w:t>▶ Indro Montanelli</w:t>
      </w:r>
      <w:r>
        <w:rPr>
          <w:rFonts w:ascii="Times New Roman" w:hAnsi="Times New Roman" w:cs="Times New Roman" w:eastAsia="Times New Roman"/>
          <w:b w:val="0"/>
          <w:i w:val="0"/>
          <w:sz w:val="24"/>
        </w:rPr>
        <w:t xml:space="preserve">  [D8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Fucecchio 1909 – Milano 2001. Direttore de Il Giornale. Destinatario delle schede della Commissione Antimafia (1988).</w:t>
      </w:r>
    </w:p>
    <w:p>
      <w:pPr>
        <w:spacing w:line="276" w:lineRule="auto" w:before="0" w:after="40"/>
        <w:ind w:firstLine="425"/>
        <w:jc w:val="both"/>
      </w:pPr>
      <w:r>
        <w:rPr>
          <w:rFonts w:ascii="Times New Roman" w:hAnsi="Times New Roman" w:cs="Times New Roman" w:eastAsia="Times New Roman"/>
          <w:b w:val="0"/>
          <w:i w:val="0"/>
          <w:sz w:val="24"/>
        </w:rPr>
        <w:t>Connessioni: Il Giornale, schede 1988</w:t>
      </w:r>
    </w:p>
    <w:p>
      <w:pPr>
        <w:spacing w:line="276" w:lineRule="auto" w:before="160" w:after="40"/>
        <w:ind w:firstLine="0"/>
        <w:jc w:val="both"/>
      </w:pPr>
      <w:r>
        <w:rPr>
          <w:rFonts w:ascii="Times New Roman" w:hAnsi="Times New Roman" w:cs="Times New Roman" w:eastAsia="Times New Roman"/>
          <w:b/>
          <w:i w:val="0"/>
          <w:sz w:val="24"/>
        </w:rPr>
        <w:t>▶ Mino Pecorelli</w:t>
      </w:r>
      <w:r>
        <w:rPr>
          <w:rFonts w:ascii="Times New Roman" w:hAnsi="Times New Roman" w:cs="Times New Roman" w:eastAsia="Times New Roman"/>
          <w:b w:val="0"/>
          <w:i w:val="0"/>
          <w:sz w:val="24"/>
        </w:rPr>
        <w:t xml:space="preserve">  [D8 D4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Sessano del Molise 1928 – Roma 20 marzo 1979. Giornalista. Direttore di OP (Osservatore Politico). Iscritto P2. Assassinato il 20 marzo 1979 a Roma. Imputati Andreotti, Pippo Calò, Massimo Carminati: assolti in via definitiva (Cassazione 2003) per insufficienza di prove.</w:t>
      </w:r>
    </w:p>
    <w:p>
      <w:pPr>
        <w:spacing w:line="276" w:lineRule="auto" w:before="0" w:after="40"/>
        <w:ind w:firstLine="425"/>
        <w:jc w:val="both"/>
      </w:pPr>
      <w:r>
        <w:rPr>
          <w:rFonts w:ascii="Times New Roman" w:hAnsi="Times New Roman" w:cs="Times New Roman" w:eastAsia="Times New Roman"/>
          <w:b w:val="0"/>
          <w:i w:val="0"/>
          <w:sz w:val="24"/>
        </w:rPr>
        <w:t>Connessioni: OP, P2, Andreotti (proc.), Calò, Carminati ⊕</w:t>
      </w:r>
    </w:p>
    <w:p>
      <w:pPr>
        <w:spacing w:line="276" w:lineRule="auto" w:before="160" w:after="40"/>
        <w:ind w:firstLine="0"/>
        <w:jc w:val="both"/>
      </w:pPr>
      <w:r>
        <w:rPr>
          <w:rFonts w:ascii="Times New Roman" w:hAnsi="Times New Roman" w:cs="Times New Roman" w:eastAsia="Times New Roman"/>
          <w:b/>
          <w:i w:val="0"/>
          <w:sz w:val="24"/>
        </w:rPr>
        <w:t>▶ Michele Santoro</w:t>
      </w:r>
      <w:r>
        <w:rPr>
          <w:rFonts w:ascii="Times New Roman" w:hAnsi="Times New Roman" w:cs="Times New Roman" w:eastAsia="Times New Roman"/>
          <w:b w:val="0"/>
          <w:i w:val="0"/>
          <w:sz w:val="24"/>
        </w:rPr>
        <w:t xml:space="preserve">  [D8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Salerno 1951. Giornalista. Audito dalla Commissione Mitrokhin per le sue inchieste su BR-Iperíon.</w:t>
      </w:r>
    </w:p>
    <w:p>
      <w:pPr>
        <w:spacing w:line="276" w:lineRule="auto" w:before="0" w:after="40"/>
        <w:ind w:firstLine="425"/>
        <w:jc w:val="both"/>
      </w:pPr>
      <w:r>
        <w:rPr>
          <w:rFonts w:ascii="Times New Roman" w:hAnsi="Times New Roman" w:cs="Times New Roman" w:eastAsia="Times New Roman"/>
          <w:b w:val="0"/>
          <w:i w:val="0"/>
          <w:sz w:val="24"/>
        </w:rPr>
        <w:t>Connessioni: Samarcanda, Servizio Pubblico</w:t>
      </w:r>
    </w:p>
    <w:p>
      <w:pPr>
        <w:spacing w:line="276" w:lineRule="auto" w:before="160" w:after="40"/>
        <w:ind w:firstLine="0"/>
        <w:jc w:val="both"/>
      </w:pPr>
      <w:r>
        <w:rPr>
          <w:rFonts w:ascii="Times New Roman" w:hAnsi="Times New Roman" w:cs="Times New Roman" w:eastAsia="Times New Roman"/>
          <w:b/>
          <w:i w:val="0"/>
          <w:sz w:val="24"/>
        </w:rPr>
        <w:t>▶ Walter Tobagi</w:t>
      </w:r>
      <w:r>
        <w:rPr>
          <w:rFonts w:ascii="Times New Roman" w:hAnsi="Times New Roman" w:cs="Times New Roman" w:eastAsia="Times New Roman"/>
          <w:b w:val="0"/>
          <w:i w:val="0"/>
          <w:sz w:val="24"/>
        </w:rPr>
        <w:t xml:space="preserve">  [D8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Spoleto 1947 – Milano 28 maggio 1980. Giornalista del Corriere della Sera. Assassinato a Milano dalla Brigata XXVIII Marzo (gruppo BR).</w:t>
      </w:r>
    </w:p>
    <w:p>
      <w:pPr>
        <w:spacing w:line="276" w:lineRule="auto" w:before="0" w:after="40"/>
        <w:ind w:firstLine="425"/>
        <w:jc w:val="both"/>
      </w:pPr>
      <w:r>
        <w:rPr>
          <w:rFonts w:ascii="Times New Roman" w:hAnsi="Times New Roman" w:cs="Times New Roman" w:eastAsia="Times New Roman"/>
          <w:b w:val="0"/>
          <w:i w:val="0"/>
          <w:sz w:val="24"/>
        </w:rPr>
        <w:t>Connessioni: Corriere della Sera, BR-XXVIII Marzo</w:t>
      </w:r>
    </w:p>
    <w:p>
      <w:r>
        <w:rPr>
          <w:rFonts w:ascii="Times New Roman" w:hAnsi="Times New Roman" w:cs="Times New Roman" w:eastAsia="Times New Roman"/>
        </w:rPr>
        <w:br w:type="page"/>
      </w:r>
    </w:p>
    <w:p>
      <w:pPr>
        <w:spacing w:line="276" w:lineRule="auto" w:before="280" w:after="120"/>
        <w:ind w:firstLine="0"/>
        <w:jc w:val="both"/>
      </w:pPr>
      <w:r>
        <w:rPr>
          <w:rFonts w:ascii="Times New Roman" w:hAnsi="Times New Roman" w:cs="Times New Roman" w:eastAsia="Times New Roman"/>
          <w:b/>
          <w:i w:val="0"/>
          <w:sz w:val="24"/>
        </w:rPr>
        <w:t>PARTE TERZA — NODI-PERSONA IN PROIEZIONE DA ALTRI DOMINI</w:t>
      </w:r>
    </w:p>
    <w:p>
      <w:pPr>
        <w:spacing w:line="276" w:lineRule="auto" w:before="160" w:after="40"/>
        <w:ind w:firstLine="0"/>
        <w:jc w:val="both"/>
      </w:pPr>
      <w:r>
        <w:rPr>
          <w:rFonts w:ascii="Times New Roman" w:hAnsi="Times New Roman" w:cs="Times New Roman" w:eastAsia="Times New Roman"/>
          <w:b/>
          <w:i w:val="0"/>
          <w:sz w:val="24"/>
        </w:rPr>
        <w:t>▶ Donald Trump</w:t>
      </w:r>
      <w:r>
        <w:rPr>
          <w:rFonts w:ascii="Times New Roman" w:hAnsi="Times New Roman" w:cs="Times New Roman" w:eastAsia="Times New Roman"/>
          <w:b/>
          <w:i w:val="0"/>
          <w:sz w:val="24"/>
        </w:rPr>
        <w:t xml:space="preserve">  [CARD]</w:t>
      </w:r>
      <w:r>
        <w:rPr>
          <w:rFonts w:ascii="Times New Roman" w:hAnsi="Times New Roman" w:cs="Times New Roman" w:eastAsia="Times New Roman"/>
          <w:b w:val="0"/>
          <w:i w:val="0"/>
          <w:sz w:val="24"/>
        </w:rPr>
        <w:t xml:space="preserve">  [D2 D6 D8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D2</w:t>
      </w:r>
    </w:p>
    <w:p>
      <w:pPr>
        <w:spacing w:line="276" w:lineRule="auto" w:before="0" w:after="40"/>
        <w:ind w:firstLine="425"/>
        <w:jc w:val="both"/>
      </w:pPr>
      <w:r>
        <w:rPr>
          <w:rFonts w:ascii="Times New Roman" w:hAnsi="Times New Roman" w:cs="Times New Roman" w:eastAsia="Times New Roman"/>
          <w:b w:val="0"/>
          <w:i w:val="0"/>
          <w:sz w:val="24"/>
        </w:rPr>
        <w:t>Queens 1946. Imprenditore immobiliare. Presidente USA (2017-2021, 2025-). Architetto del MAGA-trumpismo. Tentato golpe del 6 gennaio 2021 (Capitol Hill). Quattro processi penali. Rieletto novembre 2024. Insediato 20 gennaio 2025. Politiche contro Iran-Venezuela-Canale Panama. Tariff War 2025.</w:t>
      </w:r>
    </w:p>
    <w:p>
      <w:pPr>
        <w:spacing w:line="276" w:lineRule="auto" w:before="0" w:after="40"/>
        <w:ind w:firstLine="425"/>
        <w:jc w:val="both"/>
      </w:pPr>
      <w:r>
        <w:rPr>
          <w:rFonts w:ascii="Times New Roman" w:hAnsi="Times New Roman" w:cs="Times New Roman" w:eastAsia="Times New Roman"/>
          <w:b w:val="0"/>
          <w:i w:val="0"/>
          <w:sz w:val="24"/>
        </w:rPr>
        <w:t>Connessioni: MAGA, GOP, 6 gennaio 2021, Mussolini-mode (B) ⊕</w:t>
      </w:r>
    </w:p>
    <w:p>
      <w:pPr>
        <w:spacing w:line="276" w:lineRule="auto" w:before="160" w:after="40"/>
        <w:ind w:firstLine="0"/>
        <w:jc w:val="both"/>
      </w:pPr>
      <w:r>
        <w:rPr>
          <w:rFonts w:ascii="Times New Roman" w:hAnsi="Times New Roman" w:cs="Times New Roman" w:eastAsia="Times New Roman"/>
          <w:b/>
          <w:i w:val="0"/>
          <w:sz w:val="24"/>
        </w:rPr>
        <w:t>▶ Michel Aflaq</w:t>
      </w:r>
      <w:r>
        <w:rPr>
          <w:rFonts w:ascii="Times New Roman" w:hAnsi="Times New Roman" w:cs="Times New Roman" w:eastAsia="Times New Roman"/>
          <w:b w:val="0"/>
          <w:i w:val="0"/>
          <w:sz w:val="24"/>
        </w:rPr>
        <w:t xml:space="preserve">  [D2 D8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D2</w:t>
      </w:r>
    </w:p>
    <w:p>
      <w:pPr>
        <w:spacing w:line="276" w:lineRule="auto" w:before="0" w:after="40"/>
        <w:ind w:firstLine="425"/>
        <w:jc w:val="both"/>
      </w:pPr>
      <w:r>
        <w:rPr>
          <w:rFonts w:ascii="Times New Roman" w:hAnsi="Times New Roman" w:cs="Times New Roman" w:eastAsia="Times New Roman"/>
          <w:b w:val="0"/>
          <w:i w:val="0"/>
          <w:sz w:val="24"/>
        </w:rPr>
        <w:t>Damasco 1910 – Parigi 1989. Filosofo cristiano siriano. Cofondatore del Partito Ba'ath (1947). Ideologo del panarabismo nazionalsocialista. Trasferito in Iraq (1968), morì sotto Saddam.</w:t>
      </w:r>
    </w:p>
    <w:p>
      <w:pPr>
        <w:spacing w:line="276" w:lineRule="auto" w:before="0" w:after="40"/>
        <w:ind w:firstLine="425"/>
        <w:jc w:val="both"/>
      </w:pPr>
      <w:r>
        <w:rPr>
          <w:rFonts w:ascii="Times New Roman" w:hAnsi="Times New Roman" w:cs="Times New Roman" w:eastAsia="Times New Roman"/>
          <w:b w:val="0"/>
          <w:i w:val="0"/>
          <w:sz w:val="24"/>
        </w:rPr>
        <w:t>Connessioni: Ba'ath, Saddam, panarabismo</w:t>
      </w:r>
    </w:p>
    <w:p>
      <w:pPr>
        <w:spacing w:line="276" w:lineRule="auto" w:before="160" w:after="40"/>
        <w:ind w:firstLine="0"/>
        <w:jc w:val="both"/>
      </w:pPr>
      <w:r>
        <w:rPr>
          <w:rFonts w:ascii="Times New Roman" w:hAnsi="Times New Roman" w:cs="Times New Roman" w:eastAsia="Times New Roman"/>
          <w:b/>
          <w:i w:val="0"/>
          <w:sz w:val="24"/>
        </w:rPr>
        <w:t>▶ Steve Bannon</w:t>
      </w:r>
      <w:r>
        <w:rPr>
          <w:rFonts w:ascii="Times New Roman" w:hAnsi="Times New Roman" w:cs="Times New Roman" w:eastAsia="Times New Roman"/>
          <w:b w:val="0"/>
          <w:i w:val="0"/>
          <w:sz w:val="24"/>
        </w:rPr>
        <w:t xml:space="preserve">  [D2 D8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D2</w:t>
      </w:r>
    </w:p>
    <w:p>
      <w:pPr>
        <w:spacing w:line="276" w:lineRule="auto" w:before="0" w:after="40"/>
        <w:ind w:firstLine="425"/>
        <w:jc w:val="both"/>
      </w:pPr>
      <w:r>
        <w:rPr>
          <w:rFonts w:ascii="Times New Roman" w:hAnsi="Times New Roman" w:cs="Times New Roman" w:eastAsia="Times New Roman"/>
          <w:b w:val="0"/>
          <w:i w:val="0"/>
          <w:sz w:val="24"/>
        </w:rPr>
        <w:t>Norfolk 1953. Stratega trumpiano. Breitbart News. Architetto del MAGA. Ideologo della destra populista globale (Le Cercle moderna).</w:t>
      </w:r>
    </w:p>
    <w:p>
      <w:pPr>
        <w:spacing w:line="276" w:lineRule="auto" w:before="0" w:after="40"/>
        <w:ind w:firstLine="425"/>
        <w:jc w:val="both"/>
      </w:pPr>
      <w:r>
        <w:rPr>
          <w:rFonts w:ascii="Times New Roman" w:hAnsi="Times New Roman" w:cs="Times New Roman" w:eastAsia="Times New Roman"/>
          <w:b w:val="0"/>
          <w:i w:val="0"/>
          <w:sz w:val="24"/>
        </w:rPr>
        <w:t>Connessioni: Breitbart, MAGA, ideologia globale</w:t>
      </w:r>
    </w:p>
    <w:p>
      <w:pPr>
        <w:spacing w:line="276" w:lineRule="auto" w:before="160" w:after="40"/>
        <w:ind w:firstLine="0"/>
        <w:jc w:val="both"/>
      </w:pPr>
      <w:r>
        <w:rPr>
          <w:rFonts w:ascii="Times New Roman" w:hAnsi="Times New Roman" w:cs="Times New Roman" w:eastAsia="Times New Roman"/>
          <w:b/>
          <w:i w:val="0"/>
          <w:sz w:val="24"/>
        </w:rPr>
        <w:t>▶ Guido Giannettini</w:t>
      </w:r>
      <w:r>
        <w:rPr>
          <w:rFonts w:ascii="Times New Roman" w:hAnsi="Times New Roman" w:cs="Times New Roman" w:eastAsia="Times New Roman"/>
          <w:b w:val="0"/>
          <w:i w:val="0"/>
          <w:sz w:val="24"/>
        </w:rPr>
        <w:t xml:space="preserve">  [D3 D7 D8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D3</w:t>
      </w:r>
    </w:p>
    <w:p>
      <w:pPr>
        <w:spacing w:line="276" w:lineRule="auto" w:before="0" w:after="40"/>
        <w:ind w:firstLine="425"/>
        <w:jc w:val="both"/>
      </w:pPr>
      <w:r>
        <w:rPr>
          <w:rFonts w:ascii="Times New Roman" w:hAnsi="Times New Roman" w:cs="Times New Roman" w:eastAsia="Times New Roman"/>
          <w:b w:val="0"/>
          <w:i w:val="0"/>
          <w:sz w:val="24"/>
        </w:rPr>
        <w:t>Roma 1930 – Roma 2004. Funzionario SID (matricola 5301), giornalista. Penetrazione nei movimenti neofascisti per conto del Reparto D di Maletti. Autore di opuscoli anticomunisti finanziati dai servizi. Collegamento con Ordine Nuovo, Aginter Press di Guérin-Sérac, rete spagnola franchista. 96 occorrenze in INTERO_COM 52.</w:t>
      </w:r>
    </w:p>
    <w:p>
      <w:pPr>
        <w:spacing w:line="276" w:lineRule="auto" w:before="0" w:after="40"/>
        <w:ind w:firstLine="425"/>
        <w:jc w:val="both"/>
      </w:pPr>
      <w:r>
        <w:rPr>
          <w:rFonts w:ascii="Times New Roman" w:hAnsi="Times New Roman" w:cs="Times New Roman" w:eastAsia="Times New Roman"/>
          <w:b w:val="0"/>
          <w:i w:val="0"/>
          <w:sz w:val="24"/>
        </w:rPr>
        <w:t>Connessioni: SID-Maletti, Ordine Nuovo, Aginter, Spagna ⊕</w:t>
      </w:r>
    </w:p>
    <w:p>
      <w:r>
        <w:rPr>
          <w:rFonts w:ascii="Times New Roman" w:hAnsi="Times New Roman" w:cs="Times New Roman" w:eastAsia="Times New Roman"/>
        </w:rPr>
        <w:br w:type="page"/>
      </w:r>
    </w:p>
    <w:p>
      <w:pPr>
        <w:spacing w:line="276" w:lineRule="auto" w:before="280" w:after="120"/>
        <w:ind w:firstLine="0"/>
        <w:jc w:val="both"/>
      </w:pPr>
      <w:r>
        <w:rPr>
          <w:rFonts w:ascii="Times New Roman" w:hAnsi="Times New Roman" w:cs="Times New Roman" w:eastAsia="Times New Roman"/>
          <w:b/>
          <w:i w:val="0"/>
          <w:sz w:val="24"/>
        </w:rPr>
        <w:t>PARTE QUARTA — NODI-ORGANIZZAZIONE A DOMINANZA PRIMARIA</w:t>
      </w:r>
    </w:p>
    <w:p>
      <w:pPr>
        <w:spacing w:line="276" w:lineRule="auto" w:before="0" w:after="0"/>
        <w:ind w:firstLine="425"/>
        <w:jc w:val="both"/>
      </w:pPr>
      <w:r>
        <w:rPr>
          <w:rFonts w:ascii="Times New Roman" w:hAnsi="Times New Roman" w:cs="Times New Roman" w:eastAsia="Times New Roman"/>
          <w:b w:val="0"/>
          <w:i w:val="0"/>
          <w:sz w:val="24"/>
        </w:rPr>
        <w:t>Nessun nodo-organizzazione a dominanza primaria risulta registrato per questo dominio nel Registro Integrale V63: lacuna dichiarata, già rilevata dal censimento generale.</w:t>
      </w:r>
    </w:p>
    <w:p>
      <w:r>
        <w:rPr>
          <w:rFonts w:ascii="Times New Roman" w:hAnsi="Times New Roman" w:cs="Times New Roman" w:eastAsia="Times New Roman"/>
        </w:rPr>
        <w:br w:type="page"/>
      </w:r>
    </w:p>
    <w:p>
      <w:pPr>
        <w:spacing w:line="276" w:lineRule="auto" w:before="280" w:after="120"/>
        <w:ind w:firstLine="0"/>
        <w:jc w:val="both"/>
      </w:pPr>
      <w:r>
        <w:rPr>
          <w:rFonts w:ascii="Times New Roman" w:hAnsi="Times New Roman" w:cs="Times New Roman" w:eastAsia="Times New Roman"/>
          <w:b/>
          <w:i w:val="0"/>
          <w:sz w:val="24"/>
        </w:rPr>
        <w:t>PARTE QUINTA — NODI-ORGANIZZAZIONE IN PROIEZIONE</w:t>
      </w:r>
    </w:p>
    <w:p>
      <w:pPr>
        <w:spacing w:line="276" w:lineRule="auto" w:before="160" w:after="40"/>
        <w:ind w:firstLine="0"/>
        <w:jc w:val="both"/>
      </w:pPr>
      <w:r>
        <w:rPr>
          <w:rFonts w:ascii="Times New Roman" w:hAnsi="Times New Roman" w:cs="Times New Roman" w:eastAsia="Times New Roman"/>
          <w:b/>
          <w:i w:val="0"/>
          <w:sz w:val="24"/>
        </w:rPr>
        <w:t>◆ Centro Pace di Padova / Editoriale «AR»</w:t>
      </w:r>
      <w:r>
        <w:rPr>
          <w:rFonts w:ascii="Times New Roman" w:hAnsi="Times New Roman" w:cs="Times New Roman" w:eastAsia="Times New Roman"/>
          <w:b w:val="0"/>
          <w:i w:val="0"/>
          <w:sz w:val="24"/>
        </w:rPr>
        <w:t xml:space="preserve">  [D7 D8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D7</w:t>
      </w:r>
    </w:p>
    <w:p>
      <w:pPr>
        <w:spacing w:line="276" w:lineRule="auto" w:before="0" w:after="40"/>
        <w:ind w:firstLine="425"/>
        <w:jc w:val="both"/>
      </w:pPr>
      <w:r>
        <w:rPr>
          <w:rFonts w:ascii="Times New Roman" w:hAnsi="Times New Roman" w:cs="Times New Roman" w:eastAsia="Times New Roman"/>
          <w:b w:val="0"/>
          <w:i w:val="0"/>
          <w:sz w:val="24"/>
        </w:rPr>
        <w:t>Casa editrice di Franco Freda (Padova). Centro di elaborazione teorica della destra rivoluzionaria.</w:t>
      </w:r>
    </w:p>
    <w:p>
      <w:pPr>
        <w:spacing w:line="276" w:lineRule="auto" w:before="160" w:after="40"/>
        <w:ind w:firstLine="0"/>
        <w:jc w:val="both"/>
      </w:pPr>
      <w:r>
        <w:rPr>
          <w:rFonts w:ascii="Times New Roman" w:hAnsi="Times New Roman" w:cs="Times New Roman" w:eastAsia="Times New Roman"/>
          <w:b/>
          <w:i w:val="0"/>
          <w:sz w:val="24"/>
        </w:rPr>
        <w:t>◆ AIPAC (American Israel Public Affairs Committee)</w:t>
      </w:r>
      <w:r>
        <w:rPr>
          <w:rFonts w:ascii="Times New Roman" w:hAnsi="Times New Roman" w:cs="Times New Roman" w:eastAsia="Times New Roman"/>
          <w:b w:val="0"/>
          <w:i w:val="0"/>
          <w:sz w:val="24"/>
        </w:rPr>
        <w:t xml:space="preserve">  [D2 D8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D2</w:t>
      </w:r>
    </w:p>
    <w:p>
      <w:pPr>
        <w:spacing w:line="276" w:lineRule="auto" w:before="0" w:after="40"/>
        <w:ind w:firstLine="425"/>
        <w:jc w:val="both"/>
      </w:pPr>
      <w:r>
        <w:rPr>
          <w:rFonts w:ascii="Times New Roman" w:hAnsi="Times New Roman" w:cs="Times New Roman" w:eastAsia="Times New Roman"/>
          <w:b w:val="0"/>
          <w:i w:val="0"/>
          <w:sz w:val="24"/>
        </w:rPr>
        <w:t>Lobby filo-israeliana negli USA (1953).</w:t>
      </w:r>
    </w:p>
    <w:p>
      <w:pPr>
        <w:spacing w:line="276" w:lineRule="auto" w:before="160" w:after="40"/>
        <w:ind w:firstLine="0"/>
        <w:jc w:val="both"/>
      </w:pPr>
      <w:r>
        <w:rPr>
          <w:rFonts w:ascii="Times New Roman" w:hAnsi="Times New Roman" w:cs="Times New Roman" w:eastAsia="Times New Roman"/>
          <w:b/>
          <w:i w:val="0"/>
          <w:sz w:val="24"/>
        </w:rPr>
        <w:t>◆ Lotta Continua</w:t>
      </w:r>
      <w:r>
        <w:rPr>
          <w:rFonts w:ascii="Times New Roman" w:hAnsi="Times New Roman" w:cs="Times New Roman" w:eastAsia="Times New Roman"/>
          <w:b w:val="0"/>
          <w:i w:val="0"/>
          <w:sz w:val="24"/>
        </w:rPr>
        <w:t xml:space="preserve">  [D7 D2 D8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D7</w:t>
      </w:r>
    </w:p>
    <w:p>
      <w:pPr>
        <w:spacing w:line="276" w:lineRule="auto" w:before="0" w:after="40"/>
        <w:ind w:firstLine="425"/>
        <w:jc w:val="both"/>
      </w:pPr>
      <w:r>
        <w:rPr>
          <w:rFonts w:ascii="Times New Roman" w:hAnsi="Times New Roman" w:cs="Times New Roman" w:eastAsia="Times New Roman"/>
          <w:b w:val="0"/>
          <w:i w:val="0"/>
          <w:sz w:val="24"/>
        </w:rPr>
        <w:t>Organizzazione extraparlamentare di sinistra (1969-1976). Caso Calabresi (omicidio 1972, condanna Sofri 1997 in via definitiva).</w:t>
      </w:r>
    </w:p>
    <w:p>
      <w:pPr>
        <w:spacing w:line="276" w:lineRule="auto" w:before="160" w:after="40"/>
        <w:ind w:firstLine="0"/>
        <w:jc w:val="both"/>
      </w:pPr>
      <w:r>
        <w:rPr>
          <w:rFonts w:ascii="Times New Roman" w:hAnsi="Times New Roman" w:cs="Times New Roman" w:eastAsia="Times New Roman"/>
          <w:b/>
          <w:i w:val="0"/>
          <w:sz w:val="24"/>
        </w:rPr>
        <w:t>◆ Heritage Foundation</w:t>
      </w:r>
      <w:r>
        <w:rPr>
          <w:rFonts w:ascii="Times New Roman" w:hAnsi="Times New Roman" w:cs="Times New Roman" w:eastAsia="Times New Roman"/>
          <w:b w:val="0"/>
          <w:i w:val="0"/>
          <w:sz w:val="24"/>
        </w:rPr>
        <w:t xml:space="preserve">  [D2 D8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D2</w:t>
      </w:r>
    </w:p>
    <w:p>
      <w:pPr>
        <w:spacing w:line="276" w:lineRule="auto" w:before="0" w:after="40"/>
        <w:ind w:firstLine="425"/>
        <w:jc w:val="both"/>
      </w:pPr>
      <w:r>
        <w:rPr>
          <w:rFonts w:ascii="Times New Roman" w:hAnsi="Times New Roman" w:cs="Times New Roman" w:eastAsia="Times New Roman"/>
          <w:b w:val="0"/>
          <w:i w:val="0"/>
          <w:sz w:val="24"/>
        </w:rPr>
        <w:t>Think tank conservatore. Project 2025 come piano di Trump II.</w:t>
      </w:r>
    </w:p>
    <w:p>
      <w:pPr>
        <w:spacing w:line="276" w:lineRule="auto" w:before="160" w:after="40"/>
        <w:ind w:firstLine="0"/>
        <w:jc w:val="both"/>
      </w:pPr>
      <w:r>
        <w:rPr>
          <w:rFonts w:ascii="Times New Roman" w:hAnsi="Times New Roman" w:cs="Times New Roman" w:eastAsia="Times New Roman"/>
          <w:b/>
          <w:i w:val="0"/>
          <w:sz w:val="24"/>
        </w:rPr>
        <w:t>◆ Hizmet (Gülen Movement)</w:t>
      </w:r>
      <w:r>
        <w:rPr>
          <w:rFonts w:ascii="Times New Roman" w:hAnsi="Times New Roman" w:cs="Times New Roman" w:eastAsia="Times New Roman"/>
          <w:b w:val="0"/>
          <w:i w:val="0"/>
          <w:sz w:val="24"/>
        </w:rPr>
        <w:t xml:space="preserve">  [D5 D2 D8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D5</w:t>
      </w:r>
    </w:p>
    <w:p>
      <w:pPr>
        <w:spacing w:line="276" w:lineRule="auto" w:before="0" w:after="40"/>
        <w:ind w:firstLine="425"/>
        <w:jc w:val="both"/>
      </w:pPr>
      <w:r>
        <w:rPr>
          <w:rFonts w:ascii="Times New Roman" w:hAnsi="Times New Roman" w:cs="Times New Roman" w:eastAsia="Times New Roman"/>
          <w:b w:val="0"/>
          <w:i w:val="0"/>
          <w:sz w:val="24"/>
        </w:rPr>
        <w:t>Movimento religioso-educativo di Gülen. Reti scolastiche globali. Banditi come terrorismo da Erdoğan post-2016.</w:t>
      </w:r>
    </w:p>
    <w:p>
      <w:r>
        <w:rPr>
          <w:rFonts w:ascii="Times New Roman" w:hAnsi="Times New Roman" w:cs="Times New Roman" w:eastAsia="Times New Roman"/>
        </w:rPr>
        <w:br w:type="page"/>
      </w:r>
    </w:p>
    <w:p>
      <w:pPr>
        <w:spacing w:line="276" w:lineRule="auto" w:before="280" w:after="120"/>
        <w:ind w:firstLine="0"/>
        <w:jc w:val="both"/>
      </w:pPr>
      <w:r>
        <w:rPr>
          <w:rFonts w:ascii="Times New Roman" w:hAnsi="Times New Roman" w:cs="Times New Roman" w:eastAsia="Times New Roman"/>
          <w:b/>
          <w:i w:val="0"/>
          <w:sz w:val="24"/>
        </w:rPr>
        <w:t>PARTE SESTA — SINAPSI CROSS-SECTION AFFERENTI (ATTRIBUZIONE AUTOMATICA DI LIVELLO C)</w:t>
      </w:r>
    </w:p>
    <w:p>
      <w:pPr>
        <w:spacing w:line="276" w:lineRule="auto" w:before="160" w:after="40"/>
        <w:ind w:firstLine="0"/>
        <w:jc w:val="both"/>
      </w:pPr>
      <w:r>
        <w:rPr>
          <w:rFonts w:ascii="Times New Roman" w:hAnsi="Times New Roman" w:cs="Times New Roman" w:eastAsia="Times New Roman"/>
          <w:b/>
          <w:i w:val="0"/>
          <w:sz w:val="24"/>
        </w:rPr>
        <w:t>◈ Arco #20 — Pennsylvania-Gülen → Turchia (Pattern 14 Sanctuary)</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Fethullah Gülen (1941-2024) ottiene asilo politico negli USA nel 1999. Risiede a Saylorsburg, Pennsylvania, fino al 20 ottobre 2024 (morte). Architetto del movimento Hizmet con reti scolastiche globali. Accusato dal regime Erdoğan come mandante del tentato golpe del 15 luglio 2016. Caso paradigmatico del Pattern 14: Santuario Extraterritoriale per oppositori politici.</w:t>
      </w:r>
    </w:p>
    <w:p>
      <w:pPr>
        <w:spacing w:line="276" w:lineRule="auto" w:before="0" w:after="40"/>
        <w:ind w:firstLine="425"/>
        <w:jc w:val="both"/>
      </w:pPr>
      <w:r>
        <w:rPr>
          <w:rFonts w:ascii="Times New Roman" w:hAnsi="Times New Roman" w:cs="Times New Roman" w:eastAsia="Times New Roman"/>
          <w:b w:val="0"/>
          <w:i w:val="0"/>
          <w:sz w:val="24"/>
        </w:rPr>
        <w:t>Attori principali: Fethullah Gülen, Recep Tayyip Erdoğan, CIA, Heritage Foundation</w:t>
      </w:r>
    </w:p>
    <w:p>
      <w:pPr>
        <w:spacing w:line="276" w:lineRule="auto" w:before="160" w:after="40"/>
        <w:ind w:firstLine="0"/>
        <w:jc w:val="both"/>
      </w:pPr>
      <w:r>
        <w:rPr>
          <w:rFonts w:ascii="Times New Roman" w:hAnsi="Times New Roman" w:cs="Times New Roman" w:eastAsia="Times New Roman"/>
          <w:b/>
          <w:i w:val="0"/>
          <w:sz w:val="24"/>
        </w:rPr>
        <w:t>◈ Arco #26 — Bannon-Steve Miller → Le Cercle moderna (Filiazione ideologica)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B</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Steve Bannon come architetto del MAGA-trumpismo e ideologo della destra populista globale. Discepoli: Marion Maréchal-Le Pen (Francia), Matteo Salvini (Italia), Viktor Orbán (Ungheria), Jair Bolsonaro (Brasile), Javier Milei (Argentina). Movimento ai sensi geopolitici come Le Cercle moderna (rete coordinata informalmente). Heritage Foundation Project 2025 come piano programmatico.</w:t>
      </w:r>
    </w:p>
    <w:p>
      <w:pPr>
        <w:spacing w:line="276" w:lineRule="auto" w:before="0" w:after="40"/>
        <w:ind w:firstLine="425"/>
        <w:jc w:val="both"/>
      </w:pPr>
      <w:r>
        <w:rPr>
          <w:rFonts w:ascii="Times New Roman" w:hAnsi="Times New Roman" w:cs="Times New Roman" w:eastAsia="Times New Roman"/>
          <w:b w:val="0"/>
          <w:i w:val="0"/>
          <w:sz w:val="24"/>
        </w:rPr>
        <w:t>Attori principali: Steve Bannon, Stephen Miller, Marion Maréchal, Viktor Orbán, Matteo Salvini</w:t>
      </w:r>
    </w:p>
    <w:p>
      <w:pPr>
        <w:spacing w:line="276" w:lineRule="auto" w:before="160" w:after="40"/>
        <w:ind w:firstLine="0"/>
        <w:jc w:val="both"/>
      </w:pPr>
      <w:r>
        <w:rPr>
          <w:rFonts w:ascii="Times New Roman" w:hAnsi="Times New Roman" w:cs="Times New Roman" w:eastAsia="Times New Roman"/>
          <w:b/>
          <w:i w:val="0"/>
          <w:sz w:val="24"/>
        </w:rPr>
        <w:t>◈ Arco #27 — Trump → Salvini-Meloni-Orbán-Milei-Modi-Erdoğan (Convergenza)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Asse globale dei populisti di destra coordinati informalmente attraverso Bannon-Heritage. Conferenze CPAC come hub di coordinamento (Dallas, Budapest, Buenos Aires, San Paolo). Pattern di convergenza politica globale. Caso paradigmatico: la sospensione di Salvini al Cremlino agosto 2018 (foto pubblica con Lavrov) e i contatti Bolsonaro-Trump.</w:t>
      </w:r>
    </w:p>
    <w:p>
      <w:pPr>
        <w:spacing w:line="276" w:lineRule="auto" w:before="0" w:after="40"/>
        <w:ind w:firstLine="425"/>
        <w:jc w:val="both"/>
      </w:pPr>
      <w:r>
        <w:rPr>
          <w:rFonts w:ascii="Times New Roman" w:hAnsi="Times New Roman" w:cs="Times New Roman" w:eastAsia="Times New Roman"/>
          <w:b w:val="0"/>
          <w:i w:val="0"/>
          <w:sz w:val="24"/>
        </w:rPr>
        <w:t>Attori principali: Donald Trump, Matteo Salvini, Giorgia Meloni, Viktor Orbán, Javier Milei</w:t>
      </w:r>
    </w:p>
    <w:p>
      <w:pPr>
        <w:spacing w:line="276" w:lineRule="auto" w:before="160" w:after="40"/>
        <w:ind w:firstLine="0"/>
        <w:jc w:val="both"/>
      </w:pPr>
      <w:r>
        <w:rPr>
          <w:rFonts w:ascii="Times New Roman" w:hAnsi="Times New Roman" w:cs="Times New Roman" w:eastAsia="Times New Roman"/>
          <w:b/>
          <w:i w:val="0"/>
          <w:sz w:val="24"/>
        </w:rPr>
        <w:t>◈ Arco #38 — Piazza Fontana 1969 → Freda-Ventura-Giannettini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Strage di Piazza Fontana (12 dicembre 1969, 17 morti, 88 feriti) come prima strage del cosiddetto stragismo nero italiano. Esecutori: Franco Freda, Giovanni Ventura (gruppo Padova-Ordine Nuovo). Mandante operativo: Guido Giannettini (agente SID 5301). Depistaggio della pista anarchica (Pinelli, Valpreda). Caso paradigmatico di strategia della tensione.</w:t>
      </w:r>
    </w:p>
    <w:p>
      <w:pPr>
        <w:spacing w:line="276" w:lineRule="auto" w:before="0" w:after="40"/>
        <w:ind w:firstLine="425"/>
        <w:jc w:val="both"/>
      </w:pPr>
      <w:r>
        <w:rPr>
          <w:rFonts w:ascii="Times New Roman" w:hAnsi="Times New Roman" w:cs="Times New Roman" w:eastAsia="Times New Roman"/>
          <w:b w:val="0"/>
          <w:i w:val="0"/>
          <w:sz w:val="24"/>
        </w:rPr>
        <w:t>Attori principali: Franco Freda, Giovanni Ventura, Guido Giannettini, Pino Rauti, Stefano Delle Chiaie</w:t>
      </w:r>
    </w:p>
    <w:p>
      <w:pPr>
        <w:spacing w:line="276" w:lineRule="auto" w:before="160" w:after="40"/>
        <w:ind w:firstLine="0"/>
        <w:jc w:val="both"/>
      </w:pPr>
      <w:r>
        <w:rPr>
          <w:rFonts w:ascii="Times New Roman" w:hAnsi="Times New Roman" w:cs="Times New Roman" w:eastAsia="Times New Roman"/>
          <w:b/>
          <w:i w:val="0"/>
          <w:sz w:val="24"/>
        </w:rPr>
        <w:t>◈ Arco #49 — Fratelli Musulmani Egitto → Hamas-Erdoğan-Qatar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I Fratelli Musulmani egiziani (1928, al-Banna fondatore) come matrice originaria dell'islamismo politico transnazionale. Filiazioni: Hamas (1987 Yassin), Ennahda (Ghannouchi Tunisia), AKP-Hizmet ambivalente (Turchia), Stato del Qatar (Tamim Al Thani come patron globale dei FM).</w:t>
      </w:r>
    </w:p>
    <w:p>
      <w:pPr>
        <w:spacing w:line="276" w:lineRule="auto" w:before="0" w:after="40"/>
        <w:ind w:firstLine="425"/>
        <w:jc w:val="both"/>
      </w:pPr>
      <w:r>
        <w:rPr>
          <w:rFonts w:ascii="Times New Roman" w:hAnsi="Times New Roman" w:cs="Times New Roman" w:eastAsia="Times New Roman"/>
          <w:b w:val="0"/>
          <w:i w:val="0"/>
          <w:sz w:val="24"/>
        </w:rPr>
        <w:t>Attori principali: Hassan al-Banna, Sayyid Qutb, Ahmed Yassin, Recep Tayyip Erdoğan, Tamim Al Thani</w:t>
      </w:r>
    </w:p>
    <w:p>
      <w:pPr>
        <w:spacing w:line="276" w:lineRule="auto" w:before="160" w:after="40"/>
        <w:ind w:firstLine="0"/>
        <w:jc w:val="both"/>
      </w:pPr>
      <w:r>
        <w:rPr>
          <w:rFonts w:ascii="Times New Roman" w:hAnsi="Times New Roman" w:cs="Times New Roman" w:eastAsia="Times New Roman"/>
          <w:b/>
          <w:i w:val="0"/>
          <w:sz w:val="24"/>
        </w:rPr>
        <w:t>◈ Arco #52 — Leonardo-MBDA-Fincantieri → NATO-Mercati globali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Il complesso militare-industriale italiano: Leonardo (ex Finmeccanica), MBDA (consorzio Italia-UK-Francia), Fincantieri. Esportazioni documentate verso: Arabia Saudita, EAU, Egitto, Turchia, Israele. Pattern di filiazione industria-difesa nordatlantica.</w:t>
      </w:r>
    </w:p>
    <w:p>
      <w:pPr>
        <w:spacing w:line="276" w:lineRule="auto" w:before="0" w:after="40"/>
        <w:ind w:firstLine="425"/>
        <w:jc w:val="both"/>
      </w:pPr>
      <w:r>
        <w:rPr>
          <w:rFonts w:ascii="Times New Roman" w:hAnsi="Times New Roman" w:cs="Times New Roman" w:eastAsia="Times New Roman"/>
          <w:b w:val="0"/>
          <w:i w:val="0"/>
          <w:sz w:val="24"/>
        </w:rPr>
        <w:t>Attori principali: Leonardo, MBDA, Fincantieri, Mauro Moretti, Roberto Cingolani</w:t>
      </w:r>
    </w:p>
    <w:p>
      <w:r>
        <w:rPr>
          <w:rFonts w:ascii="Times New Roman" w:hAnsi="Times New Roman" w:cs="Times New Roman" w:eastAsia="Times New Roman"/>
        </w:rPr>
        <w:br w:type="page"/>
      </w:r>
    </w:p>
    <w:p>
      <w:pPr>
        <w:spacing w:line="276" w:lineRule="auto" w:before="280" w:after="120"/>
        <w:ind w:firstLine="0"/>
        <w:jc w:val="both"/>
      </w:pPr>
      <w:r>
        <w:rPr>
          <w:rFonts w:ascii="Times New Roman" w:hAnsi="Times New Roman" w:cs="Times New Roman" w:eastAsia="Times New Roman"/>
          <w:b/>
          <w:i w:val="0"/>
          <w:sz w:val="24"/>
        </w:rPr>
        <w:t>PARTE SETTIMA — NODI-EVENTO CORRELATI (ATTRIBUZIONE AUTOMATICA DI LIVELLO C)</w:t>
      </w:r>
    </w:p>
    <w:p>
      <w:pPr>
        <w:spacing w:line="276" w:lineRule="auto" w:before="0" w:after="80"/>
        <w:ind w:firstLine="425"/>
        <w:jc w:val="both"/>
      </w:pPr>
      <w:r>
        <w:rPr>
          <w:rFonts w:ascii="Times New Roman" w:hAnsi="Times New Roman" w:cs="Times New Roman" w:eastAsia="Times New Roman"/>
          <w:b w:val="0"/>
          <w:i w:val="0"/>
          <w:sz w:val="24"/>
        </w:rPr>
        <w:t>I nodi-evento seguenti citano almeno un neurone di questa area; l’ordinamento è cronologico.</w:t>
      </w:r>
    </w:p>
    <w:p>
      <w:pPr>
        <w:spacing w:line="276" w:lineRule="auto" w:before="80" w:after="40"/>
        <w:ind w:firstLine="0"/>
        <w:jc w:val="both"/>
      </w:pPr>
      <w:r>
        <w:rPr>
          <w:rFonts w:ascii="Times New Roman" w:hAnsi="Times New Roman" w:cs="Times New Roman" w:eastAsia="Times New Roman"/>
          <w:b/>
          <w:i w:val="0"/>
          <w:sz w:val="24"/>
        </w:rPr>
        <w:t xml:space="preserve">› 12 dicembre 1969 (ricorrenze multiple): </w:t>
      </w:r>
      <w:r>
        <w:rPr>
          <w:rFonts w:ascii="Times New Roman" w:hAnsi="Times New Roman" w:cs="Times New Roman" w:eastAsia="Times New Roman"/>
          <w:b w:val="0"/>
          <w:i w:val="0"/>
          <w:sz w:val="24"/>
        </w:rPr>
        <w:t>Strage di Piazza Fontana, Milano. Apertura della strategia della tensione. Pinelli, Calabresi, Valpreda. Connessione: Freda-Ventura-Giannettini-SID</w:t>
      </w:r>
    </w:p>
    <w:p>
      <w:pPr>
        <w:spacing w:line="276" w:lineRule="auto" w:before="80" w:after="40"/>
        <w:ind w:firstLine="0"/>
        <w:jc w:val="both"/>
      </w:pPr>
      <w:r>
        <w:rPr>
          <w:rFonts w:ascii="Times New Roman" w:hAnsi="Times New Roman" w:cs="Times New Roman" w:eastAsia="Times New Roman"/>
          <w:b/>
          <w:i w:val="0"/>
          <w:sz w:val="24"/>
        </w:rPr>
        <w:t xml:space="preserve">› Strage di Piazza Fontana (ricorrenze multiple): </w:t>
      </w:r>
      <w:r>
        <w:rPr>
          <w:rFonts w:ascii="Times New Roman" w:hAnsi="Times New Roman" w:cs="Times New Roman" w:eastAsia="Times New Roman"/>
          <w:b w:val="0"/>
          <w:i w:val="0"/>
          <w:sz w:val="24"/>
        </w:rPr>
        <w:t>Vedi 12/12/1969. Ordine Nuovo, Freda-Ventura-Giannettini</w:t>
      </w:r>
    </w:p>
    <w:p>
      <w:pPr>
        <w:spacing w:line="276" w:lineRule="auto" w:before="80" w:after="40"/>
        <w:ind w:firstLine="0"/>
        <w:jc w:val="both"/>
      </w:pPr>
      <w:r>
        <w:rPr>
          <w:rFonts w:ascii="Times New Roman" w:hAnsi="Times New Roman" w:cs="Times New Roman" w:eastAsia="Times New Roman"/>
          <w:b/>
          <w:i w:val="0"/>
          <w:sz w:val="24"/>
        </w:rPr>
        <w:t xml:space="preserve">› Omicidio Calabresi (ricorrenze multiple): </w:t>
      </w:r>
      <w:r>
        <w:rPr>
          <w:rFonts w:ascii="Times New Roman" w:hAnsi="Times New Roman" w:cs="Times New Roman" w:eastAsia="Times New Roman"/>
          <w:b w:val="0"/>
          <w:i w:val="0"/>
          <w:sz w:val="24"/>
        </w:rPr>
        <w:t>17/5/1972 Milano. Lotta Continua-Sofri</w:t>
      </w:r>
    </w:p>
    <w:p>
      <w:pPr>
        <w:spacing w:line="276" w:lineRule="auto" w:before="80" w:after="40"/>
        <w:ind w:firstLine="0"/>
        <w:jc w:val="both"/>
      </w:pPr>
      <w:r>
        <w:rPr>
          <w:rFonts w:ascii="Times New Roman" w:hAnsi="Times New Roman" w:cs="Times New Roman" w:eastAsia="Times New Roman"/>
          <w:b/>
          <w:i w:val="0"/>
          <w:sz w:val="24"/>
        </w:rPr>
        <w:t xml:space="preserve">› Omicidio Pecorelli (ricorrenze multiple): </w:t>
      </w:r>
      <w:r>
        <w:rPr>
          <w:rFonts w:ascii="Times New Roman" w:hAnsi="Times New Roman" w:cs="Times New Roman" w:eastAsia="Times New Roman"/>
          <w:b w:val="0"/>
          <w:i w:val="0"/>
          <w:sz w:val="24"/>
        </w:rPr>
        <w:t>20/3/1979 Roma. Andreotti-Cosa Nostra processo Perugia</w:t>
      </w:r>
    </w:p>
    <w:p>
      <w:pPr>
        <w:spacing w:line="276" w:lineRule="auto" w:before="80" w:after="40"/>
        <w:ind w:firstLine="0"/>
        <w:jc w:val="both"/>
      </w:pPr>
      <w:r>
        <w:rPr>
          <w:rFonts w:ascii="Times New Roman" w:hAnsi="Times New Roman" w:cs="Times New Roman" w:eastAsia="Times New Roman"/>
          <w:b/>
          <w:i w:val="0"/>
          <w:sz w:val="24"/>
        </w:rPr>
        <w:t xml:space="preserve">› Omicidio Biagi (ricorrenze multiple): </w:t>
      </w:r>
      <w:r>
        <w:rPr>
          <w:rFonts w:ascii="Times New Roman" w:hAnsi="Times New Roman" w:cs="Times New Roman" w:eastAsia="Times New Roman"/>
          <w:b w:val="0"/>
          <w:i w:val="0"/>
          <w:sz w:val="24"/>
        </w:rPr>
        <w:t>19/3/2002 Bologna. Nuove BR</w:t>
      </w:r>
    </w:p>
    <w:p>
      <w:pPr>
        <w:spacing w:line="276" w:lineRule="auto" w:before="80" w:after="40"/>
        <w:ind w:firstLine="0"/>
        <w:jc w:val="both"/>
      </w:pPr>
      <w:r>
        <w:rPr>
          <w:rFonts w:ascii="Times New Roman" w:hAnsi="Times New Roman" w:cs="Times New Roman" w:eastAsia="Times New Roman"/>
          <w:b/>
          <w:i w:val="0"/>
          <w:sz w:val="24"/>
        </w:rPr>
        <w:t xml:space="preserve">› 20 gennaio 2017 (1+): </w:t>
      </w:r>
      <w:r>
        <w:rPr>
          <w:rFonts w:ascii="Times New Roman" w:hAnsi="Times New Roman" w:cs="Times New Roman" w:eastAsia="Times New Roman"/>
          <w:b w:val="0"/>
          <w:i w:val="0"/>
          <w:sz w:val="24"/>
        </w:rPr>
        <w:t>Insediamento Trump I. MAGA, GOP</w:t>
      </w:r>
    </w:p>
    <w:p>
      <w:pPr>
        <w:spacing w:line="276" w:lineRule="auto" w:before="80" w:after="40"/>
        <w:ind w:firstLine="0"/>
        <w:jc w:val="both"/>
      </w:pPr>
      <w:r>
        <w:rPr>
          <w:rFonts w:ascii="Times New Roman" w:hAnsi="Times New Roman" w:cs="Times New Roman" w:eastAsia="Times New Roman"/>
          <w:b/>
          <w:i w:val="0"/>
          <w:sz w:val="24"/>
        </w:rPr>
        <w:t xml:space="preserve">› 6 gennaio 2021 (1+): </w:t>
      </w:r>
      <w:r>
        <w:rPr>
          <w:rFonts w:ascii="Times New Roman" w:hAnsi="Times New Roman" w:cs="Times New Roman" w:eastAsia="Times New Roman"/>
          <w:b w:val="0"/>
          <w:i w:val="0"/>
          <w:sz w:val="24"/>
        </w:rPr>
        <w:t>Tentato golpe Capitol Hill. Trump-MAGA-Proud Boys-Oath Keepers</w:t>
      </w:r>
    </w:p>
    <w:p>
      <w:pPr>
        <w:spacing w:line="276" w:lineRule="auto" w:before="80" w:after="40"/>
        <w:ind w:firstLine="0"/>
        <w:jc w:val="both"/>
      </w:pPr>
      <w:r>
        <w:rPr>
          <w:rFonts w:ascii="Times New Roman" w:hAnsi="Times New Roman" w:cs="Times New Roman" w:eastAsia="Times New Roman"/>
          <w:b/>
          <w:i w:val="0"/>
          <w:sz w:val="24"/>
        </w:rPr>
        <w:t xml:space="preserve">› Capitol Hill (1+): </w:t>
      </w:r>
      <w:r>
        <w:rPr>
          <w:rFonts w:ascii="Times New Roman" w:hAnsi="Times New Roman" w:cs="Times New Roman" w:eastAsia="Times New Roman"/>
          <w:b w:val="0"/>
          <w:i w:val="0"/>
          <w:sz w:val="24"/>
        </w:rPr>
        <w:t>6/1/2021 Washington. Trump-MAGA</w:t>
      </w:r>
    </w:p>
    <w:p>
      <w:pPr>
        <w:spacing w:line="276" w:lineRule="auto" w:before="80" w:after="40"/>
        <w:ind w:firstLine="0"/>
        <w:jc w:val="both"/>
      </w:pPr>
      <w:r>
        <w:rPr>
          <w:rFonts w:ascii="Times New Roman" w:hAnsi="Times New Roman" w:cs="Times New Roman" w:eastAsia="Times New Roman"/>
          <w:b/>
          <w:i w:val="0"/>
          <w:sz w:val="24"/>
        </w:rPr>
        <w:t xml:space="preserve">› 20 gennaio 2025 (1+): </w:t>
      </w:r>
      <w:r>
        <w:rPr>
          <w:rFonts w:ascii="Times New Roman" w:hAnsi="Times New Roman" w:cs="Times New Roman" w:eastAsia="Times New Roman"/>
          <w:b w:val="0"/>
          <w:i w:val="0"/>
          <w:sz w:val="24"/>
        </w:rPr>
        <w:t>Insediamento Trump II. Musk-Vance-Rubio</w:t>
      </w:r>
    </w:p>
    <w:p>
      <w:pPr>
        <w:spacing w:line="276" w:lineRule="auto" w:before="80" w:after="40"/>
        <w:ind w:firstLine="0"/>
        <w:jc w:val="both"/>
      </w:pPr>
      <w:r>
        <w:rPr>
          <w:rFonts w:ascii="Times New Roman" w:hAnsi="Times New Roman" w:cs="Times New Roman" w:eastAsia="Times New Roman"/>
          <w:b/>
          <w:i w:val="0"/>
          <w:sz w:val="24"/>
        </w:rPr>
        <w:t xml:space="preserve">› Tariff War (1+): </w:t>
      </w:r>
      <w:r>
        <w:rPr>
          <w:rFonts w:ascii="Times New Roman" w:hAnsi="Times New Roman" w:cs="Times New Roman" w:eastAsia="Times New Roman"/>
          <w:b w:val="0"/>
          <w:i w:val="0"/>
          <w:sz w:val="24"/>
        </w:rPr>
        <w:t>Guerra commerciale Trump 2025</w:t>
      </w:r>
    </w:p>
    <w:p>
      <w:pPr>
        <w:spacing w:line="276" w:lineRule="auto" w:before="80" w:after="40"/>
        <w:ind w:firstLine="0"/>
        <w:jc w:val="both"/>
      </w:pPr>
      <w:r>
        <w:rPr>
          <w:rFonts w:ascii="Times New Roman" w:hAnsi="Times New Roman" w:cs="Times New Roman" w:eastAsia="Times New Roman"/>
          <w:b/>
          <w:i w:val="0"/>
          <w:sz w:val="24"/>
        </w:rPr>
        <w:t xml:space="preserve">› Project 2025 (1+): </w:t>
      </w:r>
      <w:r>
        <w:rPr>
          <w:rFonts w:ascii="Times New Roman" w:hAnsi="Times New Roman" w:cs="Times New Roman" w:eastAsia="Times New Roman"/>
          <w:b w:val="0"/>
          <w:i w:val="0"/>
          <w:sz w:val="24"/>
        </w:rPr>
        <w:t>Heritage Foundation piano Trump II</w:t>
      </w:r>
    </w:p>
    <w:p>
      <w:pPr>
        <w:spacing w:line="276" w:lineRule="auto" w:before="80" w:after="40"/>
        <w:ind w:firstLine="0"/>
        <w:jc w:val="both"/>
      </w:pPr>
      <w:r>
        <w:rPr>
          <w:rFonts w:ascii="Times New Roman" w:hAnsi="Times New Roman" w:cs="Times New Roman" w:eastAsia="Times New Roman"/>
          <w:b/>
          <w:i w:val="0"/>
          <w:sz w:val="24"/>
        </w:rPr>
        <w:t xml:space="preserve">› Mar-a-Lago (1+): </w:t>
      </w:r>
      <w:r>
        <w:rPr>
          <w:rFonts w:ascii="Times New Roman" w:hAnsi="Times New Roman" w:cs="Times New Roman" w:eastAsia="Times New Roman"/>
          <w:b w:val="0"/>
          <w:i w:val="0"/>
          <w:sz w:val="24"/>
        </w:rPr>
        <w:t>Florida. Quartier generale Trump</w:t>
      </w:r>
    </w:p>
    <w:p>
      <w:pPr>
        <w:spacing w:line="276" w:lineRule="auto" w:before="80" w:after="40"/>
        <w:ind w:firstLine="0"/>
        <w:jc w:val="both"/>
      </w:pPr>
      <w:r>
        <w:rPr>
          <w:rFonts w:ascii="Times New Roman" w:hAnsi="Times New Roman" w:cs="Times New Roman" w:eastAsia="Times New Roman"/>
          <w:b/>
          <w:i w:val="0"/>
          <w:sz w:val="24"/>
        </w:rPr>
        <w:t xml:space="preserve">› Baathismo (1+): </w:t>
      </w:r>
      <w:r>
        <w:rPr>
          <w:rFonts w:ascii="Times New Roman" w:hAnsi="Times New Roman" w:cs="Times New Roman" w:eastAsia="Times New Roman"/>
          <w:b w:val="0"/>
          <w:i w:val="0"/>
          <w:sz w:val="24"/>
        </w:rPr>
        <w:t>Panarabismo socialista di Aflaq</w:t>
      </w:r>
    </w:p>
    <w:p>
      <w:r>
        <w:rPr>
          <w:rFonts w:ascii="Times New Roman" w:hAnsi="Times New Roman" w:cs="Times New Roman" w:eastAsia="Times New Roman"/>
        </w:rPr>
        <w:br w:type="page"/>
      </w:r>
    </w:p>
    <w:p>
      <w:pPr>
        <w:spacing w:line="276" w:lineRule="auto" w:before="280" w:after="120"/>
        <w:ind w:firstLine="0"/>
        <w:jc w:val="both"/>
      </w:pPr>
      <w:r>
        <w:rPr>
          <w:rFonts w:ascii="Times New Roman" w:hAnsi="Times New Roman" w:cs="Times New Roman" w:eastAsia="Times New Roman"/>
          <w:b/>
          <w:i w:val="0"/>
          <w:sz w:val="24"/>
        </w:rPr>
        <w:t>CHIUSURA — LACUNE E RINVII</w:t>
      </w:r>
    </w:p>
    <w:p>
      <w:pPr>
        <w:spacing w:line="276" w:lineRule="auto" w:before="0" w:after="0"/>
        <w:ind w:firstLine="425"/>
        <w:jc w:val="both"/>
      </w:pPr>
      <w:r>
        <w:rPr>
          <w:rFonts w:ascii="Times New Roman" w:hAnsi="Times New Roman" w:cs="Times New Roman" w:eastAsia="Times New Roman"/>
          <w:b w:val="0"/>
          <w:i w:val="0"/>
          <w:sz w:val="24"/>
        </w:rPr>
        <w:t>La partizione dominiale lascia fuori, per costruzione, ciò che il Registro Integrale non marca: sessantasette nodi-evento non citano alcun neurone censito e restano in attesa del futuro Registro Temporale; i quarantadue Pattern analitici, il Keyword Index e i paragrafi di prosa restano nel Registro Integrale V63; il registro dei nodi-luogo non esiste ancora e costituisce la lacuna strutturale già dichiarata dal censimento generale. La sinaptogenesi sistematica tra le aree — la costruzione degli archi interni ed esterni a questo dominio — appartiene alla fase successiva e attende le istruzioni dell’autore.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