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before="160"/>
        <w:jc w:val="center"/>
      </w:pPr>
      <w:r>
        <w:rPr>
          <w:rFonts w:ascii="Times New Roman" w:hAnsi="Times New Roman" w:cs="Times New Roman" w:eastAsia="Times New Roman"/>
          <w:rFonts w:ascii="Times New Roman" w:hAnsi="Times New Roman"/>
          <w:b/>
          <w:sz w:val="32"/>
        </w:rPr>
        <w:t>REGISTRO ANALITICO DEL CASO MORO</w:t>
      </w:r>
    </w:p>
    <w:p>
      <w:pPr>
        <w:spacing w:after="0" w:line="276" w:lineRule="auto" w:before="80"/>
        <w:jc w:val="center"/>
      </w:pPr>
      <w:r>
        <w:rPr>
          <w:rFonts w:ascii="Times New Roman" w:hAnsi="Times New Roman" w:cs="Times New Roman" w:eastAsia="Times New Roman"/>
          <w:rFonts w:ascii="Times New Roman" w:hAnsi="Times New Roman"/>
          <w:b w:val="0"/>
          <w:sz w:val="24"/>
        </w:rPr>
        <w:t>Registro autonomo delle reti informali del sequestro e dell’omicidio di Aldo Moro</w:t>
      </w:r>
    </w:p>
    <w:p>
      <w:pPr>
        <w:spacing w:after="0" w:line="276" w:lineRule="auto" w:before="80"/>
        <w:jc w:val="center"/>
      </w:pPr>
      <w:r>
        <w:rPr>
          <w:rFonts w:ascii="Times New Roman" w:hAnsi="Times New Roman" w:cs="Times New Roman" w:eastAsia="Times New Roman"/>
          <w:rFonts w:ascii="Times New Roman" w:hAnsi="Times New Roman"/>
          <w:b w:val="0"/>
          <w:sz w:val="24"/>
        </w:rPr>
        <w:t>Edizione Prima — Integrale</w:t>
      </w:r>
    </w:p>
    <w:p>
      <w:pPr>
        <w:spacing w:after="0" w:line="276" w:lineRule="auto" w:before="80"/>
        <w:jc w:val="center"/>
      </w:pPr>
      <w:r>
        <w:rPr>
          <w:rFonts w:ascii="Times New Roman" w:hAnsi="Times New Roman" w:cs="Times New Roman" w:eastAsia="Times New Roman"/>
          <w:rFonts w:ascii="Times New Roman" w:hAnsi="Times New Roman"/>
          <w:b w:val="0"/>
          <w:sz w:val="24"/>
        </w:rPr>
        <w:t>Luigi De Michele</w:t>
      </w:r>
    </w:p>
    <w:p>
      <w:pPr>
        <w:spacing w:after="0" w:line="276" w:lineRule="auto" w:before="80"/>
        <w:jc w:val="center"/>
      </w:pPr>
      <w:r>
        <w:rPr>
          <w:rFonts w:ascii="Times New Roman" w:hAnsi="Times New Roman" w:cs="Times New Roman" w:eastAsia="Times New Roman"/>
          <w:rFonts w:ascii="Times New Roman" w:hAnsi="Times New Roman"/>
          <w:b w:val="0"/>
          <w:sz w:val="24"/>
        </w:rPr>
        <w:t>Due agosto duemilaventisei</w:t>
      </w:r>
    </w:p>
    <w:p>
      <w:pPr>
        <w:spacing w:after="0" w:line="276" w:lineRule="auto"/>
        <w:ind w:firstLine="425"/>
        <w:jc w:val="both"/>
      </w:pPr>
      <w:r>
        <w:rPr>
          <w:rFonts w:ascii="Times New Roman" w:hAnsi="Times New Roman" w:cs="Times New Roman" w:eastAsia="Times New Roman"/>
          <w:rFonts w:ascii="Times New Roman" w:hAnsi="Times New Roman"/>
          <w:b/>
          <w:sz w:val="24"/>
        </w:rPr>
        <w:t>Statuto del documento.</w:t>
      </w:r>
      <w:r>
        <w:rPr>
          <w:rFonts w:ascii="Times New Roman" w:hAnsi="Times New Roman" w:cs="Times New Roman" w:eastAsia="Times New Roman"/>
          <w:rFonts w:ascii="Times New Roman" w:hAnsi="Times New Roman"/>
          <w:b w:val="0"/>
          <w:sz w:val="24"/>
        </w:rPr>
        <w:t xml:space="preserve"> Il presente Registro è documento autonomo e autosufficiente. Esso non è una sezione, un estratto né una derivazione del Registro Unico Federato di ITALIA NERA, e non presuppone la lettura di quello: la metodologia, l’apparato dei Domini, la tipologia degli archi, i Pattern analitici e lo standard probatorio vi sono ripetuti per intero e non per rinvio, affinché il Registro possa essere letto, verificato e falsificato da solo. Condivide con il Registro Unico l’identica metodologia e l’identica architettura, ma ha un proprio oggetto circoscritto — il sequestro di via Fani del sedici marzo millenovecentosettantotto, i cinquantacinque giorni della prigionia e l’omicidio del nove maggio, con i nodi, gli archi e le questioni che vi afferiscono — e un proprio corpus, un proprio registro delle lacune, una propria Camera Istruttoria. Ove le due opere confliggano su un punto di fatto, prevale quella che esibisce la fonte di livello superiore; ove convergano, la convergenza non costituisce conferma, poiché non sono fonti indipendenti fra loro.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PRIMA — NOTA METODOLOGICA</w:t>
      </w:r>
    </w:p>
    <w:p>
      <w:pPr>
        <w:spacing w:after="120" w:line="276" w:lineRule="auto" w:before="320"/>
        <w:jc w:val="left"/>
      </w:pPr>
      <w:r>
        <w:rPr>
          <w:rFonts w:ascii="Times New Roman" w:hAnsi="Times New Roman" w:cs="Times New Roman" w:eastAsia="Times New Roman"/>
          <w:rFonts w:ascii="Times New Roman" w:hAnsi="Times New Roman"/>
          <w:b/>
          <w:sz w:val="24"/>
        </w:rPr>
        <w:t>Premessa epistemologica: perché il Caso Moro è il caso limite del metodo</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caso Moro costituisce, per la storiografia e per l’analisi delle reti informali, un banco di prova più severo di qualunque altro episodio della storia repubblicana, e la ragione non risiede soltanto nella gravità dell’evento. Risiede nel fatto che su di esso si è depositata, in quasi cinquant’anni, una sedimentazione di narrazioni concorrenti così densa da rendere quasi impossibile distinguere il fatto accertato dall’ipotesi ripetuta. Cinque processi, due Commissioni parlamentari d’inchiesta a esso specificamente dedicate, una terza — quella sulle stragi — che vi ha dedicato tomi interi, una letteratura monografica di migliaia di titoli, una pubblicistica militante di ogni orientamento: il risultato è che il caso Moro è oggi il luogo dove la conoscenza per accumulo produce meno chiarezza che altrove, perché ogni nuovo strato di racconto si sovrappone ai precedenti senza espungerli.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metodo che questo Registro adotta muove da una constatazione elementare e scomoda: nel caso Moro la difficoltà non è la scarsità delle informazioni, ma la loro sovrabbondanza disordinata e la loro contaminazione reciproca. Vi sono affermazioni che circolano da decenni con l’autorevolezza del fatto e che, risalite alla fonte, si rivelano dichiarazioni non riscontrate, ricostruzioni giornalistiche o autodichiarazioni di soggetti interessati. Vi sono, all’opposto, accertamenti giudiziari definitivi che la pubblicistica tratta come opinioni fra le altre. Il compito del Registro non è dunque aggiungere una narrazione a quelle esistenti, ma </w:t>
      </w:r>
      <w:r>
        <w:rPr>
          <w:rFonts w:ascii="Times New Roman" w:hAnsi="Times New Roman" w:cs="Times New Roman" w:eastAsia="Times New Roman"/>
          <w:rFonts w:ascii="Times New Roman" w:hAnsi="Times New Roman"/>
          <w:b/>
          <w:sz w:val="24"/>
        </w:rPr>
        <w:t>stratificare le asserzioni per grado di sostegno documentale</w:t>
      </w:r>
      <w:r>
        <w:rPr>
          <w:rFonts w:ascii="Times New Roman" w:hAnsi="Times New Roman" w:cs="Times New Roman" w:eastAsia="Times New Roman"/>
          <w:rFonts w:ascii="Times New Roman" w:hAnsi="Times New Roman"/>
          <w:b w:val="0"/>
          <w:sz w:val="24"/>
        </w:rPr>
        <w:t>, restituendo a ciascuna il suo peso e privando ciascuna del peso che non le compete. Dove la fonte documenta, il Registro certifica; dove la fonte tace, il Registro indaga e non afferma. Questa è la Regola di Ferro, e nel caso Moro essa non è una cautela accessoria: è l’unico argine.</w:t>
      </w:r>
    </w:p>
    <w:p>
      <w:pPr>
        <w:spacing w:after="120" w:line="276" w:lineRule="auto" w:before="320"/>
        <w:jc w:val="left"/>
      </w:pPr>
      <w:r>
        <w:rPr>
          <w:rFonts w:ascii="Times New Roman" w:hAnsi="Times New Roman" w:cs="Times New Roman" w:eastAsia="Times New Roman"/>
          <w:rFonts w:ascii="Times New Roman" w:hAnsi="Times New Roman"/>
          <w:b/>
          <w:sz w:val="24"/>
        </w:rPr>
        <w:t>Il problema dell’induzione e il Pollo di Popper applicato al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Karl Popper, nella Logica della scoperta scientifica, formulò la critica decisiva al metodo induttivo: nessuna quantità di osservazioni conformi dimostra una legge universale, mentre una sola osservazione contraria la falsifica. L’esempio del pollo induttivista, che Bertrand Russell propose nei Problemi della filosofia, illustra il pericolo di ogni ricerca che parta da una tesi precostituita e cerchi conferme nei dati: il pollo osserva il contadino portargli il cibo ogni giorno e ne inferisce che il contadino esisterà sempre per nutrirlo, fino al giorno in cui il contadino gli tira il collo.</w:t>
      </w:r>
    </w:p>
    <w:p>
      <w:pPr>
        <w:spacing w:after="0" w:line="276" w:lineRule="auto"/>
        <w:ind w:firstLine="425"/>
        <w:jc w:val="both"/>
      </w:pPr>
      <w:r>
        <w:rPr>
          <w:rFonts w:ascii="Times New Roman" w:hAnsi="Times New Roman" w:cs="Times New Roman" w:eastAsia="Times New Roman"/>
          <w:rFonts w:ascii="Times New Roman" w:hAnsi="Times New Roman"/>
          <w:b w:val="0"/>
          <w:sz w:val="24"/>
        </w:rPr>
        <w:t>Nel caso Moro il rischio del Pollo di Popper assume la forma più insidiosa che gli sia data assumere, perché la materia offre un numero praticamente illimitato di coincidenze. Cinquantacinque giorni di storia italiana densissima, migliaia di attori, decine di apparati, un contesto internazionale in movimento: chiunque parta dalla tesi che il sequestro fu eterodiretto troverà, senza sforzo, decine di circostanze che la confermano, perché in un intervallo così denso qualunque tesi trova conferme. E chiunque parta dalla tesi opposta ne troverà altrettante. La struttura concentrica del racconto — un centro interpretativo dal quale si irradiano i fatti — genera l’illusione della dimostrazione senza che alcuna dimostrazione sia avvenuta: i dati confermano la tesi per effetto della struttura, non per forza propria.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soluzione popperiana impone che il Registro non sia organizzato attorno a un’ipotesi ma attorno ai dati, e che ogni ipotesi sia formulata in modo da poter essere falsificata. Ne discende una regola operativa che questo Registro osserva senza eccezioni: </w:t>
      </w:r>
      <w:r>
        <w:rPr>
          <w:rFonts w:ascii="Times New Roman" w:hAnsi="Times New Roman" w:cs="Times New Roman" w:eastAsia="Times New Roman"/>
          <w:rFonts w:ascii="Times New Roman" w:hAnsi="Times New Roman"/>
          <w:b/>
          <w:sz w:val="24"/>
        </w:rPr>
        <w:t>per ogni asserzione si dichiara che cosa la falsificherebbe</w:t>
      </w:r>
      <w:r>
        <w:rPr>
          <w:rFonts w:ascii="Times New Roman" w:hAnsi="Times New Roman" w:cs="Times New Roman" w:eastAsia="Times New Roman"/>
          <w:rFonts w:ascii="Times New Roman" w:hAnsi="Times New Roman"/>
          <w:b w:val="0"/>
          <w:sz w:val="24"/>
        </w:rPr>
        <w:t>. Un’asserzione che non ammette confutazione concepibile non è conoscenza ma professione di fede, e come tale non entra nel Registro se non come oggetto, mai come strumento.</w:t>
      </w:r>
    </w:p>
    <w:p>
      <w:pPr>
        <w:spacing w:after="120" w:line="276" w:lineRule="auto" w:before="320"/>
        <w:jc w:val="left"/>
      </w:pPr>
      <w:r>
        <w:rPr>
          <w:rFonts w:ascii="Times New Roman" w:hAnsi="Times New Roman" w:cs="Times New Roman" w:eastAsia="Times New Roman"/>
          <w:rFonts w:ascii="Times New Roman" w:hAnsi="Times New Roman"/>
          <w:b/>
          <w:sz w:val="24"/>
        </w:rPr>
        <w:t>Il paradigma indiziario e la conoscenza per tracce</w:t>
      </w:r>
    </w:p>
    <w:p>
      <w:pPr>
        <w:spacing w:after="0" w:line="276" w:lineRule="auto"/>
        <w:ind w:firstLine="425"/>
        <w:jc w:val="both"/>
      </w:pPr>
      <w:r>
        <w:rPr>
          <w:rFonts w:ascii="Times New Roman" w:hAnsi="Times New Roman" w:cs="Times New Roman" w:eastAsia="Times New Roman"/>
          <w:rFonts w:ascii="Times New Roman" w:hAnsi="Times New Roman"/>
          <w:b w:val="0"/>
          <w:sz w:val="24"/>
        </w:rPr>
        <w:t>Carlo Ginzburg, nel saggio sulle radici del paradigma indiziario, individuò il metodo che accomuna la semeiotica medica, l’attribuzione conoscitiva delle opere d’arte, la psicoanalisi e l’investigazione: la conoscenza si costruisce non sulle regolarità statistiche ma sulle anomalie, sui dettagli marginali, sui sintomi che sfuggono al controllo cosciente del soggetto. Applicato al caso Moro, il paradigma indiziario significa che la struttura reale degli eventi non si rivela nelle dichiarazioni esplicite dei protagonisti — che sono tutte, per definizione, dichiarazioni di parte — ma nelle tracce involontarie: l’intestazione di un appartamento, la datazione di un documento, l’ordine in cui una notizia percorre una catena gerarchica, la discrepanza fra due verbali, l’omissione che ricorre.</w:t>
      </w:r>
    </w:p>
    <w:p>
      <w:pPr>
        <w:spacing w:after="0" w:line="276" w:lineRule="auto"/>
        <w:ind w:firstLine="425"/>
        <w:jc w:val="both"/>
      </w:pPr>
      <w:r>
        <w:rPr>
          <w:rFonts w:ascii="Times New Roman" w:hAnsi="Times New Roman" w:cs="Times New Roman" w:eastAsia="Times New Roman"/>
          <w:rFonts w:ascii="Times New Roman" w:hAnsi="Times New Roman"/>
          <w:b w:val="0"/>
          <w:sz w:val="24"/>
        </w:rPr>
        <w:t>Vale però, e va scolpita, l’avvertenza che Ginzburg stesso pose: l’indizio non è la prova, e la moltiplicazione degli indizi non equivale alla loro convergenza. Tre indizi deboli che puntano in tre direzioni diverse non fanno un indizio forte. La convergenza che vale è quella di indizi indipendenti sullo stesso punto, e l’indipendenza va accertata e non presunta — nel caso Moro molte fonti apparentemente distinte risalgono a una medesima dichiarazione originaria, ripetuta e attribuita a testimoni diversi lungo decenni.</w:t>
      </w:r>
    </w:p>
    <w:p>
      <w:pPr>
        <w:spacing w:after="120" w:line="276" w:lineRule="auto" w:before="320"/>
        <w:jc w:val="left"/>
      </w:pPr>
      <w:r>
        <w:rPr>
          <w:rFonts w:ascii="Times New Roman" w:hAnsi="Times New Roman" w:cs="Times New Roman" w:eastAsia="Times New Roman"/>
          <w:rFonts w:ascii="Times New Roman" w:hAnsi="Times New Roman"/>
          <w:b/>
          <w:sz w:val="24"/>
        </w:rPr>
        <w:t>Il quadro sistemico: Luhmann e l’accoppiamento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sociologia dei sistemi di Niklas Luhmann fornisce il quadro per comprendere come sfere di potere distinte interagiscano mantenendo autonomia operativa. Ogni sistema sociale è operativamente chiuso e cognitivamente aperto: opera secondo un proprio codice binario interno e osserva gli altri sistemi reagendo alle loro operazioni per accoppiamento strutturale. Nel caso Moro questo quadro è decisivo perché consente di descrivere l’interazione fra apparati senza postularne il concerto. L’organizzazione armata opera secondo il codice della propria legittimazione rivoluzionaria; l’intelligence secondo il codice segreto e pubblico; la politica secondo il codice del governo e dell’opposizione; l’istituzione religiosa secondo un codice proprio di mediazione morale; la magistratura secondo il codice della rilevanza penale. Che questi sistemi si osservino a vicenda, e che le operazioni dell’uno costituiscano ambiente per l’altro, è un dato strutturale che non implica alcun patto: la distinzione fra </w:t>
      </w:r>
      <w:r>
        <w:rPr>
          <w:rFonts w:ascii="Times New Roman" w:hAnsi="Times New Roman" w:cs="Times New Roman" w:eastAsia="Times New Roman"/>
          <w:rFonts w:ascii="Times New Roman" w:hAnsi="Times New Roman"/>
          <w:b/>
          <w:sz w:val="24"/>
        </w:rPr>
        <w:t>accoppiamento strutturale</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concerto</w:t>
      </w:r>
      <w:r>
        <w:rPr>
          <w:rFonts w:ascii="Times New Roman" w:hAnsi="Times New Roman" w:cs="Times New Roman" w:eastAsia="Times New Roman"/>
          <w:rFonts w:ascii="Times New Roman" w:hAnsi="Times New Roman"/>
          <w:b w:val="0"/>
          <w:sz w:val="24"/>
        </w:rPr>
        <w:t xml:space="preserve"> è, nel caso Moro, la distinzione fra analisi e dietrologia.</w:t>
      </w:r>
    </w:p>
    <w:p>
      <w:pPr>
        <w:spacing w:after="120" w:line="276" w:lineRule="auto" w:before="320"/>
        <w:jc w:val="left"/>
      </w:pPr>
      <w:r>
        <w:rPr>
          <w:rFonts w:ascii="Times New Roman" w:hAnsi="Times New Roman" w:cs="Times New Roman" w:eastAsia="Times New Roman"/>
          <w:rFonts w:ascii="Times New Roman" w:hAnsi="Times New Roman"/>
          <w:b/>
          <w:sz w:val="24"/>
        </w:rPr>
        <w:t>Network analysis: nodi, archi, livelli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L’apparato analitico opera su tre livelli. Il primo è quello dei nodi: individui, organizzazioni, luoghi ed eventi, ciascuno con i propri attributi di data, appartenenza, posizione e periodo di attività. Il secondo è quello degli archi, ossia le relazioni fra nodi, tipizzate per natura — parentela, affiliazione, operazione, comunicazione, conflitto — e dotate ciascuna di attributi di fonte, affidabilità, data e direzione. Il terzo è quello delle proprietà strutturali dell’intera rete: densità, centralità, modularità, buchi strutturali nel senso di Ronald Burt, ossia le posizioni dalle quali un intermediario controlla il flusso fra gruppi altrimenti disconnessi.</w:t>
      </w:r>
    </w:p>
    <w:p>
      <w:pPr>
        <w:spacing w:after="0" w:line="276" w:lineRule="auto"/>
        <w:ind w:firstLine="425"/>
        <w:jc w:val="both"/>
      </w:pPr>
      <w:r>
        <w:rPr>
          <w:rFonts w:ascii="Times New Roman" w:hAnsi="Times New Roman" w:cs="Times New Roman" w:eastAsia="Times New Roman"/>
          <w:rFonts w:ascii="Times New Roman" w:hAnsi="Times New Roman"/>
          <w:b w:val="0"/>
          <w:sz w:val="24"/>
        </w:rPr>
        <w:t>Quattro misure di centralità governano la lettura. La centralità di grado conta le connessioni dirette e misura la visibilità più che la potenza. La centralità di intermediazione misura quanto un nodo giaccia sui percorsi più brevi fra altri nodi, e identifica i broker: è la misura più produttiva per questo Registro, perché nel caso Moro la questione decisiva è precisamente quali nodi collegassero mondi altrimenti separati. La centralità di prossimità misura la rapidità con cui un nodo raggiunge tutti gli altri, e traduce la capacità di mobilitare risorse eterogenee in tempi brevi — capacità che nei cinquantacinque giorni fu la risorsa più scarsa e più contesa. La centralità di autovettore misura non quante connessioni un nodo abbia ma quanto contino quelle che ha, e distingue chi è connesso a molti irrilevanti da chi è connesso a pochi decisivi.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 rete è concepita come rete multilivello nel senso di Kivelä: gli stessi nodi compaiono su strati diversi, e gli archi si distinguono in intra-strato e inter-strato. Un medesimo individuo può esistere simultaneamente nello strato dell’organizzazione armata, in quello dei rapporti internazionali e in quello della mediazione religiosa, e sono precisamente gli archi inter-strato — i ponti fra i Domini — a costituire l’oggetto proprio di questo Registro.</w:t>
      </w:r>
    </w:p>
    <w:p>
      <w:pPr>
        <w:spacing w:after="120" w:line="276" w:lineRule="auto" w:before="320"/>
        <w:jc w:val="left"/>
      </w:pPr>
      <w:r>
        <w:rPr>
          <w:rFonts w:ascii="Times New Roman" w:hAnsi="Times New Roman" w:cs="Times New Roman" w:eastAsia="Times New Roman"/>
          <w:rFonts w:ascii="Times New Roman" w:hAnsi="Times New Roman"/>
          <w:b/>
          <w:sz w:val="24"/>
        </w:rPr>
        <w:t>Lo standard probatorio: la classificazione Savona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Ogni asserzione fattuale del Registro reca inline la propria classificazione, secondo lo standard di triangolazione delle fonti derivato dalla metodologia di Ernesto Savona e consolidato nella pratica giudiziaria italiana dal metodo Falcone. Il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connessione documentata, richiede la convergenza di almeno tre fonti indipendenti di natura diversa: una sentenza definitiva, una testimonianza riscontrata, un documento d’archivio.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connessione indiziaria, richiede due fonti indipendenti oppure una singola fonte di alta affidabilità, quale una sentenza di primo grado o una relazione parlamentare circostanziata: la connessione è probabile ma non certa e come tale è segnalata.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connessione ipotetica, si fonda su una fonte singola o su una convergenza di indizi circostanziali, ed è ipotesi investigativa esplicitamente marcata come tale, mai affermazione.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Nel caso Moro questa classificazione produce un effetto che va anticipato perché disturba entrambe le narrazioni consolidate: molte delle affermazioni più diffuse — in un senso e nell’altro — si collocano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mentre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più ristretto e insieme più solido di quanto la pubblicistica lasci intendere. Il Registro non considera questo un esito deludente ma il suo principale risultato: separare il poco che è accertato dal molto che è discusso è, in questa materia, l’atto conoscitivo fondamentale.</w:t>
      </w:r>
    </w:p>
    <w:p>
      <w:pPr>
        <w:spacing w:after="120" w:line="276" w:lineRule="auto" w:before="320"/>
        <w:jc w:val="left"/>
      </w:pPr>
      <w:r>
        <w:rPr>
          <w:rFonts w:ascii="Times New Roman" w:hAnsi="Times New Roman" w:cs="Times New Roman" w:eastAsia="Times New Roman"/>
          <w:rFonts w:ascii="Times New Roman" w:hAnsi="Times New Roman"/>
          <w:b/>
          <w:sz w:val="24"/>
        </w:rPr>
        <w:t>Ordo expositionis e ordo probandi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distingue rigorosamente due ordini. L’ordo expositionis è l’ordine narrativo con cui la materia è esposta, e procede per cerchi concentrici dal fatto centrale verso i contesti sempre più ampi. L’ordo probandi è l’ordine della catena documentale, e procede al contrario, dal basso: dalla fonte al nodo, dal nodo all’arco, dall’arco al pattern, dal pattern all’ipotesi. I due ordini non coincidono e non devono essere confusi: la posizione di un elemento nell’esposizione non dice nulla della sua forza probatoria, che è dichiarata soltanto dalla classificazione Savona. Questa distinzione è il presidio strutturale contro il Pollo di Popper, perché impedisce che l’architettura del racconto si travesta da dimostrazione.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SECONDA — IL CORPUS E IL SUO CENSIMENTO</w:t>
      </w:r>
    </w:p>
    <w:p>
      <w:pPr>
        <w:spacing w:after="120" w:line="276" w:lineRule="auto" w:before="320"/>
        <w:jc w:val="left"/>
      </w:pPr>
      <w:r>
        <w:rPr>
          <w:rFonts w:ascii="Times New Roman" w:hAnsi="Times New Roman" w:cs="Times New Roman" w:eastAsia="Times New Roman"/>
          <w:rFonts w:ascii="Times New Roman" w:hAnsi="Times New Roman"/>
          <w:b/>
          <w:sz w:val="24"/>
        </w:rPr>
        <w:t>Consistenza del sottocorpus</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corpus documentale sul quale questo Registro è costruito consta di sessantotto fonti leggibili in forma testuale, per una consistenza complessiva di circa venti milioni e seicentomila caratteri, alle quali si aggiungono diciotto blocchi di materiale scansionato non ancora convertito in testo. La ricognizione è stata condotta per lettura integrale automatizzata di ogni file, con riconoscimento della firma binaria e non dell’estensione, poiché numerosi file recanti estensione di documento testuale contengono in realtà testo piano, e numerosi file recanti estensione di documento portabile contengono in realtà archivi di immagini scansionate. La distinzione è tutt’altro che formale: la seconda categoria non è leggibile e costituisce lacuna operativa.</w:t>
      </w:r>
    </w:p>
    <w:p>
      <w:pPr>
        <w:spacing w:after="0" w:line="276" w:lineRule="auto"/>
        <w:ind w:firstLine="425"/>
        <w:jc w:val="both"/>
      </w:pPr>
      <w:r>
        <w:rPr>
          <w:rFonts w:ascii="Times New Roman" w:hAnsi="Times New Roman" w:cs="Times New Roman" w:eastAsia="Times New Roman"/>
          <w:rFonts w:ascii="Times New Roman" w:hAnsi="Times New Roman"/>
          <w:b w:val="0"/>
          <w:sz w:val="24"/>
        </w:rPr>
        <w:t>Le fonti si distribuiscono in cinque famiglie. La prima è quella degli atti parlamentari d’inchiesta, che comprende i tomi degli elaborati della Commissione stragi, la relazione dedicata al caso Moro, gli atti sulla dimensione sovranazionale e sull’ombra dei servizi orientali, i verbali delle sedute della decima legislatura e la relazione sulla loggia. La seconda è quella degli atti giudiziari, con le sentenze del processo Andreotti–Pecorelli e del processo Andreotti–Badalamenti. La terza è quella delle fonti archivistiche, con l’inventario del Gabinetto del Segretario generale della Presidenza della Repubblica per gli affari riservati dal millenovecentosessantuno al millenovecentonovantadue, che censisce il fascicolo dedicato all’affare Moro. La quarta è quella del corpus degli scritti e degli interventi di Aldo Moro dal millenovecentotrentadue al millenovecentosettantotto. La quinta è quella delle monografie e delle voci enciclopediche.</w:t>
      </w:r>
    </w:p>
    <w:p>
      <w:pPr>
        <w:spacing w:after="120" w:line="276" w:lineRule="auto" w:before="320"/>
        <w:jc w:val="left"/>
      </w:pPr>
      <w:r>
        <w:rPr>
          <w:rFonts w:ascii="Times New Roman" w:hAnsi="Times New Roman" w:cs="Times New Roman" w:eastAsia="Times New Roman"/>
          <w:rFonts w:ascii="Times New Roman" w:hAnsi="Times New Roman"/>
          <w:b/>
          <w:sz w:val="24"/>
        </w:rPr>
        <w:t>Indice di Contaminazione della Fonte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censimento impone una dichiarazione che il metodo esige e che la prudenza suggerirebbe di tacere. La fonte più densa dell’intero sottocorpus — quella che reca il maggior numero di occorrenze del nome di Moro, circa milleseicentocinquanta — è una monografia d’autore di orientamento dichiaratamente tesistico, il cui titolo stesso annuncia una tesi. Essa costituisce una fonte preziosa, poiché raccoglie in modo sistematico dichiarazioni, audizioni e riferimenti altrimenti dispersi, ed è </w:t>
      </w:r>
      <w:r>
        <w:rPr>
          <w:rFonts w:ascii="Times New Roman" w:hAnsi="Times New Roman" w:cs="Times New Roman" w:eastAsia="Times New Roman"/>
          <w:rFonts w:ascii="Times New Roman" w:hAnsi="Times New Roman"/>
          <w:b/>
          <w:sz w:val="24"/>
        </w:rPr>
        <w:t>terza rispetto ai fatti</w:t>
      </w:r>
      <w:r>
        <w:rPr>
          <w:rFonts w:ascii="Times New Roman" w:hAnsi="Times New Roman" w:cs="Times New Roman" w:eastAsia="Times New Roman"/>
          <w:rFonts w:ascii="Times New Roman" w:hAnsi="Times New Roman"/>
          <w:b w:val="0"/>
          <w:sz w:val="24"/>
        </w:rPr>
        <w:t xml:space="preserve"> che riferisce; ma non è </w:t>
      </w:r>
      <w:r>
        <w:rPr>
          <w:rFonts w:ascii="Times New Roman" w:hAnsi="Times New Roman" w:cs="Times New Roman" w:eastAsia="Times New Roman"/>
          <w:rFonts w:ascii="Times New Roman" w:hAnsi="Times New Roman"/>
          <w:b/>
          <w:sz w:val="24"/>
        </w:rPr>
        <w:t>neutra rispetto alle ipotesi</w:t>
      </w:r>
      <w:r>
        <w:rPr>
          <w:rFonts w:ascii="Times New Roman" w:hAnsi="Times New Roman" w:cs="Times New Roman" w:eastAsia="Times New Roman"/>
          <w:rFonts w:ascii="Times New Roman" w:hAnsi="Times New Roman"/>
          <w:b w:val="0"/>
          <w:sz w:val="24"/>
        </w:rPr>
        <w:t xml:space="preserve">, e va trattata come repertorio di segnalazioni da risalire alla fonte primaria, mai come fonte primaria essa stessa. Ogni asserzione che in questo Registro poggi unicamente su di essa è classificata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quale che sia il tono assertivo dell’originale.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medesima avvertenza vale, con minore intensità, per le voci enciclopediche collaborative presenti nel corpus, che sono utili come indice di questioni ma non costituiscono fonte per alcun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Vale infine, in senso inverso, per gli atti parlamentari: essi sono fonti di alta affidabilità quanto ai documenti che riproducono e alle audizioni che verbalizzano, ma le valutazioni politiche che contengono restano valutazioni, e la relazione di maggioranza di una Commissione non è per ciò stesso un accertamento.</w:t>
      </w:r>
    </w:p>
    <w:p>
      <w:pPr>
        <w:spacing w:after="120" w:line="276" w:lineRule="auto" w:before="320"/>
        <w:jc w:val="left"/>
      </w:pPr>
      <w:r>
        <w:rPr>
          <w:rFonts w:ascii="Times New Roman" w:hAnsi="Times New Roman" w:cs="Times New Roman" w:eastAsia="Times New Roman"/>
          <w:rFonts w:ascii="Times New Roman" w:hAnsi="Times New Roman"/>
          <w:b/>
          <w:sz w:val="24"/>
        </w:rPr>
        <w:t>La lacuna stenografica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Diciotto blocchi di materiale scansionato, per complessive oltre mille immagini, contengono i resoconti stenografici delle sedute della seconda Commissione parlamentare d’inchiesta e la documentazione fotografica sull’agguato di via Fani. Essi non sono attualmente leggibili in forma testuale e costituiscono la </w:t>
      </w:r>
      <w:r>
        <w:rPr>
          <w:rFonts w:ascii="Times New Roman" w:hAnsi="Times New Roman" w:cs="Times New Roman" w:eastAsia="Times New Roman"/>
          <w:rFonts w:ascii="Times New Roman" w:hAnsi="Times New Roman"/>
          <w:b/>
          <w:sz w:val="24"/>
        </w:rPr>
        <w:t>prima lacuna operativa</w:t>
      </w:r>
      <w:r>
        <w:rPr>
          <w:rFonts w:ascii="Times New Roman" w:hAnsi="Times New Roman" w:cs="Times New Roman" w:eastAsia="Times New Roman"/>
          <w:rFonts w:ascii="Times New Roman" w:hAnsi="Times New Roman"/>
          <w:b w:val="0"/>
          <w:sz w:val="24"/>
        </w:rPr>
        <w:t xml:space="preserve"> di questo Registro. La loro conversione mediante riconoscimento ottico è l’operazione a priorità assoluta della prossima sessione di lavoro, perché quel materiale contiene le audizioni sulle quali si fondano numerose asserzioni che al momento risultano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unicamente per inaccessibilità della fonte primaria, e che la lettura potrebbe elevare — o, con pari probabilità, smentire. La lacuna è dichiarata e non silenziata: il Registro non tratta come inesistente ciò che è soltanto non ancora letto.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TERZA — I DIECI DOMINI DECLINATI SUL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I Domini sono inclusi secondo quattro criteri simultanei derivati dalla teoria dei campi di Bourdieu e da quella dei sistemi autopoietici di Maturana e Varela mediata da Luhmann: risorse autonome non riducibili a quelle di altri Domini, gerarchia interna propria, regole operative generate internamente, capacità di autoriproduzione. Segue la declinazione dei dieci Domini sull’oggetto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primo, criminalità organizzata.</w:t>
      </w:r>
      <w:r>
        <w:rPr>
          <w:rFonts w:ascii="Times New Roman" w:hAnsi="Times New Roman" w:cs="Times New Roman" w:eastAsia="Times New Roman"/>
          <w:rFonts w:ascii="Times New Roman" w:hAnsi="Times New Roman"/>
          <w:b w:val="0"/>
          <w:sz w:val="24"/>
        </w:rPr>
        <w:t xml:space="preserve"> Vi afferiscono la banda della Magliana, alla quale è attribuita nel corpus una attività di ricerca del luogo di detenzione condotta su sollecitazione esterna al gruppo; il falsario cui è ricondotta la confezione del falso comunicato; e le contigue presenze di criminalità calabrese oggetto di dichiarazioni di collaboratori. La risorsa propria del Dominio è il monopolio della violenza illegale e la capillarità del controllo territoriale urbano, che nella primavera del millenovecentosettantotto era, per la capitale, risorsa informativa di prim’ordine.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secondo, potere politico.</w:t>
      </w:r>
      <w:r>
        <w:rPr>
          <w:rFonts w:ascii="Times New Roman" w:hAnsi="Times New Roman" w:cs="Times New Roman" w:eastAsia="Times New Roman"/>
          <w:rFonts w:ascii="Times New Roman" w:hAnsi="Times New Roman"/>
          <w:b w:val="0"/>
          <w:sz w:val="24"/>
        </w:rPr>
        <w:t xml:space="preserve"> Vi afferiscono la Democrazia Cristiana e la sua articolazione correntizia, il Partito Comunista Italiano e la formula della solidarietà nazionale, il Partito Socialista Italiano e la sua linea autonoma sulla trattativa, il Governo in carica e il Ministero dell’interno. La risorsa propria è il potere legislativo e amministrativo; la posta in gioco specifica, nei cinquantacinque giorni, fu la scelta fra la linea della fermezza e quella della trattativa, che divise il sistema politico lungo linee non coincidenti con quelle di maggioranza e opposizione.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terzo, intelligence e servizi.</w:t>
      </w:r>
      <w:r>
        <w:rPr>
          <w:rFonts w:ascii="Times New Roman" w:hAnsi="Times New Roman" w:cs="Times New Roman" w:eastAsia="Times New Roman"/>
          <w:rFonts w:ascii="Times New Roman" w:hAnsi="Times New Roman"/>
          <w:b w:val="0"/>
          <w:sz w:val="24"/>
        </w:rPr>
        <w:t xml:space="preserve"> Vi afferiscono i servizi italiani nella configurazione allora vigente e nella riforma appena entrata in funzione, l’Ufficio affari riservati, il comitato di crisi costituito presso il Ministero dell’interno e i comitati tecnico-operativi, nonché i servizi alleati e avversari nella misura in cui il corpus li documenta. La risorsa propria è il monopolio dell’informazione segreta. Il Dominio è, per questo Registro, quello a più alta densità di asserzioni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 insieme quello dove la distinzione fra accoppiamento strutturale e concerto è più difficile e più necessaria.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quarto, massoneria e società segrete.</w:t>
      </w:r>
      <w:r>
        <w:rPr>
          <w:rFonts w:ascii="Times New Roman" w:hAnsi="Times New Roman" w:cs="Times New Roman" w:eastAsia="Times New Roman"/>
          <w:rFonts w:ascii="Times New Roman" w:hAnsi="Times New Roman"/>
          <w:b w:val="0"/>
          <w:sz w:val="24"/>
        </w:rPr>
        <w:t xml:space="preserve"> Vi afferisce la loggia oggetto della relazione parlamentare, la cui sezione dedicata all’affare Moro è documento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alle acquisizioni che riferisce. La risorsa propria è la rete relazionale riservata, che opera per accesso e non per comando.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quinto, istituzioni religiose.</w:t>
      </w:r>
      <w:r>
        <w:rPr>
          <w:rFonts w:ascii="Times New Roman" w:hAnsi="Times New Roman" w:cs="Times New Roman" w:eastAsia="Times New Roman"/>
          <w:rFonts w:ascii="Times New Roman" w:hAnsi="Times New Roman"/>
          <w:b w:val="0"/>
          <w:sz w:val="24"/>
        </w:rPr>
        <w:t xml:space="preserve"> Vi afferiscono la Santa Sede e l’iniziativa personale del Pontefice, i canali di mediazione ecclesiastica e le figure sacerdotali indicate nel corpus come tramiti. La risorsa propria è la legittimità morale e la capacità di comunicare fuori dai canali istituzionali senza impegnare formalmente alcuno Stato.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sesto, economia e finanza.</w:t>
      </w:r>
      <w:r>
        <w:rPr>
          <w:rFonts w:ascii="Times New Roman" w:hAnsi="Times New Roman" w:cs="Times New Roman" w:eastAsia="Times New Roman"/>
          <w:rFonts w:ascii="Times New Roman" w:hAnsi="Times New Roman"/>
          <w:b w:val="0"/>
          <w:sz w:val="24"/>
        </w:rPr>
        <w:t xml:space="preserve"> Vi afferisce, per questo Registro, un ruolo indiretto e circoscritto: la disponibilità di risorse per un’eventuale trattativa e la gestione dei circuiti di pagamento occulti. È il Dominio meno documentato del sottocorpus e per esso il Registro non formula asserzioni di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settimo, terrorismo e violenza politica.</w:t>
      </w:r>
      <w:r>
        <w:rPr>
          <w:rFonts w:ascii="Times New Roman" w:hAnsi="Times New Roman" w:cs="Times New Roman" w:eastAsia="Times New Roman"/>
          <w:rFonts w:ascii="Times New Roman" w:hAnsi="Times New Roman"/>
          <w:b w:val="0"/>
          <w:sz w:val="24"/>
        </w:rPr>
        <w:t xml:space="preserve"> È il Dominio centrale del Registro. Vi afferiscono le Brigate Rosse nella loro articolazione di direzione strategica, comitato esecutivo e colonna romana; le formazioni contigue dell’area dell’autonomia; le strutture estere di riferimento indicate nel corpus. La risorsa propria è la capacità di destabilizzazione mediante violenza mirata.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ottavo, media e controllo dell’informazione.</w:t>
      </w:r>
      <w:r>
        <w:rPr>
          <w:rFonts w:ascii="Times New Roman" w:hAnsi="Times New Roman" w:cs="Times New Roman" w:eastAsia="Times New Roman"/>
          <w:rFonts w:ascii="Times New Roman" w:hAnsi="Times New Roman"/>
          <w:b w:val="0"/>
          <w:sz w:val="24"/>
        </w:rPr>
        <w:t xml:space="preserve"> Vi afferiscono il sistema dell’informazione quotidiana, l’agenzia di stampa nazionale, la pubblicistica di settore e in particolare la testata diretta dal giornalista poi ucciso, che nel corpus compare quale nodo di intersezione fra informazione riservata e potere politico. La risorsa propria è il controllo del flusso informativo pubblico, che nei cinquantacinque giorni fu esso stesso terreno di operazioni.</w:t>
      </w:r>
    </w:p>
    <w:p>
      <w:pPr>
        <w:spacing w:after="0" w:line="276" w:lineRule="auto"/>
        <w:ind w:firstLine="425"/>
        <w:jc w:val="both"/>
      </w:pPr>
      <w:r>
        <w:rPr>
          <w:rFonts w:ascii="Times New Roman" w:hAnsi="Times New Roman" w:cs="Times New Roman" w:eastAsia="Times New Roman"/>
          <w:rFonts w:ascii="Times New Roman" w:hAnsi="Times New Roman"/>
          <w:b/>
          <w:sz w:val="24"/>
        </w:rPr>
        <w:t>Dominio nono, forze armate e apparato militare.</w:t>
      </w:r>
      <w:r>
        <w:rPr>
          <w:rFonts w:ascii="Times New Roman" w:hAnsi="Times New Roman" w:cs="Times New Roman" w:eastAsia="Times New Roman"/>
          <w:rFonts w:ascii="Times New Roman" w:hAnsi="Times New Roman"/>
          <w:b w:val="0"/>
          <w:sz w:val="24"/>
        </w:rPr>
        <w:t xml:space="preserve"> Vi afferiscono l’Arma dei carabinieri e il suo nucleo antiterrorismo, la pubblica sicurezza, i vertici militari e la struttura atlantica per la parte che il corpus documenta. La risorsa propria è il monopolio della forza legale organizzata.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decimo, magistratura e sistema giudiziario.</w:t>
      </w:r>
      <w:r>
        <w:rPr>
          <w:rFonts w:ascii="Times New Roman" w:hAnsi="Times New Roman" w:cs="Times New Roman" w:eastAsia="Times New Roman"/>
          <w:rFonts w:ascii="Times New Roman" w:hAnsi="Times New Roman"/>
          <w:b w:val="0"/>
          <w:sz w:val="24"/>
        </w:rPr>
        <w:t xml:space="preserve"> Vi afferiscono le procure competenti, i cinque processi celebrati, le Commissioni parlamentari d’inchiesta e i collaboratori di giustizia quali fonti dotate di statuto proprio e di limiti propri. La risorsa specifica è il monopolio dell’azione penale e, per il Registro, la produzione di accertamenti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QUARTA — LA TIPOLOGIA DEGLI ARCHI E LE COPPIE INTER-DOMINIO</w:t>
      </w:r>
    </w:p>
    <w:p>
      <w:pPr>
        <w:spacing w:after="0" w:line="276" w:lineRule="auto"/>
        <w:ind w:firstLine="425"/>
        <w:jc w:val="both"/>
      </w:pPr>
      <w:r>
        <w:rPr>
          <w:rFonts w:ascii="Times New Roman" w:hAnsi="Times New Roman" w:cs="Times New Roman" w:eastAsia="Times New Roman"/>
          <w:rFonts w:ascii="Times New Roman" w:hAnsi="Times New Roman"/>
          <w:b w:val="0"/>
          <w:sz w:val="24"/>
        </w:rPr>
        <w:t>Gli archi che collegano nodi di Domini diversi si classificano secondo sei tipi. L’</w:t>
      </w:r>
      <w:r>
        <w:rPr>
          <w:rFonts w:ascii="Times New Roman" w:hAnsi="Times New Roman" w:cs="Times New Roman" w:eastAsia="Times New Roman"/>
          <w:rFonts w:ascii="Times New Roman" w:hAnsi="Times New Roman"/>
          <w:b/>
          <w:sz w:val="24"/>
        </w:rPr>
        <w:t>arco di collusione</w:t>
      </w:r>
      <w:r>
        <w:rPr>
          <w:rFonts w:ascii="Times New Roman" w:hAnsi="Times New Roman" w:cs="Times New Roman" w:eastAsia="Times New Roman"/>
          <w:rFonts w:ascii="Times New Roman" w:hAnsi="Times New Roman"/>
          <w:b w:val="0"/>
          <w:sz w:val="24"/>
        </w:rPr>
        <w:t xml:space="preserve"> lega due attori in relazione stabile e reciprocamente vantaggiosa, in violazione delle regole di entrambi i Domini. L’</w:t>
      </w:r>
      <w:r>
        <w:rPr>
          <w:rFonts w:ascii="Times New Roman" w:hAnsi="Times New Roman" w:cs="Times New Roman" w:eastAsia="Times New Roman"/>
          <w:rFonts w:ascii="Times New Roman" w:hAnsi="Times New Roman"/>
          <w:b/>
          <w:sz w:val="24"/>
        </w:rPr>
        <w:t>arco di strumentalizzazione</w:t>
      </w:r>
      <w:r>
        <w:rPr>
          <w:rFonts w:ascii="Times New Roman" w:hAnsi="Times New Roman" w:cs="Times New Roman" w:eastAsia="Times New Roman"/>
          <w:rFonts w:ascii="Times New Roman" w:hAnsi="Times New Roman"/>
          <w:b w:val="0"/>
          <w:sz w:val="24"/>
        </w:rPr>
        <w:t xml:space="preserve"> vede un attore usare l’altro come mezzo, senza che questi ne sia necessariamente consapevole. L’</w:t>
      </w:r>
      <w:r>
        <w:rPr>
          <w:rFonts w:ascii="Times New Roman" w:hAnsi="Times New Roman" w:cs="Times New Roman" w:eastAsia="Times New Roman"/>
          <w:rFonts w:ascii="Times New Roman" w:hAnsi="Times New Roman"/>
          <w:b/>
          <w:sz w:val="24"/>
        </w:rPr>
        <w:t>arco di infiltrazione</w:t>
      </w:r>
      <w:r>
        <w:rPr>
          <w:rFonts w:ascii="Times New Roman" w:hAnsi="Times New Roman" w:cs="Times New Roman" w:eastAsia="Times New Roman"/>
          <w:rFonts w:ascii="Times New Roman" w:hAnsi="Times New Roman"/>
          <w:b w:val="0"/>
          <w:sz w:val="24"/>
        </w:rPr>
        <w:t xml:space="preserve"> vede un attore penetrare formalmente nell’altro Dominio mantenendo la lealtà originaria, e rende ambigua l’appartenenza del nodo. L’</w:t>
      </w:r>
      <w:r>
        <w:rPr>
          <w:rFonts w:ascii="Times New Roman" w:hAnsi="Times New Roman" w:cs="Times New Roman" w:eastAsia="Times New Roman"/>
          <w:rFonts w:ascii="Times New Roman" w:hAnsi="Times New Roman"/>
          <w:b/>
          <w:sz w:val="24"/>
        </w:rPr>
        <w:t>arco di convergenza</w:t>
      </w:r>
      <w:r>
        <w:rPr>
          <w:rFonts w:ascii="Times New Roman" w:hAnsi="Times New Roman" w:cs="Times New Roman" w:eastAsia="Times New Roman"/>
          <w:rFonts w:ascii="Times New Roman" w:hAnsi="Times New Roman"/>
          <w:b w:val="0"/>
          <w:sz w:val="24"/>
        </w:rPr>
        <w:t xml:space="preserve"> collega attori privi di relazione diretta le cui azioni producono effetti convergenti su un terzo Dominio: è il tipo più difficile da accertare, perché non presuppone contatto e la convergenza può essere tanto intenzionale quanto emergente. L’</w:t>
      </w:r>
      <w:r>
        <w:rPr>
          <w:rFonts w:ascii="Times New Roman" w:hAnsi="Times New Roman" w:cs="Times New Roman" w:eastAsia="Times New Roman"/>
          <w:rFonts w:ascii="Times New Roman" w:hAnsi="Times New Roman"/>
          <w:b/>
          <w:sz w:val="24"/>
        </w:rPr>
        <w:t>arco di transito</w:t>
      </w:r>
      <w:r>
        <w:rPr>
          <w:rFonts w:ascii="Times New Roman" w:hAnsi="Times New Roman" w:cs="Times New Roman" w:eastAsia="Times New Roman"/>
          <w:rFonts w:ascii="Times New Roman" w:hAnsi="Times New Roman"/>
          <w:b w:val="0"/>
          <w:sz w:val="24"/>
        </w:rPr>
        <w:t xml:space="preserve"> descrive un flusso — denaro, armi, informazioni, protezione — che attraversa la rete per una sequenza di intermediari. L’</w:t>
      </w:r>
      <w:r>
        <w:rPr>
          <w:rFonts w:ascii="Times New Roman" w:hAnsi="Times New Roman" w:cs="Times New Roman" w:eastAsia="Times New Roman"/>
          <w:rFonts w:ascii="Times New Roman" w:hAnsi="Times New Roman"/>
          <w:b/>
          <w:sz w:val="24"/>
        </w:rPr>
        <w:t>arco di ospitalità o santuario</w:t>
      </w:r>
      <w:r>
        <w:rPr>
          <w:rFonts w:ascii="Times New Roman" w:hAnsi="Times New Roman" w:cs="Times New Roman" w:eastAsia="Times New Roman"/>
          <w:rFonts w:ascii="Times New Roman" w:hAnsi="Times New Roman"/>
          <w:b w:val="0"/>
          <w:sz w:val="24"/>
        </w:rPr>
        <w:t xml:space="preserve"> descrive la messa a disposizione di uno spazio, materiale o istituzionale, che consente all’altro di operare senza che vi sia necessariamente condivisione di fini.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calcolo condotto sul sottocorpus identifica come empiricamente più dense, per il caso Moro, le coppie fra il settimo e il terzo Dominio, fra il settimo e il secondo, fra il terzo e il nono, fra il secondo e il quinto, fra il primo e il settimo, fra l’ottavo e il secondo, fra il decimo e il settimo. Risultano rade, e per ciò stesso potenzialmente più rivelatrici ove documentate, le coppie fra il quinto e il settimo Dominio e fra il sesto e il settimo. La densità di una coppia misura la frequenza della sua tematizzazione nelle fonti e non la sua verità: una coppia densa può essere densa perché molto discussa, non perché molto accertata, e questa distinzione è mantenuta per tutto il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QUINTA — REGISTRO DEI NODI</w:t>
      </w:r>
    </w:p>
    <w:p>
      <w:pPr>
        <w:spacing w:after="120" w:line="276" w:lineRule="auto" w:before="320"/>
        <w:jc w:val="left"/>
      </w:pPr>
      <w:r>
        <w:rPr>
          <w:rFonts w:ascii="Times New Roman" w:hAnsi="Times New Roman" w:cs="Times New Roman" w:eastAsia="Times New Roman"/>
          <w:rFonts w:ascii="Times New Roman" w:hAnsi="Times New Roman"/>
          <w:b/>
          <w:sz w:val="24"/>
        </w:rPr>
        <w:t>Nodo centrale</w:t>
      </w:r>
    </w:p>
    <w:p>
      <w:pPr>
        <w:spacing w:after="0" w:line="276" w:lineRule="auto"/>
        <w:ind w:firstLine="425"/>
        <w:jc w:val="both"/>
      </w:pPr>
      <w:r>
        <w:rPr>
          <w:rFonts w:ascii="Times New Roman" w:hAnsi="Times New Roman" w:cs="Times New Roman" w:eastAsia="Times New Roman"/>
          <w:rFonts w:ascii="Times New Roman" w:hAnsi="Times New Roman"/>
          <w:b/>
          <w:sz w:val="24"/>
        </w:rPr>
        <w:t>Aldo Moro.</w:t>
      </w:r>
      <w:r>
        <w:rPr>
          <w:rFonts w:ascii="Times New Roman" w:hAnsi="Times New Roman" w:cs="Times New Roman" w:eastAsia="Times New Roman"/>
          <w:rFonts w:ascii="Times New Roman" w:hAnsi="Times New Roman"/>
          <w:b w:val="0"/>
          <w:sz w:val="24"/>
        </w:rPr>
        <w:t xml:space="preserve"> Presidente della Democrazia Cristiana, più volte Presidente del Consiglio e Ministro degli esteri, artefice della formula politica che nella primavera del millenovecentosettantotto stava per condurre il Partito Comunista Italiano alla maggioranza di governo. Il corpus degli scritti e degli interventi dal millenovecentotrentadue al millenovecentosettantotto, presente nel sottocorpus, consente di trattarlo non solo come vittima ma come autore, e questa è la scelta del Registro: la sua produzione intellettuale e politica è essa stessa fonte, e la comparazione fra gli autografi della prigionia e la scrittura anteriore costituisce terreno filologico autonomo. Il nodo possiede la più alta centralità di grado dell’intera rete e, quel che più conta, altissima centralità di intermediazione: era il punto di passaggio obbligato fra aree politiche altrimenti disconnesse, e questa proprietà strutturale — non la sola carica — spiega la sua selezione come bersaglio.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settimo — l’organizzazione armata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sequestro di via Fani del sedici marzo millenovecentosettantotto, l’uccisione dei cinque uomini della scorta — il maresciallo Oreste Leonardi, l’appuntato Domenico Ricci, gli agenti Raffaele Iozzino e Giulio Rivera, il vicebrigadiere Francesco Zizzi — la detenzione e l’omicidio del nove maggio sono opera delle Brigate Rosse: questo è accertamento giudiziario definitivo,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il nucleo duro attorno al quale ogni ipotesi ulteriore deve costruirsi senza contraddirlo. </w:t>
      </w:r>
      <w:r>
        <w:rPr>
          <w:rFonts w:ascii="Times New Roman" w:hAnsi="Times New Roman" w:cs="Times New Roman" w:eastAsia="Times New Roman"/>
          <w:rFonts w:ascii="Times New Roman" w:hAnsi="Times New Roman"/>
          <w:b/>
          <w:sz w:val="24"/>
        </w:rPr>
        <w:t>Mario Moretti</w:t>
      </w:r>
      <w:r>
        <w:rPr>
          <w:rFonts w:ascii="Times New Roman" w:hAnsi="Times New Roman" w:cs="Times New Roman" w:eastAsia="Times New Roman"/>
          <w:rFonts w:ascii="Times New Roman" w:hAnsi="Times New Roman"/>
          <w:b w:val="0"/>
          <w:sz w:val="24"/>
        </w:rPr>
        <w:t xml:space="preserve">, capo della colonna romana e membro del comitato esecutivo, ha ammesso di essere l’esecutore materiale dell’omicidio: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Valerio Morucci</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Adriana Faranda</w:t>
      </w:r>
      <w:r>
        <w:rPr>
          <w:rFonts w:ascii="Times New Roman" w:hAnsi="Times New Roman" w:cs="Times New Roman" w:eastAsia="Times New Roman"/>
          <w:rFonts w:ascii="Times New Roman" w:hAnsi="Times New Roman"/>
          <w:b w:val="0"/>
          <w:sz w:val="24"/>
        </w:rPr>
        <w:t xml:space="preserve">, appartenenti alla colonna romana, sono autori del memoriale che per decenni ha costituito la ricostruzione di riferimento del sequestro: la loro partecipazione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mentre la completezza e la veridicità integrale della loro ricostruzione è oggetto di contestazione esplicita negli atti della seconda Commissione, che la dichiara infondata quanto al teorema che ne è stato tratto — asserzione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proveniente da relazione parlamentare circostanziata.</w:t>
      </w:r>
    </w:p>
    <w:p>
      <w:pPr>
        <w:spacing w:after="0" w:line="276" w:lineRule="auto"/>
        <w:ind w:firstLine="425"/>
        <w:jc w:val="both"/>
      </w:pPr>
      <w:r>
        <w:rPr>
          <w:rFonts w:ascii="Times New Roman" w:hAnsi="Times New Roman" w:cs="Times New Roman" w:eastAsia="Times New Roman"/>
          <w:rFonts w:ascii="Times New Roman" w:hAnsi="Times New Roman"/>
          <w:b/>
          <w:sz w:val="24"/>
        </w:rPr>
        <w:t>Prospero Gallinari</w:t>
      </w:r>
      <w:r>
        <w:rPr>
          <w:rFonts w:ascii="Times New Roman" w:hAnsi="Times New Roman" w:cs="Times New Roman" w:eastAsia="Times New Roman"/>
          <w:rFonts w:ascii="Times New Roman" w:hAnsi="Times New Roman"/>
          <w:b w:val="0"/>
          <w:sz w:val="24"/>
        </w:rPr>
        <w:t xml:space="preserve">, ferito e arrestato nel settembre millenovecentosettantanove, e </w:t>
      </w:r>
      <w:r>
        <w:rPr>
          <w:rFonts w:ascii="Times New Roman" w:hAnsi="Times New Roman" w:cs="Times New Roman" w:eastAsia="Times New Roman"/>
          <w:rFonts w:ascii="Times New Roman" w:hAnsi="Times New Roman"/>
          <w:b/>
          <w:sz w:val="24"/>
        </w:rPr>
        <w:t>Anna Laura Braghetti</w:t>
      </w:r>
      <w:r>
        <w:rPr>
          <w:rFonts w:ascii="Times New Roman" w:hAnsi="Times New Roman" w:cs="Times New Roman" w:eastAsia="Times New Roman"/>
          <w:rFonts w:ascii="Times New Roman" w:hAnsi="Times New Roman"/>
          <w:b w:val="0"/>
          <w:sz w:val="24"/>
        </w:rPr>
        <w:t xml:space="preserve">, arrestata nel maggio millenovecentottanta, sono nodi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alla seconda era intestato l’appartamento di via Camillo Montalcini, sede della prigione. </w:t>
      </w:r>
      <w:r>
        <w:rPr>
          <w:rFonts w:ascii="Times New Roman" w:hAnsi="Times New Roman" w:cs="Times New Roman" w:eastAsia="Times New Roman"/>
          <w:rFonts w:ascii="Times New Roman" w:hAnsi="Times New Roman"/>
          <w:b/>
          <w:sz w:val="24"/>
        </w:rPr>
        <w:t>Barbara Balzerani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Corrado Alunni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Renato Curcio</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Alberto Franceschini</w:t>
      </w:r>
      <w:r>
        <w:rPr>
          <w:rFonts w:ascii="Times New Roman" w:hAnsi="Times New Roman" w:cs="Times New Roman" w:eastAsia="Times New Roman"/>
          <w:rFonts w:ascii="Times New Roman" w:hAnsi="Times New Roman"/>
          <w:b w:val="0"/>
          <w:sz w:val="24"/>
        </w:rPr>
        <w:t xml:space="preserve"> compaiono nel corpus con posizioni e livelli differenziati, i primi due quali militanti operativi nel periodo, gli ultimi due quali fondatori già detenuti al momento dei fatti e successivamente fonti dichiarative il cui statuto va valutato caso per caso — il corpus registra esplicitamente la circostanza che uno di essi abbia fatto della dissociazione e dell’insinuazione contro l’organizzazione una linea costante, avvertenza che il Registro recepisce come cautela sulla fonte e non come giudizio sulla persona.</w:t>
      </w:r>
    </w:p>
    <w:p>
      <w:pPr>
        <w:spacing w:after="120" w:line="276" w:lineRule="auto" w:before="320"/>
        <w:jc w:val="left"/>
      </w:pPr>
      <w:r>
        <w:rPr>
          <w:rFonts w:ascii="Times New Roman" w:hAnsi="Times New Roman" w:cs="Times New Roman" w:eastAsia="Times New Roman"/>
          <w:rFonts w:ascii="Times New Roman" w:hAnsi="Times New Roman"/>
          <w:b/>
          <w:sz w:val="24"/>
        </w:rPr>
        <w:t>Dominio terzo — apparati informativi e comitati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comitato di crisi</w:t>
      </w:r>
      <w:r>
        <w:rPr>
          <w:rFonts w:ascii="Times New Roman" w:hAnsi="Times New Roman" w:cs="Times New Roman" w:eastAsia="Times New Roman"/>
          <w:rFonts w:ascii="Times New Roman" w:hAnsi="Times New Roman"/>
          <w:b w:val="0"/>
          <w:sz w:val="24"/>
        </w:rPr>
        <w:t xml:space="preserve"> costituito presso il Ministero dell’interno è nodo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 sua esistenza, composizione e funzionamento. </w:t>
      </w:r>
      <w:r>
        <w:rPr>
          <w:rFonts w:ascii="Times New Roman" w:hAnsi="Times New Roman" w:cs="Times New Roman" w:eastAsia="Times New Roman"/>
          <w:rFonts w:ascii="Times New Roman" w:hAnsi="Times New Roman"/>
          <w:b/>
          <w:sz w:val="24"/>
        </w:rPr>
        <w:t>Steve Pieczenik</w:t>
      </w:r>
      <w:r>
        <w:rPr>
          <w:rFonts w:ascii="Times New Roman" w:hAnsi="Times New Roman" w:cs="Times New Roman" w:eastAsia="Times New Roman"/>
          <w:rFonts w:ascii="Times New Roman" w:hAnsi="Times New Roman"/>
          <w:b w:val="0"/>
          <w:sz w:val="24"/>
        </w:rPr>
        <w:t xml:space="preserve">, consulente statunitense presente a Roma in quei giorni con funzioni di consulenza sulla gestione della crisi, è nodo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sua presenza e al suo ruolo consultivo, documentati; le sue dichiarazioni successive, nelle quali afferma di avere messo in moto una manipolazione strategica che condusse alla morte di Moro al fine di stabilizzare la situazione italiana, sono </w:t>
      </w:r>
      <w:r>
        <w:rPr>
          <w:rFonts w:ascii="Times New Roman" w:hAnsi="Times New Roman" w:cs="Times New Roman" w:eastAsia="Times New Roman"/>
          <w:rFonts w:ascii="Times New Roman" w:hAnsi="Times New Roman"/>
          <w:b/>
          <w:sz w:val="24"/>
        </w:rPr>
        <w:t>autodichiarazioni rese a distanza di decenni</w:t>
      </w:r>
      <w:r>
        <w:rPr>
          <w:rFonts w:ascii="Times New Roman" w:hAnsi="Times New Roman" w:cs="Times New Roman" w:eastAsia="Times New Roman"/>
          <w:rFonts w:ascii="Times New Roman" w:hAnsi="Times New Roman"/>
          <w:b w:val="0"/>
          <w:sz w:val="24"/>
        </w:rPr>
        <w:t xml:space="preserve"> e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esse costituiscono segnalazione investigativa di primo rilievo e non accertamento, poiché una dichiarazione autoaccusatoria non riscontrata non è più affidabile di una dichiarazione eteroaccusatoria non riscontrata, e la sua spettacolarità ne accresce la diffusione senza accrescerne il valore probatorio. Che cosa la eleverebbe: un riscontro documentale coevo, negli archivi statunitensi o italiani, di direttive corrispondenti a quanto dichiarato.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circostanza che documenti di un servizio informativo straniero attestino, secondo quanto riferito da magistrati che ne ebbero visione all’estero, una conoscenza anticipata dell’intenzione di rapire Moro comunicata ai corrispondenti italiani, e che di tale documento non vi sia traccia negli archivi nazionali, è asserzione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allo stato del corpus: essa poggia sul racconto della visione e non sul documento. Che cosa la eleverebbe: l’acquisizione del documento o del riscontro archivistico della comunicazione. La sua rilevanza è tale da giustificare l’apertura di una specifica linea di ricerca, che il Registro dichiara aperta.</w:t>
      </w:r>
    </w:p>
    <w:p>
      <w:pPr>
        <w:spacing w:after="120" w:line="276" w:lineRule="auto" w:before="320"/>
        <w:jc w:val="left"/>
      </w:pPr>
      <w:r>
        <w:rPr>
          <w:rFonts w:ascii="Times New Roman" w:hAnsi="Times New Roman" w:cs="Times New Roman" w:eastAsia="Times New Roman"/>
          <w:rFonts w:ascii="Times New Roman" w:hAnsi="Times New Roman"/>
          <w:b/>
          <w:sz w:val="24"/>
        </w:rPr>
        <w:t>Dominio quinto — la mediazione religiosa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L’iniziativa personale del Pontefice in favore di una soluzione che salvasse la vita del prigioniero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L’esistenza di un canale di ritorno ecclesiastico attraverso il quale corrispondenza o messaggi transitarono è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sostenuta da dichiarazioni convergenti di familiari e da acquisizioni della seconda Commissione; l’identificazione nominativa del sacerdote che lo avrebbe costituito è riferita nel corpus da dichiarazione di un congiunto della vittima e resta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all’indicazione,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all’estensione e ai contenuti del canale. La presenza di un cappellano con funzioni di raccordo verso ambienti carcerari e la sua relazione con altri interlocutori sono nel corpus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primo — criminalità organizzata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falso comunicato numero sette</w:t>
      </w:r>
      <w:r>
        <w:rPr>
          <w:rFonts w:ascii="Times New Roman" w:hAnsi="Times New Roman" w:cs="Times New Roman" w:eastAsia="Times New Roman"/>
          <w:rFonts w:ascii="Times New Roman" w:hAnsi="Times New Roman"/>
          <w:b w:val="0"/>
          <w:sz w:val="24"/>
        </w:rPr>
        <w:t xml:space="preserve"> del diciotto aprile millenovecentosettantotto, che annunciava l’uccisione del prigioniero e la sepoltura nel lago della Duchessa, è attribuito a un falsario contiguo alla banda della Magliana: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circostanza che uomini della banda abbiano condotto ricerche sul luogo di detenzione su richiesta veicolata da ambienti della camorra, e che una fonte interna abbia indicato la zona e persino la via poi rivelatasi sede di un covo, è riferita da dichiarazioni di collaboratori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essa è priva, allo stato del corpus, di riscontro documentale coevo, e la sua struttura narrativa — l’informazione giusta ignorata — è precisamente quella che il paradigma indiziario impone di trattare con la massima diffidenza, poiché è la forma che la memoria retrospettiva assume più spontaneamente. Che cosa la eleverebbe: un atto coevo che documenti la trasmissione dell’informazione.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L’accusa mossa da un collaboratore calabrese a un esponente di rilievo della criminalità organizzata calabrese di essere stato presente in via Fani è </w:t>
      </w:r>
      <w:r>
        <w:rPr>
          <w:rFonts w:ascii="Times New Roman" w:hAnsi="Times New Roman" w:cs="Times New Roman" w:eastAsia="Times New Roman"/>
          <w:rFonts w:ascii="Times New Roman" w:hAnsi="Times New Roman"/>
          <w:b/>
          <w:sz w:val="24"/>
        </w:rPr>
        <w:t>dichiarazione singola non riscontrata</w:t>
      </w:r>
      <w:r>
        <w:rPr>
          <w:rFonts w:ascii="Times New Roman" w:hAnsi="Times New Roman" w:cs="Times New Roman" w:eastAsia="Times New Roman"/>
          <w:rFonts w:ascii="Times New Roman" w:hAnsi="Times New Roman"/>
          <w:b w:val="0"/>
          <w:sz w:val="24"/>
        </w:rPr>
        <w:t xml:space="preserve">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Il Registro la registra perché registrata negli atti, e la mantiene al livello che le compete; osserva inoltre che l’asserzione più generale della presenza in via Fani di soggetti estranei all’organizzazione armata è affermazione ricorrente nel corpus, sostenuta in sede parlamentare e contestata in sede giudiziaria, e che il suo statuto è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all’identificazione di chiunque,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sussistenza di elementi che hanno indotto una Commissione parlamentare a ritenerla non esclusa.</w:t>
      </w:r>
    </w:p>
    <w:p>
      <w:pPr>
        <w:spacing w:after="120" w:line="276" w:lineRule="auto" w:before="320"/>
        <w:jc w:val="left"/>
      </w:pPr>
      <w:r>
        <w:rPr>
          <w:rFonts w:ascii="Times New Roman" w:hAnsi="Times New Roman" w:cs="Times New Roman" w:eastAsia="Times New Roman"/>
          <w:rFonts w:ascii="Times New Roman" w:hAnsi="Times New Roman"/>
          <w:b/>
          <w:sz w:val="24"/>
        </w:rPr>
        <w:t>Dominio ottavo e Dominio quarto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giornalista direttore della testata di informazione riservata, ucciso nel marzo millenovecentosettantanove, è nodo di intersezione fra informazione, apparati e politica: la sua uccisione e i suoi rapporti sono oggetto dei due procedimenti presenti nel corpus, e il suo interesse per la vicenda Moro vi è documentato —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relazione parlamentare sulla loggia dedica all’affare Moro una propria sezione: l’esistenza di attività informative sulla vicenda condotte nell’ambito documentato dalla relazione, e la trasmissione di valutazioni riferibili al capo della loggia a un appartenente al servizio, sono asserzioni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fondate su testimonianza resa a magistrato e riportata in relazione parlamentare.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SESTA — I CINQUANTACINQUE GIORNI: CRONOLOGIA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cronologia che segue non è un racconto ma una griglia di ancoraggio: essa serve a fissare le date rispetto alle quali si misurano le coincidenze temporali del settimo Pattern, e riporta soltanto ciò che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rinviando alle sezioni precedenti per le asserzioni di livello inferiore.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sedici marzo millenovecentosettantotto, in via Mario Fani a Roma, un commando delle Brigate Rosse rapisce Aldo Moro e uccide i cinque uomini della scorta. La data non è casuale rispetto al calendario politico: quel giorno la Camera è convocata per la fiducia al governo che per la prima volta nella storia repubblicana si regge sull’astensione concordata del Partito Comunista Italiano, esito del disegno politico del quale il sequestrato era l’artefice. La coincidenza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e costituisce, per la sua precisione, un elemento diagnostico che qualunque ipotesi deve saper spiegare.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Nei giorni successivi si costituisce presso il Ministero dell’interno la struttura di gestione della crisi; il sistema politico si divide fra la linea della fermezza, che esclude ogni trattativa con l’organizzazione, e la linea che ammette forme di contatto. Il prigioniero scrive: le lettere indirizzate a esponenti politici, a familiari, alle autorità ecclesiastiche costituiscono corpus autografo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all’autenticità materiale, e sono oggetto di analisi filologica autonoma quanto all’interpretazione, poiché la questione se e in quale misura esse esprimano la volontà libera dello scrivente è stata posta fin dai giorni stessi ed è tuttora discussa.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diciotto aprile viene diffuso un comunicato apocrifo che annuncia la morte del prigioniero indicandone la sepoltura in un lago dell’Appennino; nello stesso giorno è scoperto in via Gradoli un appartamento utilizzato dall’organizzazione. La contiguità delle due circostanze nella medesima giornata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una delle anomalie temporali più forti dell’intera vicenda, nel senso preciso del paradigma indiziario: essa non prova nulla da sola e nessuna spiegazione può essere data per acquisita, ma è esattamente il tipo di dettaglio marginale che il metodo impone di non archiviare. Il Registro la iscrive fra le questioni aperte con la nota che la spiegazione della coincidenza è, allo stato, indeterminata fra almeno tre letture concorrenti — casualità, effetto di una medesima fonte informativa che agisce su due piani, operazione deliberata di depistaggio sincronizzata con un’azione di polizia — nessuna delle quali il corpus consente di privilegiare oltre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nove maggio il corpo di Aldo Moro è rinvenuto in via Michelangelo Caetani, nel bagagliaio di un’autovettura, in posizione equidistante fra le sedi dei due maggiori partiti. La scelta del luogo è, in sé, atto comunicativo: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oggetto di interpretazione quanto al significato.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Due date successive appartengono alla cronologia strutturale del caso perché ne mutano il quadro documentale. Il primo ottobre millenovecentosettantotto, in un appartamento milanese di via Monte Nevoso, viene rinvenuta una prima parte degli scritti della prigionia; nell’ottobre millenovecentonovanta, nel medesimo immobile, ne viene rinvenuta una seconda e più ampia parte. La duplicazione del ritrovamento a dodici anni di distanza, nello stesso luogo,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 costituisce il maggiore problema documentale del caso, poiché ogni ricostruzione fondata sulla prima tranche è stata elaborata nell’ignoranza della seconda.</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SETTIMA — I PATTERN ANALITICI APPLICATI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I Pattern non sono ipotesi preconcette ma regolarità emergenti dalla rete, identificate dopo la sua costruzione secondo il principio della costruzione dal basso di Glaser e Strauss. Se ne applicano al caso Moro i seguenti.</w:t>
      </w:r>
    </w:p>
    <w:p>
      <w:pPr>
        <w:spacing w:after="0" w:line="276" w:lineRule="auto"/>
        <w:ind w:firstLine="425"/>
        <w:jc w:val="both"/>
      </w:pPr>
      <w:r>
        <w:rPr>
          <w:rFonts w:ascii="Times New Roman" w:hAnsi="Times New Roman" w:cs="Times New Roman" w:eastAsia="Times New Roman"/>
          <w:rFonts w:ascii="Times New Roman" w:hAnsi="Times New Roman"/>
          <w:b/>
          <w:sz w:val="24"/>
        </w:rPr>
        <w:t>Primo Pattern, analisi dei nodi centrali.</w:t>
      </w:r>
      <w:r>
        <w:rPr>
          <w:rFonts w:ascii="Times New Roman" w:hAnsi="Times New Roman" w:cs="Times New Roman" w:eastAsia="Times New Roman"/>
          <w:rFonts w:ascii="Times New Roman" w:hAnsi="Times New Roman"/>
          <w:b w:val="0"/>
          <w:sz w:val="24"/>
        </w:rPr>
        <w:t xml:space="preserve"> Calcolate le quattro misure di centralità, il nodo della vittima domina per grado e per intermediazione; ma la misura diagnosticamente più interessante è la centralità di prossimità applicata ai nodi degli apparati, poiché essa misura la capacità di mobilitare risorse eterogenee in tempi brevi, e nei cinquantacinque giorni tale capacità fu esercitata in misura assai inferiore a quella teoricamente disponibile. Questo scarto — fra la capacità strutturale della rete istituzionale e la sua prestazione effettiva — è un dato oggettivo che chiede spiegazione e che le ipotesi concorrenti spiegano in modi opposti.</w:t>
      </w:r>
    </w:p>
    <w:p>
      <w:pPr>
        <w:spacing w:after="0" w:line="276" w:lineRule="auto"/>
        <w:ind w:firstLine="425"/>
        <w:jc w:val="both"/>
      </w:pPr>
      <w:r>
        <w:rPr>
          <w:rFonts w:ascii="Times New Roman" w:hAnsi="Times New Roman" w:cs="Times New Roman" w:eastAsia="Times New Roman"/>
          <w:rFonts w:ascii="Times New Roman" w:hAnsi="Times New Roman"/>
          <w:b/>
          <w:sz w:val="24"/>
        </w:rPr>
        <w:t>Secondo Pattern, identificazione dei cluster.</w:t>
      </w:r>
      <w:r>
        <w:rPr>
          <w:rFonts w:ascii="Times New Roman" w:hAnsi="Times New Roman" w:cs="Times New Roman" w:eastAsia="Times New Roman"/>
          <w:rFonts w:ascii="Times New Roman" w:hAnsi="Times New Roman"/>
          <w:b w:val="0"/>
          <w:sz w:val="24"/>
        </w:rPr>
        <w:t xml:space="preserve"> L’applicazione di algoritmi di rilevazione delle comunità alla rete del caso individua un aggregato che riunisce nodi dell’ottavo, del quarto e del terzo Dominio attorno alla circolazione di informazione riservata sulla vicenda. Il criterio di validazione richiede che almeno un evento storico documentato confermi l’azione coordinata dei membri: allo stato, il criterio non è soddisfatto e l’aggregato resta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ossia comunità statistica e non struttura operativa accertata.</w:t>
      </w:r>
    </w:p>
    <w:p>
      <w:pPr>
        <w:spacing w:after="0" w:line="276" w:lineRule="auto"/>
        <w:ind w:firstLine="425"/>
        <w:jc w:val="both"/>
      </w:pPr>
      <w:r>
        <w:rPr>
          <w:rFonts w:ascii="Times New Roman" w:hAnsi="Times New Roman" w:cs="Times New Roman" w:eastAsia="Times New Roman"/>
          <w:rFonts w:ascii="Times New Roman" w:hAnsi="Times New Roman"/>
          <w:b/>
          <w:sz w:val="24"/>
        </w:rPr>
        <w:t>Terzo Pattern, analisi delle coincidenze temporali.</w:t>
      </w:r>
      <w:r>
        <w:rPr>
          <w:rFonts w:ascii="Times New Roman" w:hAnsi="Times New Roman" w:cs="Times New Roman" w:eastAsia="Times New Roman"/>
          <w:rFonts w:ascii="Times New Roman" w:hAnsi="Times New Roman"/>
          <w:b w:val="0"/>
          <w:sz w:val="24"/>
        </w:rPr>
        <w:t xml:space="preserve"> La finestra del diciotto aprile, con la contestualità fra comunicato apocrifo e scoperta del covo, è la coincidenza a più alta significatività dell’intera serie. Il criterio di validazione è statistico e richiede che la probabilità del caso sia inferiore alla soglia convenzionale; la valutazione formale richiede la conversione della lacuna stenografica, poiché la datazione fine di numerosi eventi collaterali è contenuta in quel materiale.</w:t>
      </w:r>
    </w:p>
    <w:p>
      <w:pPr>
        <w:spacing w:after="0" w:line="276" w:lineRule="auto"/>
        <w:ind w:firstLine="425"/>
        <w:jc w:val="both"/>
      </w:pPr>
      <w:r>
        <w:rPr>
          <w:rFonts w:ascii="Times New Roman" w:hAnsi="Times New Roman" w:cs="Times New Roman" w:eastAsia="Times New Roman"/>
          <w:rFonts w:ascii="Times New Roman" w:hAnsi="Times New Roman"/>
          <w:b/>
          <w:sz w:val="24"/>
        </w:rPr>
        <w:t>Quinto Pattern, analisi dei buchi strutturali.</w:t>
      </w:r>
      <w:r>
        <w:rPr>
          <w:rFonts w:ascii="Times New Roman" w:hAnsi="Times New Roman" w:cs="Times New Roman" w:eastAsia="Times New Roman"/>
          <w:rFonts w:ascii="Times New Roman" w:hAnsi="Times New Roman"/>
          <w:b w:val="0"/>
          <w:sz w:val="24"/>
        </w:rPr>
        <w:t xml:space="preserve"> Il Registro segnala come buco strutturale significativo l’assenza, nel corpus, di documentazione coeva relativa alla circolazione interna dell’informazione fra la struttura di crisi e i reparti operativi. L’assenza di una connessione attesa è dato altrettanto significativo di una connessione presente e può indicare compartimentazione intenzionale, conflitto, oppure lacuna documentale: le tre letture sono equiprobabili allo stato e nessuna è affermata.</w:t>
      </w:r>
    </w:p>
    <w:p>
      <w:pPr>
        <w:spacing w:after="0" w:line="276" w:lineRule="auto"/>
        <w:ind w:firstLine="425"/>
        <w:jc w:val="both"/>
      </w:pPr>
      <w:r>
        <w:rPr>
          <w:rFonts w:ascii="Times New Roman" w:hAnsi="Times New Roman" w:cs="Times New Roman" w:eastAsia="Times New Roman"/>
          <w:rFonts w:ascii="Times New Roman" w:hAnsi="Times New Roman"/>
          <w:b/>
          <w:sz w:val="24"/>
        </w:rPr>
        <w:t>Sesto Pattern, analisi delle ipotesi concorrenti.</w:t>
      </w:r>
      <w:r>
        <w:rPr>
          <w:rFonts w:ascii="Times New Roman" w:hAnsi="Times New Roman" w:cs="Times New Roman" w:eastAsia="Times New Roman"/>
          <w:rFonts w:ascii="Times New Roman" w:hAnsi="Times New Roman"/>
          <w:b w:val="0"/>
          <w:sz w:val="24"/>
        </w:rPr>
        <w:t xml:space="preserve"> È il Pattern che governa la Parte ottava e che nel caso Moro assume rilievo dirimente.</w:t>
      </w:r>
    </w:p>
    <w:p>
      <w:pPr>
        <w:spacing w:after="0" w:line="276" w:lineRule="auto"/>
        <w:ind w:firstLine="425"/>
        <w:jc w:val="both"/>
      </w:pPr>
      <w:r>
        <w:rPr>
          <w:rFonts w:ascii="Times New Roman" w:hAnsi="Times New Roman" w:cs="Times New Roman" w:eastAsia="Times New Roman"/>
          <w:rFonts w:ascii="Times New Roman" w:hAnsi="Times New Roman"/>
          <w:b/>
          <w:sz w:val="24"/>
        </w:rPr>
        <w:t>Ottavo Pattern, analisi dello sfruttamento delle crisi.</w:t>
      </w:r>
      <w:r>
        <w:rPr>
          <w:rFonts w:ascii="Times New Roman" w:hAnsi="Times New Roman" w:cs="Times New Roman" w:eastAsia="Times New Roman"/>
          <w:rFonts w:ascii="Times New Roman" w:hAnsi="Times New Roman"/>
          <w:b w:val="0"/>
          <w:sz w:val="24"/>
        </w:rPr>
        <w:t xml:space="preserve"> Il sequestro costituisce evento perturbativo che rende temporaneamente porosi i confini fra i Domini, sospende regole e moltiplica le opportunità. La misurazione della variazione di densità inter-dominio prima, durante e dopo i cinquantacinque giorni mostra un incremento marcato nel periodo, con assestamento successivo su un livello superiore a quello iniziale: dato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che è compatibile con ipotesi diverse e non ne privilegia alcuna.</w:t>
      </w:r>
    </w:p>
    <w:p>
      <w:pPr>
        <w:spacing w:after="0" w:line="276" w:lineRule="auto"/>
        <w:ind w:firstLine="425"/>
        <w:jc w:val="both"/>
      </w:pPr>
      <w:r>
        <w:rPr>
          <w:rFonts w:ascii="Times New Roman" w:hAnsi="Times New Roman" w:cs="Times New Roman" w:eastAsia="Times New Roman"/>
          <w:rFonts w:ascii="Times New Roman" w:hAnsi="Times New Roman"/>
          <w:b/>
          <w:sz w:val="24"/>
        </w:rPr>
        <w:t>Undicesimo Pattern, isomorfismo strutturale.</w:t>
      </w:r>
      <w:r>
        <w:rPr>
          <w:rFonts w:ascii="Times New Roman" w:hAnsi="Times New Roman" w:cs="Times New Roman" w:eastAsia="Times New Roman"/>
          <w:rFonts w:ascii="Times New Roman" w:hAnsi="Times New Roman"/>
          <w:b w:val="0"/>
          <w:sz w:val="24"/>
        </w:rPr>
        <w:t xml:space="preserve"> La struttura della gestione della crisi — un nucleo ristretto che irradia verso i vertici di più Domini — presenta somiglianza topologica con altre strutture presenti nel corpus generale della materia. La somiglianza può indicare origine comune, necessità funzionale o convergenza indipendente, e la sola somiglianza non discrimina fra le tre: nel caso Moro il Registro propende per la necessità funzionale, poiché ogni gestione di crisi produce quella topologia, e classifica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ogni lettura che ne inferisca origine comune.</w:t>
      </w:r>
    </w:p>
    <w:p>
      <w:pPr>
        <w:spacing w:after="0" w:line="276" w:lineRule="auto"/>
        <w:ind w:firstLine="425"/>
        <w:jc w:val="both"/>
      </w:pPr>
      <w:r>
        <w:rPr>
          <w:rFonts w:ascii="Times New Roman" w:hAnsi="Times New Roman" w:cs="Times New Roman" w:eastAsia="Times New Roman"/>
          <w:rFonts w:ascii="Times New Roman" w:hAnsi="Times New Roman"/>
          <w:b/>
          <w:sz w:val="24"/>
        </w:rPr>
        <w:t>Quindicesimo Pattern, parole sentinella.</w:t>
      </w:r>
      <w:r>
        <w:rPr>
          <w:rFonts w:ascii="Times New Roman" w:hAnsi="Times New Roman" w:cs="Times New Roman" w:eastAsia="Times New Roman"/>
          <w:rFonts w:ascii="Times New Roman" w:hAnsi="Times New Roman"/>
          <w:b w:val="0"/>
          <w:sz w:val="24"/>
        </w:rPr>
        <w:t xml:space="preserve"> Applicato al corpus autografo della prigionia, il Pattern confronta gli usi lessicali e le forme abbreviative dello scrivente con quelli attestati nella produzione anteriore, per rilevare discontinuità che possano indicare condizionamento, dettatura o interpolazione. Il corpus degli scritti dal millenovecentotrentadue al millenovecentosettantotto, presente nel sottocorpus, rende l’operazione possibile su base statistica. Il Pattern è dichiarato </w:t>
      </w:r>
      <w:r>
        <w:rPr>
          <w:rFonts w:ascii="Times New Roman" w:hAnsi="Times New Roman" w:cs="Times New Roman" w:eastAsia="Times New Roman"/>
          <w:rFonts w:ascii="Times New Roman" w:hAnsi="Times New Roman"/>
          <w:b/>
          <w:sz w:val="24"/>
        </w:rPr>
        <w:t>operativo e aperto</w:t>
      </w:r>
      <w:r>
        <w:rPr>
          <w:rFonts w:ascii="Times New Roman" w:hAnsi="Times New Roman" w:cs="Times New Roman" w:eastAsia="Times New Roman"/>
          <w:rFonts w:ascii="Times New Roman" w:hAnsi="Times New Roman"/>
          <w:b w:val="0"/>
          <w:sz w:val="24"/>
        </w:rPr>
        <w:t>: costituisce la linea di ricerca filologica propria di questo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OTTAVA — LE IPOTESI CONCORRENTI E I TEST DI FALSIFICAZIONE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formula cinque ipotesi concorrenti sulla natura del sequestro e della sua gestione, e le tratta come in competizione secondo la metodologia dell’analisi delle ipotesi concorrenti di Richards Heuer: l’ipotesi che prevale non è quella con più evidenze a favore — poiché tutte, in questa materia, ne accumulano — ma quella meno contraddetta dalle evidenze disponibili.</w:t>
      </w:r>
    </w:p>
    <w:p>
      <w:pPr>
        <w:spacing w:after="0" w:line="276" w:lineRule="auto"/>
        <w:ind w:firstLine="425"/>
        <w:jc w:val="both"/>
      </w:pPr>
      <w:r>
        <w:rPr>
          <w:rFonts w:ascii="Times New Roman" w:hAnsi="Times New Roman" w:cs="Times New Roman" w:eastAsia="Times New Roman"/>
          <w:rFonts w:ascii="Times New Roman" w:hAnsi="Times New Roman"/>
          <w:b/>
          <w:sz w:val="24"/>
        </w:rPr>
        <w:t>Ipotesi prima, dell’autosufficienza.</w:t>
      </w:r>
      <w:r>
        <w:rPr>
          <w:rFonts w:ascii="Times New Roman" w:hAnsi="Times New Roman" w:cs="Times New Roman" w:eastAsia="Times New Roman"/>
          <w:rFonts w:ascii="Times New Roman" w:hAnsi="Times New Roman"/>
          <w:b w:val="0"/>
          <w:sz w:val="24"/>
        </w:rPr>
        <w:t xml:space="preserve"> Le Brigate Rosse concepirono, eseguirono e conclusero il sequestro autonomamente, con risorse proprie; la loro efficacia si spiega con la preparazione, con la debolezza degli apparati di prevenzione e con la sottovalutazione del fenomeno; le anomalie della vicenda si spiegano con l’inefficienza, non con il disegno. Questa ipotesi coincide sostanzialmente con l’accertamento giudiziario definitivo ed è </w:t>
      </w:r>
      <w:r>
        <w:rPr>
          <w:rFonts w:ascii="Times New Roman" w:hAnsi="Times New Roman" w:cs="Times New Roman" w:eastAsia="Times New Roman"/>
          <w:rFonts w:ascii="Times New Roman" w:hAnsi="Times New Roman"/>
          <w:b/>
          <w:sz w:val="24"/>
        </w:rPr>
        <w:t>l’ipotesi più economica e meglio sostenuta</w:t>
      </w:r>
      <w:r>
        <w:rPr>
          <w:rFonts w:ascii="Times New Roman" w:hAnsi="Times New Roman" w:cs="Times New Roman" w:eastAsia="Times New Roman"/>
          <w:rFonts w:ascii="Times New Roman" w:hAnsi="Times New Roman"/>
          <w:b w:val="0"/>
          <w:sz w:val="24"/>
        </w:rPr>
        <w:t xml:space="preserve">. Il Registro la mantiene permanentemente attiva come </w:t>
      </w:r>
      <w:r>
        <w:rPr>
          <w:rFonts w:ascii="Times New Roman" w:hAnsi="Times New Roman" w:cs="Times New Roman" w:eastAsia="Times New Roman"/>
          <w:rFonts w:ascii="Times New Roman" w:hAnsi="Times New Roman"/>
          <w:b/>
          <w:sz w:val="24"/>
        </w:rPr>
        <w:t>falsificatore più forte</w:t>
      </w:r>
      <w:r>
        <w:rPr>
          <w:rFonts w:ascii="Times New Roman" w:hAnsi="Times New Roman" w:cs="Times New Roman" w:eastAsia="Times New Roman"/>
          <w:rFonts w:ascii="Times New Roman" w:hAnsi="Times New Roman"/>
          <w:b w:val="0"/>
          <w:sz w:val="24"/>
        </w:rPr>
        <w:t xml:space="preserve"> di ogni ipotesi alternativa, con la funzione che nel Registro generale dell’opera è assegnata alla tesi di Alan Milward: nessuna ipotesi ulteriore può essere accolta se non spiega ciò che questa già spiega, e meglio.</w:t>
      </w:r>
    </w:p>
    <w:p>
      <w:pPr>
        <w:spacing w:after="0" w:line="276" w:lineRule="auto"/>
        <w:ind w:firstLine="425"/>
        <w:jc w:val="both"/>
      </w:pPr>
      <w:r>
        <w:rPr>
          <w:rFonts w:ascii="Times New Roman" w:hAnsi="Times New Roman" w:cs="Times New Roman" w:eastAsia="Times New Roman"/>
          <w:rFonts w:ascii="Times New Roman" w:hAnsi="Times New Roman"/>
          <w:b/>
          <w:sz w:val="24"/>
        </w:rPr>
        <w:t>Ipotesi seconda, dell’eterodirezione.</w:t>
      </w:r>
      <w:r>
        <w:rPr>
          <w:rFonts w:ascii="Times New Roman" w:hAnsi="Times New Roman" w:cs="Times New Roman" w:eastAsia="Times New Roman"/>
          <w:rFonts w:ascii="Times New Roman" w:hAnsi="Times New Roman"/>
          <w:b w:val="0"/>
          <w:sz w:val="24"/>
        </w:rPr>
        <w:t xml:space="preserve"> L’organizzazione fu, in tutto o in parte, orientata dall’esterno, e attori estranei ebbero parte nella decisione, nell’esecuzione o nella conduzione. Condizioni di falsificazione: l’assenza, negli archivi accessibili, di qualunque atto direttivo o di raccordo; l’assenza di anomalie operative non spiegabili con le risorse proprie dell’organizzazione.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Nessun elemento del corpus la eleva, e diversi elementi la contraddicono — segnatamente la coerenza interna della catena decisionale ricostruita in sede giudiziaria.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terza, del non impedimento.</w:t>
      </w:r>
      <w:r>
        <w:rPr>
          <w:rFonts w:ascii="Times New Roman" w:hAnsi="Times New Roman" w:cs="Times New Roman" w:eastAsia="Times New Roman"/>
          <w:rFonts w:ascii="Times New Roman" w:hAnsi="Times New Roman"/>
          <w:b w:val="0"/>
          <w:sz w:val="24"/>
        </w:rPr>
        <w:t xml:space="preserve"> L’organizzazione agì autonomamente, ma soggetti collocati in apparati ebbero conoscenze utili e non le impiegarono, per inerzia, per calcolo o per conflitto interno; l’effetto pratico fu di agevolare l’esito senza che vi fosse concorso. Condizioni di falsificazione: la dimostrazione che le informazioni ritenute disponibili non lo erano, o che furono trasmesse e utilizzate.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con singoli segmenti che raggiungono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ove documentati da acquisizioni parlamentari. È l’ipotesi più difficile da falsificare, e questa sua proprietà è essa stessa un problema metodologico, poiché un’ipotesi difficilmente falsificabile è per ciò stesso epistemologicamente debole, non forte.</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quarta, della convergenza non coordinata.</w:t>
      </w:r>
      <w:r>
        <w:rPr>
          <w:rFonts w:ascii="Times New Roman" w:hAnsi="Times New Roman" w:cs="Times New Roman" w:eastAsia="Times New Roman"/>
          <w:rFonts w:ascii="Times New Roman" w:hAnsi="Times New Roman"/>
          <w:b w:val="0"/>
          <w:sz w:val="24"/>
        </w:rPr>
        <w:t xml:space="preserve"> Attori di Domini diversi, senza relazione fra loro, compirono azioni i cui effetti convergevano nel medesimo esito, ciascuno per ragioni proprie. È l’applicazione al caso dell’arco di convergenza. Condizioni di falsificazione: la dimostrazione che gli effetti non convergevano, oppure la dimostrazione che vi fu invece coordinamento — nel qual caso l’ipotesi collassa nella seconda.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 l’avvertenza che questa ipotesi ha il difetto di essere compatibile con quasi ogni evidenza, e va perciò maneggiata con particolare diffidenza.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quinta, del primato endogeno.</w:t>
      </w:r>
      <w:r>
        <w:rPr>
          <w:rFonts w:ascii="Times New Roman" w:hAnsi="Times New Roman" w:cs="Times New Roman" w:eastAsia="Times New Roman"/>
          <w:rFonts w:ascii="Times New Roman" w:hAnsi="Times New Roman"/>
          <w:b w:val="0"/>
          <w:sz w:val="24"/>
        </w:rPr>
        <w:t xml:space="preserve"> Tanto il sequestro quanto la sua gestione si spiegano integralmente con le dinamiche interne al sistema politico italiano: la scelta della fermezza fu decisione politica autonoma, motivata da ragioni di sistema, e non richiede fattori esterni per essere compresa. Condizioni di falsificazione: la documentazione di pressioni esterne determinanti sulla decisione. Stato attuale: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sufficienza della spiegazione politica interna, che gli atti parlamentari e la documentazione coeva sostengono.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Applicando la griglia dei quattro test diagnostici, il quadro è il seguente. Il test del filo di paglia, né necessario né sufficiente, è superato da tutte e cinque le ipotesi, che sono tutte compatibili con l’esistenza di anomalie. Il test del cerchio, condizione necessaria, è superato dalla prima, dalla terza e dalla quinta; la seconda lo supera soltanto per singoli segmenti e non nel suo enunciato generale. Il test della pistola fumante, condizione sufficiente, non è superato da alcuna ipotesi ulteriore rispetto alla prima: non esiste, nel corpus, l’atto che chiuderebbe la questione. Il test doppiamente decisivo non è raggiunto da alcuna. </w:t>
      </w:r>
      <w:r>
        <w:rPr>
          <w:rFonts w:ascii="Times New Roman" w:hAnsi="Times New Roman" w:cs="Times New Roman" w:eastAsia="Times New Roman"/>
          <w:rFonts w:ascii="Times New Roman" w:hAnsi="Times New Roman"/>
          <w:b/>
          <w:sz w:val="24"/>
        </w:rPr>
        <w:t>Conclusione provvisoria</w:t>
      </w:r>
      <w:r>
        <w:rPr>
          <w:rFonts w:ascii="Times New Roman" w:hAnsi="Times New Roman" w:cs="Times New Roman" w:eastAsia="Times New Roman"/>
          <w:rFonts w:ascii="Times New Roman" w:hAnsi="Times New Roman"/>
          <w:b w:val="0"/>
          <w:sz w:val="24"/>
        </w:rPr>
        <w:t xml:space="preserve">: l’ipotesi prima resta la meno contraddetta e conserva il primato; le ipotesi terza e quinta sono con essa compatibili e ne costituiscono integrazioni plausibili su segmenti determinati; le ipotesi seconda e quarta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possono essere né affermate né escluse. Che cosa muterebbe questa conclusione: l’acquisizione di documentazione coeva d’archivio, italiana o straniera, attestante direttive o raccordi; la conversione e la lettura del blocco stenografico non ancora accessibile; l’esito dell’analisi filologica sul corpus autografo secondo il quindicesimo Pattern.</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NONA — REGISTRO DELLE LACUNE DICHIARATE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dichiara formalmente le proprie lacune e non le silenzia, poiché una lacuna taciuta si trasforma, nel tempo, in affermazione implicita.</w:t>
      </w:r>
    </w:p>
    <w:p>
      <w:pPr>
        <w:spacing w:after="0" w:line="276" w:lineRule="auto"/>
        <w:ind w:firstLine="425"/>
        <w:jc w:val="both"/>
      </w:pPr>
      <w:r>
        <w:rPr>
          <w:rFonts w:ascii="Times New Roman" w:hAnsi="Times New Roman" w:cs="Times New Roman" w:eastAsia="Times New Roman"/>
          <w:rFonts w:ascii="Times New Roman" w:hAnsi="Times New Roman"/>
          <w:b/>
          <w:sz w:val="24"/>
        </w:rPr>
        <w:t>Prima lacuna, stenografica e operativa.</w:t>
      </w:r>
      <w:r>
        <w:rPr>
          <w:rFonts w:ascii="Times New Roman" w:hAnsi="Times New Roman" w:cs="Times New Roman" w:eastAsia="Times New Roman"/>
          <w:rFonts w:ascii="Times New Roman" w:hAnsi="Times New Roman"/>
          <w:b w:val="0"/>
          <w:sz w:val="24"/>
        </w:rPr>
        <w:t xml:space="preserve"> Diciotto blocchi di materiale scansionato, per oltre mille immagini, contenenti resoconti di sedute e documentazione fotografica, non sono leggibili in forma testuale. È la lacuna a priorità assoluta.</w:t>
      </w:r>
    </w:p>
    <w:p>
      <w:pPr>
        <w:spacing w:after="0" w:line="276" w:lineRule="auto"/>
        <w:ind w:firstLine="425"/>
        <w:jc w:val="both"/>
      </w:pPr>
      <w:r>
        <w:rPr>
          <w:rFonts w:ascii="Times New Roman" w:hAnsi="Times New Roman" w:cs="Times New Roman" w:eastAsia="Times New Roman"/>
          <w:rFonts w:ascii="Times New Roman" w:hAnsi="Times New Roman"/>
          <w:b/>
          <w:sz w:val="24"/>
        </w:rPr>
        <w:t>Seconda lacuna, archivistica estera.</w:t>
      </w:r>
      <w:r>
        <w:rPr>
          <w:rFonts w:ascii="Times New Roman" w:hAnsi="Times New Roman" w:cs="Times New Roman" w:eastAsia="Times New Roman"/>
          <w:rFonts w:ascii="Times New Roman" w:hAnsi="Times New Roman"/>
          <w:b w:val="0"/>
          <w:sz w:val="24"/>
        </w:rPr>
        <w:t xml:space="preserve"> Non è presente nel corpus alcun documento proveniente da archivi stranieri relativo alla gestione della crisi, né alcun riscontro documentale delle dichiarazioni rese a distanza di decenni da soggetti che vi ebbero parte. La lacuna è dichiarata con la precisazione che essa impedisce, allo stato, tanto la conferma quanto la smentita di un’intera famiglia di asserzioni.</w:t>
      </w:r>
    </w:p>
    <w:p>
      <w:pPr>
        <w:spacing w:after="0" w:line="276" w:lineRule="auto"/>
        <w:ind w:firstLine="425"/>
        <w:jc w:val="both"/>
      </w:pPr>
      <w:r>
        <w:rPr>
          <w:rFonts w:ascii="Times New Roman" w:hAnsi="Times New Roman" w:cs="Times New Roman" w:eastAsia="Times New Roman"/>
          <w:rFonts w:ascii="Times New Roman" w:hAnsi="Times New Roman"/>
          <w:b/>
          <w:sz w:val="24"/>
        </w:rPr>
        <w:t>Terza lacuna, del documento informativo straniero.</w:t>
      </w:r>
      <w:r>
        <w:rPr>
          <w:rFonts w:ascii="Times New Roman" w:hAnsi="Times New Roman" w:cs="Times New Roman" w:eastAsia="Times New Roman"/>
          <w:rFonts w:ascii="Times New Roman" w:hAnsi="Times New Roman"/>
          <w:b w:val="0"/>
          <w:sz w:val="24"/>
        </w:rPr>
        <w:t xml:space="preserve"> Il documento di servizio informativo estero del quale il corpus riferisce la visione da parte di magistrati italiani non è presente né in originale né in copia, e la sua assenza dagli archivi nazionali è essa stessa asserzione da verificare.</w:t>
      </w:r>
    </w:p>
    <w:p>
      <w:pPr>
        <w:spacing w:after="0" w:line="276" w:lineRule="auto"/>
        <w:ind w:firstLine="425"/>
        <w:jc w:val="both"/>
      </w:pPr>
      <w:r>
        <w:rPr>
          <w:rFonts w:ascii="Times New Roman" w:hAnsi="Times New Roman" w:cs="Times New Roman" w:eastAsia="Times New Roman"/>
          <w:rFonts w:ascii="Times New Roman" w:hAnsi="Times New Roman"/>
          <w:b/>
          <w:sz w:val="24"/>
        </w:rPr>
        <w:t>Quarta lacuna, filologica.</w:t>
      </w:r>
      <w:r>
        <w:rPr>
          <w:rFonts w:ascii="Times New Roman" w:hAnsi="Times New Roman" w:cs="Times New Roman" w:eastAsia="Times New Roman"/>
          <w:rFonts w:ascii="Times New Roman" w:hAnsi="Times New Roman"/>
          <w:b w:val="0"/>
          <w:sz w:val="24"/>
        </w:rPr>
        <w:t xml:space="preserve"> L’analisi comparativa sistematica fra gli autografi della prigionia e la produzione anteriore, resa possibile dalla presenza del corpus integrale nel sottocorpus, non è stata ancora condotta. Essa costituisce il compito proprio del quindicesimo Pattern ed è la linea di ricerca originale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Quinta lacuna, giudiziaria.</w:t>
      </w:r>
      <w:r>
        <w:rPr>
          <w:rFonts w:ascii="Times New Roman" w:hAnsi="Times New Roman" w:cs="Times New Roman" w:eastAsia="Times New Roman"/>
          <w:rFonts w:ascii="Times New Roman" w:hAnsi="Times New Roman"/>
          <w:b w:val="0"/>
          <w:sz w:val="24"/>
        </w:rPr>
        <w:t xml:space="preserve"> Il corpus contiene le sentenze dei procedimenti collaterali ma non le sentenze dei cinque processi celebrati sul sequestro. La loro acquisizione è condizione per elevare al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numerose asserzioni oggi classificate al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e per verificare la corretta attribuzione dei livelli già assegnati.</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DECIMA — CAMERA ISTRUTTORIA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Camera Istruttoria è l’organo interno del Registro che sottopone al test del documento ogni segnalazione proveniente dal calcolo. Essa opera secondo tre regole. La prima: ogni segnalazione computazionale entra come ipotesi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come constatazione. La seconda: il test di prossimità — la ricerca, nelle sole fonti primarie, di una finestra testuale che contenga entrambi i termini — è il primo filtro obbligatorio, con l’espressa avvertenza che esso produce falsi negativi, poiché connessioni reali possono essere espresse a distanza o con lessico non coincidente; il suo fallimento non chiude l’istruttoria ma la rinvia alla lettura di pagina, che è l’unico atto dirimente. La terza: l’espunzione di una segnalazione errata ha la medesima solennità della scoperta, ed è iscritta a registro.</w:t>
      </w:r>
    </w:p>
    <w:p>
      <w:pPr>
        <w:spacing w:after="0" w:line="276" w:lineRule="auto"/>
        <w:ind w:firstLine="425"/>
        <w:jc w:val="both"/>
      </w:pPr>
      <w:r>
        <w:rPr>
          <w:rFonts w:ascii="Times New Roman" w:hAnsi="Times New Roman" w:cs="Times New Roman" w:eastAsia="Times New Roman"/>
          <w:rFonts w:ascii="Times New Roman" w:hAnsi="Times New Roman"/>
          <w:b w:val="0"/>
          <w:sz w:val="24"/>
        </w:rPr>
        <w:t>L’estrazione condotta sul sottocorpus ha prodotto novantanove nodi attivi su centodue del lessico e un insieme di coppie inter-dominio candidate. Sottoposte al test di prossimità, ventiquattro delle venticinque coppie di controllo hanno trovato riscontro documentale diretto e sono state promosse a istruttoria di pagina, con gli esiti riferiti nella Parte quinta. Una sola coppia — quella fra un esponente della criminalità romana e il luogo indicato dal comunicato apocrifo — ha fallito il test pur essendo la connessione fra i due elementi tematizzata nel corpus per il tramite di un terzo nodo: è il caso tipico della connessione reale espressa a distanza, e come tale è rinviata alla lettura e non espunta.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Restano assegnate alla Camera, per le sessioni successive, le seguenti istruttorie. Prima: la verifica di pagina sulle coppie che associano il comitato di crisi ai nodi della mediazione religiosa, la cui prossimità non è accertata e la cui co-occorrenza potrebbe essere effetto della mole dei documenti. Seconda: l’istruttoria sulla coincidenza del diciotto aprile, che richiede la lettura del materiale stenografico. Terza: l’istruttoria filologica sul corpus autografo. Quarta: la verifica delle asserzioni fondate unicamente sulla monografia tesistica, ciascuna delle quali va risalita alla fonte primaria o mantenuta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Registro conclude questa prima edizione con la constatazione che il metodo ha prodotto, sul caso Moro, un esito che nessuna delle narrazioni consolidate troverà soddisfacente, e che è precisamente per questo affidabile: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ristretto e solidissimo, la fascia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è ampia e articolata, e la maggior parte delle asserzioni che circolano come verità acquisite si colloca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Questo non significa che siano false; significa che non sono, allo stato del corpus, dimostrate — ed è compito del Registro, nelle edizioni successive, dimostrarle o confutarle, non ripeterle.</w:t>
      </w:r>
    </w:p>
    <w:p>
      <w:pPr>
        <w:spacing w:after="120" w:line="276" w:lineRule="auto" w:before="320"/>
        <w:jc w:val="left"/>
      </w:pPr>
      <w:r>
        <w:rPr>
          <w:rFonts w:ascii="Times New Roman" w:hAnsi="Times New Roman" w:cs="Times New Roman" w:eastAsia="Times New Roman"/>
          <w:rFonts w:ascii="Times New Roman" w:hAnsi="Times New Roman"/>
          <w:b/>
          <w:sz w:val="24"/>
        </w:rPr>
        <w:t>Colophon</w:t>
      </w:r>
    </w:p>
    <w:p>
      <w:pPr>
        <w:spacing w:after="0" w:line="276" w:lineRule="auto"/>
        <w:ind w:firstLine="425"/>
        <w:jc w:val="both"/>
      </w:pPr>
      <w:r>
        <w:rPr>
          <w:rFonts w:ascii="Times New Roman" w:hAnsi="Times New Roman" w:cs="Times New Roman" w:eastAsia="Times New Roman"/>
          <w:rFonts w:ascii="Times New Roman" w:hAnsi="Times New Roman"/>
          <w:b w:val="0"/>
          <w:sz w:val="24"/>
        </w:rPr>
        <w:t>REGISTRO ANALITICO DEL CASO MORO, edizione prima, integrale,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con il quale condivide metodologia e architettura e dal quale non dipende per la lettura. Ogni edizione successiva del presente Registro conterrà verbatim la presente, secondo il principio di cumulatività preservativa. Resta sovrana la Regola di Ferro: dove la fonte documenta, l’opera certifica; dove la fonte tace, l’opera indaga e non afferma.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