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60" w:after="0" w:line="276" w:lineRule="auto"/>
        <w:jc w:val="center"/>
      </w:pPr>
      <w:r>
        <w:rPr>
          <w:b/>
          <w:sz w:val="32"/>
          <w:szCs w:val="32"/>
        </w:rPr>
        <w:t xml:space="preserve">REGISTRO ANALITICO DEL CASO MORO</w:t>
      </w:r>
    </w:p>
    <w:p>
      <w:pPr>
        <w:spacing w:before="60" w:after="0" w:line="276" w:lineRule="auto"/>
        <w:jc w:val="center"/>
      </w:pPr>
      <w:r>
        <w:rPr>
          <w:sz w:val="24"/>
          <w:szCs w:val="24"/>
        </w:rPr>
        <w:t xml:space="preserve">Registro autonomo delle reti informali del sequestro e dell’omicidio di Aldo Moro</w:t>
      </w:r>
    </w:p>
    <w:p>
      <w:pPr>
        <w:spacing w:before="60" w:after="0" w:line="276" w:lineRule="auto"/>
        <w:jc w:val="center"/>
      </w:pPr>
      <w:r>
        <w:rPr>
          <w:b/>
          <w:sz w:val="28"/>
          <w:szCs w:val="28"/>
        </w:rPr>
        <w:t xml:space="preserve">Edizione Terza — con il Secondo Anello di Prossimità</w:t>
      </w:r>
    </w:p>
    <w:p>
      <w:pPr>
        <w:spacing w:before="60" w:after="0" w:line="276" w:lineRule="auto"/>
        <w:jc w:val="center"/>
      </w:pPr>
      <w:r>
        <w:rPr>
          <w:sz w:val="24"/>
          <w:szCs w:val="24"/>
        </w:rPr>
        <w:t xml:space="preserve">Luigi De Michele</w:t>
      </w:r>
    </w:p>
    <w:p>
      <w:pPr>
        <w:spacing w:before="60" w:after="0" w:line="276" w:lineRule="auto"/>
        <w:jc w:val="center"/>
      </w:pPr>
      <w:r>
        <w:rPr>
          <w:sz w:val="24"/>
          <w:szCs w:val="24"/>
        </w:rPr>
        <w:t xml:space="preserve">Due agosto duemilaventisei</w:t>
      </w:r>
    </w:p>
    <w:p>
      <w:pPr>
        <w:spacing w:after="0" w:line="276" w:lineRule="auto"/>
        <w:ind w:firstLine="425"/>
        <w:jc w:val="both"/>
      </w:pPr>
      <w:r>
        <w:rPr>
          <w:b/>
        </w:rPr>
        <w:t xml:space="preserve">Statuto del documento.</w:t>
      </w:r>
      <w:r>
        <w:rPr/>
        <w:t xml:space="preserve"> Il presente Registro è documento autonomo e autosufficiente, indipendente dal Registro Unico Federato di ITALIA NERA nei tre sensi dichiarati e misurati nell’edizione seconda — indipendenza di catena probatoria, di apparato e da ogni prodotto dell’opera — con l’espressa dichiarazione del limite materiale di tale indipendenza, ossia la sovrapposizione parziale del corpus di fonti terze, dalla quale discende che la convergenza fra i due Registri non vale mai come conferma reciproca. Questa edizione incorpora verbatim l’edizione seconda, e con essa la prima, e vi aggiunge la Parte Dodicesima: l’espansione della rete al Secondo Anello di Prossimità.</w:t>
      </w:r>
    </w:p>
    <w:p>
      <w:pPr>
        <w:spacing w:after="0" w:line="276" w:lineRule="auto"/>
        <w:ind w:firstLine="425"/>
        <w:jc w:val="both"/>
      </w:pPr>
      <w:r>
        <w:rPr>
          <w:b/>
        </w:rPr>
        <w:t xml:space="preserve">Statuto del Secondo Anello.</w:t>
      </w:r>
      <w:r>
        <w:rPr/>
        <w:t xml:space="preserve"> L’espansione al secondo grado obbedisce alla logica della propagazione in una rete: i vicini del Primo Anello divengono semi, e se ne estraggono i vicini. Ma ciò che nella propagazione è naturale, nella prova è vietato, e il Registro lo scolpisce in apertura con tre avvertenze che governano l’intera Parte Dodicesima. Prima: </w:t>
      </w:r>
      <w:r>
        <w:rPr>
          <w:b/>
        </w:rPr>
        <w:t xml:space="preserve">la prossimità non è transitiva</w:t>
      </w:r>
      <w:r>
        <w:rPr/>
        <w:t xml:space="preserve"> — che il nodo A sia prossimo al nodo B, e B prossimo a C, non rende A prossimo a C, e men che meno connesso. Seconda: </w:t>
      </w:r>
      <w:r>
        <w:rPr>
          <w:b/>
        </w:rPr>
        <w:t xml:space="preserve">due ipotesi concatenate non si sommano ma si indeboliscono</w:t>
      </w:r>
      <w:r>
        <w:rPr/>
        <w:t xml:space="preserve"> — un legame di Livello C che poggia su un altro legame di Livello C non produce un Livello B, produce un’ipotesi al quadrato. Terza: in una rete documentale densa vige l’</w:t>
      </w:r>
      <w:r>
        <w:rPr>
          <w:b/>
        </w:rPr>
        <w:t xml:space="preserve">effetto di piccolo mondo</w:t>
      </w:r>
      <w:r>
        <w:rPr/>
        <w:t xml:space="preserve"> — a due passi da qualunque nodo si raggiunge quasi tutto il lessico — sicché il Secondo Anello non è una mappa del caso ma una mappa del contesto entro cui le fonti collocano il caso; per distinguere l’uno dall’altro, ogni seme di secondo grado è accompagnato da una </w:t>
      </w:r>
      <w:r>
        <w:rPr>
          <w:b/>
        </w:rPr>
        <w:t xml:space="preserve">metrica di deriva tematica</w:t>
      </w:r>
      <w:r>
        <w:rPr/>
        <w:t xml:space="preserve">, la frazione delle sue finestre che contiene ancora il caso, dichiarata voce per voce. Il Secondo Anello è registrato per dovere di cronaca: nessuna sua voce è affermata dal Registro.</w:t>
      </w:r>
    </w:p>
    <w:p>
      <w:pPr>
        <w:pageBreakBefore/>
        <w:spacing w:before="240" w:after="120" w:line="276" w:lineRule="auto"/>
        <w:jc w:val="left"/>
      </w:pPr>
      <w:r>
        <w:rPr>
          <w:b/>
          <w:sz w:val="28"/>
          <w:szCs w:val="28"/>
        </w:rPr>
        <w:t xml:space="preserve">STRATO ZERO — L’EDIZIONE SECONDA INCORPORATA VERBATIM</w:t>
      </w:r>
    </w:p>
    <w:p>
      <w:pPr>
        <w:spacing w:after="0" w:line="276" w:lineRule="auto"/>
        <w:ind w:firstLine="425"/>
        <w:jc w:val="both"/>
      </w:pPr>
      <w:r>
        <w:rPr/>
        <w:t xml:space="preserve">Segue, riprodotta integralmente e senza alcun intervento per copia diretta del flusso documentale, l’edizione seconda del presente Registro, comprensiva del frontespizio con la dichiarazione di indipendenza delle fonti, dell’edizione prima da essa incorporata e della Parte Undicesima sul Primo Anello di Prossimità. Nulla di quanto segue è stato modificato, abbreviato o riordinato.</w:t>
      </w:r>
    </w:p>
    <w:p>
      <w:pPr>
        <w:spacing w:before="60" w:after="0" w:line="276" w:lineRule="auto"/>
        <w:jc w:val="center"/>
      </w:pPr>
      <w:r>
        <w:rPr>
          <w:b/>
          <w:sz w:val="32"/>
          <w:szCs w:val="32"/>
        </w:rPr>
        <w:t xml:space="preserve">REGISTRO ANALITICO DEL CASO MORO</w:t>
      </w:r>
    </w:p>
    <w:p>
      <w:pPr>
        <w:spacing w:before="60" w:after="0" w:line="276" w:lineRule="auto"/>
        <w:jc w:val="center"/>
      </w:pPr>
      <w:r>
        <w:rPr>
          <w:sz w:val="24"/>
          <w:szCs w:val="24"/>
        </w:rPr>
        <w:t xml:space="preserve">Registro autonomo delle reti informali del sequestro e dell’omicidio di Aldo Moro</w:t>
      </w:r>
    </w:p>
    <w:p>
      <w:pPr>
        <w:spacing w:before="60" w:after="0" w:line="276" w:lineRule="auto"/>
        <w:jc w:val="center"/>
      </w:pPr>
      <w:r>
        <w:rPr>
          <w:b/>
          <w:sz w:val="28"/>
          <w:szCs w:val="28"/>
        </w:rPr>
        <w:t xml:space="preserve">Edizione Seconda — con il Primo Anello di Prossimità</w:t>
      </w:r>
    </w:p>
    <w:p>
      <w:pPr>
        <w:spacing w:before="60" w:after="0" w:line="276" w:lineRule="auto"/>
        <w:jc w:val="center"/>
      </w:pPr>
      <w:r>
        <w:rPr>
          <w:sz w:val="24"/>
          <w:szCs w:val="24"/>
        </w:rPr>
        <w:t xml:space="preserve">Luigi De Michele</w:t>
      </w:r>
    </w:p>
    <w:p>
      <w:pPr>
        <w:spacing w:before="60" w:after="0" w:line="276" w:lineRule="auto"/>
        <w:jc w:val="center"/>
      </w:pPr>
      <w:r>
        <w:rPr>
          <w:sz w:val="24"/>
          <w:szCs w:val="24"/>
        </w:rPr>
        <w:t xml:space="preserve">Due agosto duemilaventisei</w:t>
      </w:r>
    </w:p>
    <w:p>
      <w:pPr>
        <w:spacing w:after="0" w:line="276" w:lineRule="auto"/>
        <w:ind w:firstLine="425"/>
        <w:jc w:val="both"/>
      </w:pPr>
      <w:r>
        <w:rPr>
          <w:b/>
        </w:rPr>
        <w:t xml:space="preserve">Statuto del documento.</w:t>
      </w:r>
      <w:r>
        <w:rPr/>
        <w:t xml:space="preserve"> Il presente Registro è documento autonomo e autosufficiente. Non è sezione, estratto né derivazione del Registro Unico Federato di ITALIA NERA, e non ne presuppone la lettura: metodologia, apparato dei Domini, tipologia degli archi, Pattern analitici e standard probatorio vi sono ripetuti per intero e non per rinvio, affinché il Registro possa essere letto, verificato e falsificato da solo. Esso incorpora verbatim l’edizione prima e vi aggiunge la registrazione del Primo Anello di Prossimità.</w:t>
      </w:r>
    </w:p>
    <w:p>
      <w:pPr>
        <w:spacing w:after="0" w:line="276" w:lineRule="auto"/>
        <w:ind w:firstLine="425"/>
        <w:jc w:val="both"/>
      </w:pPr>
      <w:r>
        <w:rPr>
          <w:b/>
        </w:rPr>
        <w:t xml:space="preserve">Dichiarazione di indipendenza delle fonti.</w:t>
      </w:r>
      <w:r>
        <w:rPr/>
        <w:t xml:space="preserve"> Le fonti del presente Registro sono indipendenti rispetto a quelle del Registro Unico Federato di ITALIA NERA nei sensi che seguono, ciascuno dei quali è verificabile e nessuno dei quali è retorico. Primo, </w:t>
      </w:r>
      <w:r>
        <w:rPr>
          <w:b/>
        </w:rPr>
        <w:t xml:space="preserve">indipendenza di catena probatoria</w:t>
      </w:r>
      <w:r>
        <w:rPr/>
        <w:t xml:space="preserve">: nessuna asserzione, nessuna classificazione e nessun testo del Registro Unico è qui accolto per autorità; ogni livello </w:t>
      </w:r>
      <w:r>
        <w:rPr>
          <w:b/>
        </w:rPr>
        <w:t xml:space="preserve">A</w:t>
      </w:r>
      <w:r>
        <w:rPr/>
        <w:t xml:space="preserve">, </w:t>
      </w:r>
      <w:r>
        <w:rPr>
          <w:b/>
        </w:rPr>
        <w:t xml:space="preserve">B</w:t>
      </w:r>
      <w:r>
        <w:rPr/>
        <w:t xml:space="preserve"> o </w:t>
      </w:r>
      <w:r>
        <w:rPr>
          <w:b/>
        </w:rPr>
        <w:t xml:space="preserve">C</w:t>
      </w:r>
      <w:r>
        <w:rPr/>
        <w:t xml:space="preserve"> è stato riassegnato ex novo risalendo alla fonte primaria, e nessun grado di prova è stato ereditato. Secondo, </w:t>
      </w:r>
      <w:r>
        <w:rPr>
          <w:b/>
        </w:rPr>
        <w:t xml:space="preserve">indipendenza di apparato</w:t>
      </w:r>
      <w:r>
        <w:rPr/>
        <w:t xml:space="preserve">: la Camera Istruttoria, il registro delle lacune, il lessico dei nodi, il calcolo di prossimità e le ipotesi concorrenti di questo Registro sono propri e non derivati; le ipotesi in competizione qui formulate non coincidono con quelle del Registro Unico e hanno un diverso falsificatore di riferimento. Terzo, </w:t>
      </w:r>
      <w:r>
        <w:rPr>
          <w:b/>
        </w:rPr>
        <w:t xml:space="preserve">indipendenza da ogni prodotto dell’opera</w:t>
      </w:r>
      <w:r>
        <w:rPr/>
        <w:t xml:space="preserve">: il corpus di calcolo esclude per terzietà i trentuno prodotti dell’opera presenti in cartella, e si compone unicamente di fonti terze — atti parlamentari, atti giudiziari, inventari archivistici, corpora autografi, monografie e voci di riferimento.</w:t>
      </w:r>
    </w:p>
    <w:p>
      <w:pPr>
        <w:spacing w:after="0" w:line="276" w:lineRule="auto"/>
        <w:ind w:firstLine="425"/>
        <w:jc w:val="both"/>
      </w:pPr>
      <w:r>
        <w:rPr>
          <w:b/>
        </w:rPr>
        <w:t xml:space="preserve">Limite dichiarato dell’indipendenza.</w:t>
      </w:r>
      <w:r>
        <w:rPr/>
        <w:t xml:space="preserve"> Il metodo impone di dichiarare anche ciò che l’indipendenza non è, poiché una convergenza spuria dichiarata autentica sarebbe precisamente l’errore che questo Registro esiste per prevenire. Il sottocorpus qui utilizzato consta di sessantotto fonti selezionate per pertinenza entro un insieme di duecentoquarantuno fonti terze disponibili; di esse quindici hanno il caso Moro come tema dominante e costituiscono il nucleo proprio del Registro, mentre le rimanenti sono fonti generali della materia che il Registro Unico impiega anch’esso per oggetti diversi. </w:t>
      </w:r>
      <w:r>
        <w:rPr>
          <w:b/>
        </w:rPr>
        <w:t xml:space="preserve">La sovrapposizione materiale parziale del corpus è pertanto dichiarata e misurata.</w:t>
      </w:r>
      <w:r>
        <w:rPr/>
        <w:t xml:space="preserve"> Ne discende la regola che questo Registro osserva senza eccezioni: la convergenza fra le conclusioni di questo Registro e quelle del Registro Unico </w:t>
      </w:r>
      <w:r>
        <w:rPr>
          <w:b/>
        </w:rPr>
        <w:t xml:space="preserve">non costituisce conferma reciproca</w:t>
      </w:r>
      <w:r>
        <w:rPr/>
        <w:t xml:space="preserve">, poiché due letture del medesimo documento non sono due fonti indipendenti; vale come conferma soltanto la convergenza di fonti fra loro indipendenti sul medesimo punto, e l’indipendenza è accertata e mai presunta.</w:t>
      </w:r>
    </w:p>
    <w:p>
      <w:pPr>
        <w:spacing w:after="0" w:line="276" w:lineRule="auto"/>
        <w:ind w:firstLine="425"/>
        <w:jc w:val="both"/>
      </w:pPr>
      <w:r>
        <w:rPr>
          <w:b/>
        </w:rPr>
        <w:t xml:space="preserve">Statuto del Primo Anello.</w:t>
      </w:r>
      <w:r>
        <w:rPr/>
        <w:t xml:space="preserve"> La Parte Undicesima registra i nodi documentalmente prossimi ai nodi del caso, ricavati per misura di vicinanza testuale nelle fonti. Tale registrazione è compiuta </w:t>
      </w:r>
      <w:r>
        <w:rPr>
          <w:b/>
        </w:rPr>
        <w:t xml:space="preserve">per dovere di cronaca e non a titolo di asserzione</w:t>
      </w:r>
      <w:r>
        <w:rPr/>
        <w:t xml:space="preserve">: la prossimità di due nomi entro una medesima finestra di testo attesta che una fonte li ha accostati, non che fra i due corra un arco. Ogni voce del Primo Anello è pertanto di </w:t>
      </w:r>
      <w:r>
        <w:rPr>
          <w:b/>
        </w:rPr>
        <w:t xml:space="preserve">Livello C</w:t>
      </w:r>
      <w:r>
        <w:rPr/>
        <w:t xml:space="preserve"> in quanto legame, quale che sia il livello dei singoli nodi che collega, e nessuna di esse è affermata dal Registro. Il Primo Anello è mappa di ciò che è stato scritto, non mappa di ciò che è accaduto: chi lo leggesse come la seconda commetterebbe esattamente l’errore del pollo induttivista di Russell, e il Registro lo dichiara qui in apertura perché nessun lettore possa incorrervi in buona fede.</w:t>
      </w:r>
    </w:p>
    <w:p>
      <w:pPr>
        <w:pageBreakBefore/>
        <w:spacing w:before="240" w:after="120" w:line="276" w:lineRule="auto"/>
        <w:jc w:val="left"/>
      </w:pPr>
      <w:r>
        <w:rPr>
          <w:b/>
          <w:sz w:val="28"/>
          <w:szCs w:val="28"/>
        </w:rPr>
        <w:t xml:space="preserve">STRATO ZERO — L’EDIZIONE PRIMA INCORPORATA VERBATIM</w:t>
      </w:r>
    </w:p>
    <w:p>
      <w:pPr>
        <w:spacing w:after="0" w:line="276" w:lineRule="auto"/>
        <w:ind w:firstLine="425"/>
        <w:jc w:val="both"/>
      </w:pPr>
      <w:r>
        <w:rPr/>
        <w:t xml:space="preserve">Segue, riprodotta integralmente e senza alcun intervento per copia diretta del flusso documentale, l’edizione prima del presente Registro, comprensiva della Nota metodologica, del censimento del corpus, della declinazione dei dieci Domini, della tipologia degli archi, del Registro dei nodi, della cronologia strutturale, dei Pattern applicati, delle ipotesi concorrenti, del registro delle lacune e della Camera Istruttoria. Nulla di quanto segue è stato modificato, abbreviato o riordinato.</w:t>
      </w:r>
    </w:p>
    <w:p>
      <w:pPr>
        <w:spacing w:after="0" w:line="276" w:lineRule="auto" w:before="160"/>
        <w:jc w:val="center"/>
      </w:pPr>
      <w:r>
        <w:rPr>
          <w:rFonts w:ascii="Times New Roman" w:hAnsi="Times New Roman" w:cs="Times New Roman" w:eastAsia="Times New Roman"/>
          <w:rFonts w:ascii="Times New Roman" w:hAnsi="Times New Roman"/>
          <w:b/>
          <w:sz w:val="32"/>
        </w:rPr>
        <w:t>REGISTRO ANALITICO DEL CASO MORO</w:t>
      </w:r>
    </w:p>
    <w:p>
      <w:pPr>
        <w:spacing w:after="0" w:line="276" w:lineRule="auto" w:before="80"/>
        <w:jc w:val="center"/>
      </w:pPr>
      <w:r>
        <w:rPr>
          <w:rFonts w:ascii="Times New Roman" w:hAnsi="Times New Roman" w:cs="Times New Roman" w:eastAsia="Times New Roman"/>
          <w:rFonts w:ascii="Times New Roman" w:hAnsi="Times New Roman"/>
          <w:b w:val="0"/>
          <w:sz w:val="24"/>
        </w:rPr>
        <w:t>Registro autonomo delle reti informali del sequestro e dell’omicidio di Aldo Moro</w:t>
      </w:r>
    </w:p>
    <w:p>
      <w:pPr>
        <w:spacing w:after="0" w:line="276" w:lineRule="auto" w:before="80"/>
        <w:jc w:val="center"/>
      </w:pPr>
      <w:r>
        <w:rPr>
          <w:rFonts w:ascii="Times New Roman" w:hAnsi="Times New Roman" w:cs="Times New Roman" w:eastAsia="Times New Roman"/>
          <w:rFonts w:ascii="Times New Roman" w:hAnsi="Times New Roman"/>
          <w:b w:val="0"/>
          <w:sz w:val="24"/>
        </w:rPr>
        <w:t>Edizione Prima — Integrale</w:t>
      </w:r>
    </w:p>
    <w:p>
      <w:pPr>
        <w:spacing w:after="0" w:line="276" w:lineRule="auto" w:before="80"/>
        <w:jc w:val="center"/>
      </w:pPr>
      <w:r>
        <w:rPr>
          <w:rFonts w:ascii="Times New Roman" w:hAnsi="Times New Roman" w:cs="Times New Roman" w:eastAsia="Times New Roman"/>
          <w:rFonts w:ascii="Times New Roman" w:hAnsi="Times New Roman"/>
          <w:b w:val="0"/>
          <w:sz w:val="24"/>
        </w:rPr>
        <w:t>Luigi De Michele</w:t>
      </w:r>
    </w:p>
    <w:p>
      <w:pPr>
        <w:spacing w:after="0" w:line="276" w:lineRule="auto" w:before="80"/>
        <w:jc w:val="center"/>
      </w:pPr>
      <w:r>
        <w:rPr>
          <w:rFonts w:ascii="Times New Roman" w:hAnsi="Times New Roman" w:cs="Times New Roman" w:eastAsia="Times New Roman"/>
          <w:rFonts w:ascii="Times New Roman" w:hAnsi="Times New Roman"/>
          <w:b w:val="0"/>
          <w:sz w:val="24"/>
        </w:rPr>
        <w:t>Due agosto duemilaventisei</w:t>
      </w:r>
    </w:p>
    <w:p>
      <w:pPr>
        <w:spacing w:after="0" w:line="276" w:lineRule="auto"/>
        <w:ind w:firstLine="425"/>
        <w:jc w:val="both"/>
      </w:pPr>
      <w:r>
        <w:rPr>
          <w:rFonts w:ascii="Times New Roman" w:hAnsi="Times New Roman" w:cs="Times New Roman" w:eastAsia="Times New Roman"/>
          <w:rFonts w:ascii="Times New Roman" w:hAnsi="Times New Roman"/>
          <w:b/>
          <w:sz w:val="24"/>
        </w:rPr>
        <w:t>Statuto del documento.</w:t>
      </w:r>
      <w:r>
        <w:rPr>
          <w:rFonts w:ascii="Times New Roman" w:hAnsi="Times New Roman" w:cs="Times New Roman" w:eastAsia="Times New Roman"/>
          <w:rFonts w:ascii="Times New Roman" w:hAnsi="Times New Roman"/>
          <w:b w:val="0"/>
          <w:sz w:val="24"/>
        </w:rPr>
        <w:t xml:space="preserve"> Il presente Registro è documento autonomo e autosufficiente. Esso non è una sezione, un estratto né una derivazione del Registro Unico Federato di ITALIA NERA, e non presuppone la lettura di quello: la metodologia, l’apparato dei Domini, la tipologia degli archi, i Pattern analitici e lo standard probatorio vi sono ripetuti per intero e non per rinvio, affinché il Registro possa essere letto, verificato e falsificato da solo. Condivide con il Registro Unico l’identica metodologia e l’identica architettura, ma ha un proprio oggetto circoscritto — il sequestro di via Fani del sedici marzo millenovecentosettantotto, i cinquantacinque giorni della prigionia e l’omicidio del nove maggio, con i nodi, gli archi e le questioni che vi afferiscono — e un proprio corpus, un proprio registro delle lacune, una propria Camera Istruttoria. Ove le due opere confliggano su un punto di fatto, prevale quella che esibisce la fonte di livello superiore; ove convergano, la convergenza non costituisce conferma, poiché non sono fonti indipendenti fra loro.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PRIMA — NOTA METODOLOGICA</w:t>
      </w:r>
    </w:p>
    <w:p>
      <w:pPr>
        <w:spacing w:after="120" w:line="276" w:lineRule="auto" w:before="320"/>
        <w:jc w:val="left"/>
      </w:pPr>
      <w:r>
        <w:rPr>
          <w:rFonts w:ascii="Times New Roman" w:hAnsi="Times New Roman" w:cs="Times New Roman" w:eastAsia="Times New Roman"/>
          <w:rFonts w:ascii="Times New Roman" w:hAnsi="Times New Roman"/>
          <w:b/>
          <w:sz w:val="24"/>
        </w:rPr>
        <w:t>Premessa epistemologica: perché il Caso Moro è il caso limite del metodo</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caso Moro costituisce, per la storiografia e per l’analisi delle reti informali, un banco di prova più severo di qualunque altro episodio della storia repubblicana, e la ragione non risiede soltanto nella gravità dell’evento. Risiede nel fatto che su di esso si è depositata, in quasi cinquant’anni, una sedimentazione di narrazioni concorrenti così densa da rendere quasi impossibile distinguere il fatto accertato dall’ipotesi ripetuta. Cinque processi, due Commissioni parlamentari d’inchiesta a esso specificamente dedicate, una terza — quella sulle stragi — che vi ha dedicato tomi interi, una letteratura monografica di migliaia di titoli, una pubblicistica militante di ogni orientamento: il risultato è che il caso Moro è oggi il luogo dove la conoscenza per accumulo produce meno chiarezza che altrove, perché ogni nuovo strato di racconto si sovrappone ai precedenti senza espungerli.</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metodo che questo Registro adotta muove da una constatazione elementare e scomoda: nel caso Moro la difficoltà non è la scarsità delle informazioni, ma la loro sovrabbondanza disordinata e la loro contaminazione reciproca. Vi sono affermazioni che circolano da decenni con l’autorevolezza del fatto e che, risalite alla fonte, si rivelano dichiarazioni non riscontrate, ricostruzioni giornalistiche o autodichiarazioni di soggetti interessati. Vi sono, all’opposto, accertamenti giudiziari definitivi che la pubblicistica tratta come opinioni fra le altre. Il compito del Registro non è dunque aggiungere una narrazione a quelle esistenti, ma </w:t>
      </w:r>
      <w:r>
        <w:rPr>
          <w:rFonts w:ascii="Times New Roman" w:hAnsi="Times New Roman" w:cs="Times New Roman" w:eastAsia="Times New Roman"/>
          <w:rFonts w:ascii="Times New Roman" w:hAnsi="Times New Roman"/>
          <w:b/>
          <w:sz w:val="24"/>
        </w:rPr>
        <w:t>stratificare le asserzioni per grado di sostegno documentale</w:t>
      </w:r>
      <w:r>
        <w:rPr>
          <w:rFonts w:ascii="Times New Roman" w:hAnsi="Times New Roman" w:cs="Times New Roman" w:eastAsia="Times New Roman"/>
          <w:rFonts w:ascii="Times New Roman" w:hAnsi="Times New Roman"/>
          <w:b w:val="0"/>
          <w:sz w:val="24"/>
        </w:rPr>
        <w:t>, restituendo a ciascuna il suo peso e privando ciascuna del peso che non le compete. Dove la fonte documenta, il Registro certifica; dove la fonte tace, il Registro indaga e non afferma. Questa è la Regola di Ferro, e nel caso Moro essa non è una cautela accessoria: è l’unico argine.</w:t>
      </w:r>
    </w:p>
    <w:p>
      <w:pPr>
        <w:spacing w:after="120" w:line="276" w:lineRule="auto" w:before="320"/>
        <w:jc w:val="left"/>
      </w:pPr>
      <w:r>
        <w:rPr>
          <w:rFonts w:ascii="Times New Roman" w:hAnsi="Times New Roman" w:cs="Times New Roman" w:eastAsia="Times New Roman"/>
          <w:rFonts w:ascii="Times New Roman" w:hAnsi="Times New Roman"/>
          <w:b/>
          <w:sz w:val="24"/>
        </w:rPr>
        <w:t>Il problema dell’induzione e il Pollo di Popper applicato al caso Moro</w:t>
      </w:r>
    </w:p>
    <w:p>
      <w:pPr>
        <w:spacing w:after="0" w:line="276" w:lineRule="auto"/>
        <w:ind w:firstLine="425"/>
        <w:jc w:val="both"/>
      </w:pPr>
      <w:r>
        <w:rPr>
          <w:rFonts w:ascii="Times New Roman" w:hAnsi="Times New Roman" w:cs="Times New Roman" w:eastAsia="Times New Roman"/>
          <w:rFonts w:ascii="Times New Roman" w:hAnsi="Times New Roman"/>
          <w:b w:val="0"/>
          <w:sz w:val="24"/>
        </w:rPr>
        <w:t>Karl Popper, nella Logica della scoperta scientifica, formulò la critica decisiva al metodo induttivo: nessuna quantità di osservazioni conformi dimostra una legge universale, mentre una sola osservazione contraria la falsifica. L’esempio del pollo induttivista, che Bertrand Russell propose nei Problemi della filosofia, illustra il pericolo di ogni ricerca che parta da una tesi precostituita e cerchi conferme nei dati: il pollo osserva il contadino portargli il cibo ogni giorno e ne inferisce che il contadino esisterà sempre per nutrirlo, fino al giorno in cui il contadino gli tira il collo.</w:t>
      </w:r>
    </w:p>
    <w:p>
      <w:pPr>
        <w:spacing w:after="0" w:line="276" w:lineRule="auto"/>
        <w:ind w:firstLine="425"/>
        <w:jc w:val="both"/>
      </w:pPr>
      <w:r>
        <w:rPr>
          <w:rFonts w:ascii="Times New Roman" w:hAnsi="Times New Roman" w:cs="Times New Roman" w:eastAsia="Times New Roman"/>
          <w:rFonts w:ascii="Times New Roman" w:hAnsi="Times New Roman"/>
          <w:b w:val="0"/>
          <w:sz w:val="24"/>
        </w:rPr>
        <w:t>Nel caso Moro il rischio del Pollo di Popper assume la forma più insidiosa che gli sia data assumere, perché la materia offre un numero praticamente illimitato di coincidenze. Cinquantacinque giorni di storia italiana densissima, migliaia di attori, decine di apparati, un contesto internazionale in movimento: chiunque parta dalla tesi che il sequestro fu eterodiretto troverà, senza sforzo, decine di circostanze che la confermano, perché in un intervallo così denso qualunque tesi trova conferme. E chiunque parta dalla tesi opposta ne troverà altrettante. La struttura concentrica del racconto — un centro interpretativo dal quale si irradiano i fatti — genera l’illusione della dimostrazione senza che alcuna dimostrazione sia avvenuta: i dati confermano la tesi per effetto della struttura, non per forza propria.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soluzione popperiana impone che il Registro non sia organizzato attorno a un’ipotesi ma attorno ai dati, e che ogni ipotesi sia formulata in modo da poter essere falsificata. Ne discende una regola operativa che questo Registro osserva senza eccezioni: </w:t>
      </w:r>
      <w:r>
        <w:rPr>
          <w:rFonts w:ascii="Times New Roman" w:hAnsi="Times New Roman" w:cs="Times New Roman" w:eastAsia="Times New Roman"/>
          <w:rFonts w:ascii="Times New Roman" w:hAnsi="Times New Roman"/>
          <w:b/>
          <w:sz w:val="24"/>
        </w:rPr>
        <w:t>per ogni asserzione si dichiara che cosa la falsificherebbe</w:t>
      </w:r>
      <w:r>
        <w:rPr>
          <w:rFonts w:ascii="Times New Roman" w:hAnsi="Times New Roman" w:cs="Times New Roman" w:eastAsia="Times New Roman"/>
          <w:rFonts w:ascii="Times New Roman" w:hAnsi="Times New Roman"/>
          <w:b w:val="0"/>
          <w:sz w:val="24"/>
        </w:rPr>
        <w:t>. Un’asserzione che non ammette confutazione concepibile non è conoscenza ma professione di fede, e come tale non entra nel Registro se non come oggetto, mai come strumento.</w:t>
      </w:r>
    </w:p>
    <w:p>
      <w:pPr>
        <w:spacing w:after="120" w:line="276" w:lineRule="auto" w:before="320"/>
        <w:jc w:val="left"/>
      </w:pPr>
      <w:r>
        <w:rPr>
          <w:rFonts w:ascii="Times New Roman" w:hAnsi="Times New Roman" w:cs="Times New Roman" w:eastAsia="Times New Roman"/>
          <w:rFonts w:ascii="Times New Roman" w:hAnsi="Times New Roman"/>
          <w:b/>
          <w:sz w:val="24"/>
        </w:rPr>
        <w:t>Il paradigma indiziario e la conoscenza per tracce</w:t>
      </w:r>
    </w:p>
    <w:p>
      <w:pPr>
        <w:spacing w:after="0" w:line="276" w:lineRule="auto"/>
        <w:ind w:firstLine="425"/>
        <w:jc w:val="both"/>
      </w:pPr>
      <w:r>
        <w:rPr>
          <w:rFonts w:ascii="Times New Roman" w:hAnsi="Times New Roman" w:cs="Times New Roman" w:eastAsia="Times New Roman"/>
          <w:rFonts w:ascii="Times New Roman" w:hAnsi="Times New Roman"/>
          <w:b w:val="0"/>
          <w:sz w:val="24"/>
        </w:rPr>
        <w:t>Carlo Ginzburg, nel saggio sulle radici del paradigma indiziario, individuò il metodo che accomuna la semeiotica medica, l’attribuzione conoscitiva delle opere d’arte, la psicoanalisi e l’investigazione: la conoscenza si costruisce non sulle regolarità statistiche ma sulle anomalie, sui dettagli marginali, sui sintomi che sfuggono al controllo cosciente del soggetto. Applicato al caso Moro, il paradigma indiziario significa che la struttura reale degli eventi non si rivela nelle dichiarazioni esplicite dei protagonisti — che sono tutte, per definizione, dichiarazioni di parte — ma nelle tracce involontarie: l’intestazione di un appartamento, la datazione di un documento, l’ordine in cui una notizia percorre una catena gerarchica, la discrepanza fra due verbali, l’omissione che ricorre.</w:t>
      </w:r>
    </w:p>
    <w:p>
      <w:pPr>
        <w:spacing w:after="0" w:line="276" w:lineRule="auto"/>
        <w:ind w:firstLine="425"/>
        <w:jc w:val="both"/>
      </w:pPr>
      <w:r>
        <w:rPr>
          <w:rFonts w:ascii="Times New Roman" w:hAnsi="Times New Roman" w:cs="Times New Roman" w:eastAsia="Times New Roman"/>
          <w:rFonts w:ascii="Times New Roman" w:hAnsi="Times New Roman"/>
          <w:b w:val="0"/>
          <w:sz w:val="24"/>
        </w:rPr>
        <w:t>Vale però, e va scolpita, l’avvertenza che Ginzburg stesso pose: l’indizio non è la prova, e la moltiplicazione degli indizi non equivale alla loro convergenza. Tre indizi deboli che puntano in tre direzioni diverse non fanno un indizio forte. La convergenza che vale è quella di indizi indipendenti sullo stesso punto, e l’indipendenza va accertata e non presunta — nel caso Moro molte fonti apparentemente distinte risalgono a una medesima dichiarazione originaria, ripetuta e attribuita a testimoni diversi lungo decenni.</w:t>
      </w:r>
    </w:p>
    <w:p>
      <w:pPr>
        <w:spacing w:after="120" w:line="276" w:lineRule="auto" w:before="320"/>
        <w:jc w:val="left"/>
      </w:pPr>
      <w:r>
        <w:rPr>
          <w:rFonts w:ascii="Times New Roman" w:hAnsi="Times New Roman" w:cs="Times New Roman" w:eastAsia="Times New Roman"/>
          <w:rFonts w:ascii="Times New Roman" w:hAnsi="Times New Roman"/>
          <w:b/>
          <w:sz w:val="24"/>
        </w:rPr>
        <w:t>Il quadro sistemico: Luhmann e l’accoppiamento strutturale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sociologia dei sistemi di Niklas Luhmann fornisce il quadro per comprendere come sfere di potere distinte interagiscano mantenendo autonomia operativa. Ogni sistema sociale è operativamente chiuso e cognitivamente aperto: opera secondo un proprio codice binario interno e osserva gli altri sistemi reagendo alle loro operazioni per accoppiamento strutturale. Nel caso Moro questo quadro è decisivo perché consente di descrivere l’interazione fra apparati senza postularne il concerto. L’organizzazione armata opera secondo il codice della propria legittimazione rivoluzionaria; l’intelligence secondo il codice segreto e pubblico; la politica secondo il codice del governo e dell’opposizione; l’istituzione religiosa secondo un codice proprio di mediazione morale; la magistratura secondo il codice della rilevanza penale. Che questi sistemi si osservino a vicenda, e che le operazioni dell’uno costituiscano ambiente per l’altro, è un dato strutturale che non implica alcun patto: la distinzione fra </w:t>
      </w:r>
      <w:r>
        <w:rPr>
          <w:rFonts w:ascii="Times New Roman" w:hAnsi="Times New Roman" w:cs="Times New Roman" w:eastAsia="Times New Roman"/>
          <w:rFonts w:ascii="Times New Roman" w:hAnsi="Times New Roman"/>
          <w:b/>
          <w:sz w:val="24"/>
        </w:rPr>
        <w:t>accoppiamento strutturale</w:t>
      </w:r>
      <w:r>
        <w:rPr>
          <w:rFonts w:ascii="Times New Roman" w:hAnsi="Times New Roman" w:cs="Times New Roman" w:eastAsia="Times New Roman"/>
          <w:rFonts w:ascii="Times New Roman" w:hAnsi="Times New Roman"/>
          <w:b w:val="0"/>
          <w:sz w:val="24"/>
        </w:rPr>
        <w:t xml:space="preserve"> e </w:t>
      </w:r>
      <w:r>
        <w:rPr>
          <w:rFonts w:ascii="Times New Roman" w:hAnsi="Times New Roman" w:cs="Times New Roman" w:eastAsia="Times New Roman"/>
          <w:rFonts w:ascii="Times New Roman" w:hAnsi="Times New Roman"/>
          <w:b/>
          <w:sz w:val="24"/>
        </w:rPr>
        <w:t>concerto</w:t>
      </w:r>
      <w:r>
        <w:rPr>
          <w:rFonts w:ascii="Times New Roman" w:hAnsi="Times New Roman" w:cs="Times New Roman" w:eastAsia="Times New Roman"/>
          <w:rFonts w:ascii="Times New Roman" w:hAnsi="Times New Roman"/>
          <w:b w:val="0"/>
          <w:sz w:val="24"/>
        </w:rPr>
        <w:t xml:space="preserve"> è, nel caso Moro, la distinzione fra analisi e dietrologia.</w:t>
      </w:r>
    </w:p>
    <w:p>
      <w:pPr>
        <w:spacing w:after="120" w:line="276" w:lineRule="auto" w:before="320"/>
        <w:jc w:val="left"/>
      </w:pPr>
      <w:r>
        <w:rPr>
          <w:rFonts w:ascii="Times New Roman" w:hAnsi="Times New Roman" w:cs="Times New Roman" w:eastAsia="Times New Roman"/>
          <w:rFonts w:ascii="Times New Roman" w:hAnsi="Times New Roman"/>
          <w:b/>
          <w:sz w:val="24"/>
        </w:rPr>
        <w:t>Network analysis: nodi, archi, livelli</w:t>
      </w:r>
    </w:p>
    <w:p>
      <w:pPr>
        <w:spacing w:after="0" w:line="276" w:lineRule="auto"/>
        <w:ind w:firstLine="425"/>
        <w:jc w:val="both"/>
      </w:pPr>
      <w:r>
        <w:rPr>
          <w:rFonts w:ascii="Times New Roman" w:hAnsi="Times New Roman" w:cs="Times New Roman" w:eastAsia="Times New Roman"/>
          <w:rFonts w:ascii="Times New Roman" w:hAnsi="Times New Roman"/>
          <w:b w:val="0"/>
          <w:sz w:val="24"/>
        </w:rPr>
        <w:t>L’apparato analitico opera su tre livelli. Il primo è quello dei nodi: individui, organizzazioni, luoghi ed eventi, ciascuno con i propri attributi di data, appartenenza, posizione e periodo di attività. Il secondo è quello degli archi, ossia le relazioni fra nodi, tipizzate per natura — parentela, affiliazione, operazione, comunicazione, conflitto — e dotate ciascuna di attributi di fonte, affidabilità, data e direzione. Il terzo è quello delle proprietà strutturali dell’intera rete: densità, centralità, modularità, buchi strutturali nel senso di Ronald Burt, ossia le posizioni dalle quali un intermediario controlla il flusso fra gruppi altrimenti disconnessi.</w:t>
      </w:r>
    </w:p>
    <w:p>
      <w:pPr>
        <w:spacing w:after="0" w:line="276" w:lineRule="auto"/>
        <w:ind w:firstLine="425"/>
        <w:jc w:val="both"/>
      </w:pPr>
      <w:r>
        <w:rPr>
          <w:rFonts w:ascii="Times New Roman" w:hAnsi="Times New Roman" w:cs="Times New Roman" w:eastAsia="Times New Roman"/>
          <w:rFonts w:ascii="Times New Roman" w:hAnsi="Times New Roman"/>
          <w:b w:val="0"/>
          <w:sz w:val="24"/>
        </w:rPr>
        <w:t>Quattro misure di centralità governano la lettura. La centralità di grado conta le connessioni dirette e misura la visibilità più che la potenza. La centralità di intermediazione misura quanto un nodo giaccia sui percorsi più brevi fra altri nodi, e identifica i broker: è la misura più produttiva per questo Registro, perché nel caso Moro la questione decisiva è precisamente quali nodi collegassero mondi altrimenti separati. La centralità di prossimità misura la rapidità con cui un nodo raggiunge tutti gli altri, e traduce la capacità di mobilitare risorse eterogenee in tempi brevi — capacità che nei cinquantacinque giorni fu la risorsa più scarsa e più contesa. La centralità di autovettore misura non quante connessioni un nodo abbia ma quanto contino quelle che ha, e distingue chi è connesso a molti irrilevanti da chi è connesso a pochi decisivi.</w:t>
      </w:r>
    </w:p>
    <w:p>
      <w:pPr>
        <w:spacing w:after="0" w:line="276" w:lineRule="auto"/>
        <w:ind w:firstLine="425"/>
        <w:jc w:val="both"/>
      </w:pPr>
      <w:r>
        <w:rPr>
          <w:rFonts w:ascii="Times New Roman" w:hAnsi="Times New Roman" w:cs="Times New Roman" w:eastAsia="Times New Roman"/>
          <w:rFonts w:ascii="Times New Roman" w:hAnsi="Times New Roman"/>
          <w:b w:val="0"/>
          <w:sz w:val="24"/>
        </w:rPr>
        <w:t>La rete è concepita come rete multilivello nel senso di Kivelä: gli stessi nodi compaiono su strati diversi, e gli archi si distinguono in intra-strato e inter-strato. Un medesimo individuo può esistere simultaneamente nello strato dell’organizzazione armata, in quello dei rapporti internazionali e in quello della mediazione religiosa, e sono precisamente gli archi inter-strato — i ponti fra i Domini — a costituire l’oggetto proprio di questo Registro.</w:t>
      </w:r>
    </w:p>
    <w:p>
      <w:pPr>
        <w:spacing w:after="120" w:line="276" w:lineRule="auto" w:before="320"/>
        <w:jc w:val="left"/>
      </w:pPr>
      <w:r>
        <w:rPr>
          <w:rFonts w:ascii="Times New Roman" w:hAnsi="Times New Roman" w:cs="Times New Roman" w:eastAsia="Times New Roman"/>
          <w:rFonts w:ascii="Times New Roman" w:hAnsi="Times New Roman"/>
          <w:b/>
          <w:sz w:val="24"/>
        </w:rPr>
        <w:t>Lo standard probatorio: la classificazione Savona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Ogni asserzione fattuale del Registro reca inline la propria classificazione, secondo lo standard di triangolazione delle fonti derivato dalla metodologia di Ernesto Savona e consolidato nella pratica giudiziaria italiana dal metodo Falcone. Il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connessione documentata, richiede la convergenza di almeno tre fonti indipendenti di natura diversa: una sentenza definitiva, una testimonianza riscontrata, un documento d’archivio. Il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connessione indiziaria, richiede due fonti indipendenti oppure una singola fonte di alta affidabilità, quale una sentenza di primo grado o una relazione parlamentare circostanziata: la connessione è probabile ma non certa e come tale è segnalata. Il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connessione ipotetica, si fonda su una fonte singola o su una convergenza di indizi circostanziali, ed è ipotesi investigativa esplicitamente marcata come tale, mai affermazione.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Nel caso Moro questa classificazione produce un effetto che va anticipato perché disturba entrambe le narrazioni consolidate: molte delle affermazioni più diffuse — in un senso e nell’altro — si collocano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mentre il nucleo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è più ristretto e insieme più solido di quanto la pubblicistica lasci intendere. Il Registro non considera questo un esito deludente ma il suo principale risultato: separare il poco che è accertato dal molto che è discusso è, in questa materia, l’atto conoscitivo fondamentale.</w:t>
      </w:r>
    </w:p>
    <w:p>
      <w:pPr>
        <w:spacing w:after="120" w:line="276" w:lineRule="auto" w:before="320"/>
        <w:jc w:val="left"/>
      </w:pPr>
      <w:r>
        <w:rPr>
          <w:rFonts w:ascii="Times New Roman" w:hAnsi="Times New Roman" w:cs="Times New Roman" w:eastAsia="Times New Roman"/>
          <w:rFonts w:ascii="Times New Roman" w:hAnsi="Times New Roman"/>
          <w:b/>
          <w:sz w:val="24"/>
        </w:rPr>
        <w:t>Ordo expositionis e ordo probandi</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Registro distingue rigorosamente due ordini. L’ordo expositionis è l’ordine narrativo con cui la materia è esposta, e procede per cerchi concentrici dal fatto centrale verso i contesti sempre più ampi. L’ordo probandi è l’ordine della catena documentale, e procede al contrario, dal basso: dalla fonte al nodo, dal nodo all’arco, dall’arco al pattern, dal pattern all’ipotesi. I due ordini non coincidono e non devono essere confusi: la posizione di un elemento nell’esposizione non dice nulla della sua forza probatoria, che è dichiarata soltanto dalla classificazione Savona. Questa distinzione è il presidio strutturale contro il Pollo di Popper, perché impedisce che l’architettura del racconto si travesta da dimostrazione.</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SECONDA — IL CORPUS E IL SUO CENSIMENTO</w:t>
      </w:r>
    </w:p>
    <w:p>
      <w:pPr>
        <w:spacing w:after="120" w:line="276" w:lineRule="auto" w:before="320"/>
        <w:jc w:val="left"/>
      </w:pPr>
      <w:r>
        <w:rPr>
          <w:rFonts w:ascii="Times New Roman" w:hAnsi="Times New Roman" w:cs="Times New Roman" w:eastAsia="Times New Roman"/>
          <w:rFonts w:ascii="Times New Roman" w:hAnsi="Times New Roman"/>
          <w:b/>
          <w:sz w:val="24"/>
        </w:rPr>
        <w:t>Consistenza del sottocorpus</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corpus documentale sul quale questo Registro è costruito consta di sessantotto fonti leggibili in forma testuale, per una consistenza complessiva di circa venti milioni e seicentomila caratteri, alle quali si aggiungono diciotto blocchi di materiale scansionato non ancora convertito in testo. La ricognizione è stata condotta per lettura integrale automatizzata di ogni file, con riconoscimento della firma binaria e non dell’estensione, poiché numerosi file recanti estensione di documento testuale contengono in realtà testo piano, e numerosi file recanti estensione di documento portabile contengono in realtà archivi di immagini scansionate. La distinzione è tutt’altro che formale: la seconda categoria non è leggibile e costituisce lacuna operativa.</w:t>
      </w:r>
    </w:p>
    <w:p>
      <w:pPr>
        <w:spacing w:after="0" w:line="276" w:lineRule="auto"/>
        <w:ind w:firstLine="425"/>
        <w:jc w:val="both"/>
      </w:pPr>
      <w:r>
        <w:rPr>
          <w:rFonts w:ascii="Times New Roman" w:hAnsi="Times New Roman" w:cs="Times New Roman" w:eastAsia="Times New Roman"/>
          <w:rFonts w:ascii="Times New Roman" w:hAnsi="Times New Roman"/>
          <w:b w:val="0"/>
          <w:sz w:val="24"/>
        </w:rPr>
        <w:t>Le fonti si distribuiscono in cinque famiglie. La prima è quella degli atti parlamentari d’inchiesta, che comprende i tomi degli elaborati della Commissione stragi, la relazione dedicata al caso Moro, gli atti sulla dimensione sovranazionale e sull’ombra dei servizi orientali, i verbali delle sedute della decima legislatura e la relazione sulla loggia. La seconda è quella degli atti giudiziari, con le sentenze del processo Andreotti–Pecorelli e del processo Andreotti–Badalamenti. La terza è quella delle fonti archivistiche, con l’inventario del Gabinetto del Segretario generale della Presidenza della Repubblica per gli affari riservati dal millenovecentosessantuno al millenovecentonovantadue, che censisce il fascicolo dedicato all’affare Moro. La quarta è quella del corpus degli scritti e degli interventi di Aldo Moro dal millenovecentotrentadue al millenovecentosettantotto. La quinta è quella delle monografie e delle voci enciclopediche.</w:t>
      </w:r>
    </w:p>
    <w:p>
      <w:pPr>
        <w:spacing w:after="120" w:line="276" w:lineRule="auto" w:before="320"/>
        <w:jc w:val="left"/>
      </w:pPr>
      <w:r>
        <w:rPr>
          <w:rFonts w:ascii="Times New Roman" w:hAnsi="Times New Roman" w:cs="Times New Roman" w:eastAsia="Times New Roman"/>
          <w:rFonts w:ascii="Times New Roman" w:hAnsi="Times New Roman"/>
          <w:b/>
          <w:sz w:val="24"/>
        </w:rPr>
        <w:t>Indice di Contaminazione della Fonte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censimento impone una dichiarazione che il metodo esige e che la prudenza suggerirebbe di tacere. La fonte più densa dell’intero sottocorpus — quella che reca il maggior numero di occorrenze del nome di Moro, circa milleseicentocinquanta — è una monografia d’autore di orientamento dichiaratamente tesistico, il cui titolo stesso annuncia una tesi. Essa costituisce una fonte preziosa, poiché raccoglie in modo sistematico dichiarazioni, audizioni e riferimenti altrimenti dispersi, ed è </w:t>
      </w:r>
      <w:r>
        <w:rPr>
          <w:rFonts w:ascii="Times New Roman" w:hAnsi="Times New Roman" w:cs="Times New Roman" w:eastAsia="Times New Roman"/>
          <w:rFonts w:ascii="Times New Roman" w:hAnsi="Times New Roman"/>
          <w:b/>
          <w:sz w:val="24"/>
        </w:rPr>
        <w:t>terza rispetto ai fatti</w:t>
      </w:r>
      <w:r>
        <w:rPr>
          <w:rFonts w:ascii="Times New Roman" w:hAnsi="Times New Roman" w:cs="Times New Roman" w:eastAsia="Times New Roman"/>
          <w:rFonts w:ascii="Times New Roman" w:hAnsi="Times New Roman"/>
          <w:b w:val="0"/>
          <w:sz w:val="24"/>
        </w:rPr>
        <w:t xml:space="preserve"> che riferisce; ma non è </w:t>
      </w:r>
      <w:r>
        <w:rPr>
          <w:rFonts w:ascii="Times New Roman" w:hAnsi="Times New Roman" w:cs="Times New Roman" w:eastAsia="Times New Roman"/>
          <w:rFonts w:ascii="Times New Roman" w:hAnsi="Times New Roman"/>
          <w:b/>
          <w:sz w:val="24"/>
        </w:rPr>
        <w:t>neutra rispetto alle ipotesi</w:t>
      </w:r>
      <w:r>
        <w:rPr>
          <w:rFonts w:ascii="Times New Roman" w:hAnsi="Times New Roman" w:cs="Times New Roman" w:eastAsia="Times New Roman"/>
          <w:rFonts w:ascii="Times New Roman" w:hAnsi="Times New Roman"/>
          <w:b w:val="0"/>
          <w:sz w:val="24"/>
        </w:rPr>
        <w:t xml:space="preserve">, e va trattata come repertorio di segnalazioni da risalire alla fonte primaria, mai come fonte primaria essa stessa. Ogni asserzione che in questo Registro poggi unicamente su di essa è classificata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quale che sia il tono assertivo dell’originale.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medesima avvertenza vale, con minore intensità, per le voci enciclopediche collaborative presenti nel corpus, che sono utili come indice di questioni ma non costituiscono fonte per alcun livello superiore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Vale infine, in senso inverso, per gli atti parlamentari: essi sono fonti di alta affidabilità quanto ai documenti che riproducono e alle audizioni che verbalizzano, ma le valutazioni politiche che contengono restano valutazioni, e la relazione di maggioranza di una Commissione non è per ciò stesso un accertamento.</w:t>
      </w:r>
    </w:p>
    <w:p>
      <w:pPr>
        <w:spacing w:after="120" w:line="276" w:lineRule="auto" w:before="320"/>
        <w:jc w:val="left"/>
      </w:pPr>
      <w:r>
        <w:rPr>
          <w:rFonts w:ascii="Times New Roman" w:hAnsi="Times New Roman" w:cs="Times New Roman" w:eastAsia="Times New Roman"/>
          <w:rFonts w:ascii="Times New Roman" w:hAnsi="Times New Roman"/>
          <w:b/>
          <w:sz w:val="24"/>
        </w:rPr>
        <w:t>La lacuna stenografica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Diciotto blocchi di materiale scansionato, per complessive oltre mille immagini, contengono i resoconti stenografici delle sedute della seconda Commissione parlamentare d’inchiesta e la documentazione fotografica sull’agguato di via Fani. Essi non sono attualmente leggibili in forma testuale e costituiscono la </w:t>
      </w:r>
      <w:r>
        <w:rPr>
          <w:rFonts w:ascii="Times New Roman" w:hAnsi="Times New Roman" w:cs="Times New Roman" w:eastAsia="Times New Roman"/>
          <w:rFonts w:ascii="Times New Roman" w:hAnsi="Times New Roman"/>
          <w:b/>
          <w:sz w:val="24"/>
        </w:rPr>
        <w:t>prima lacuna operativa</w:t>
      </w:r>
      <w:r>
        <w:rPr>
          <w:rFonts w:ascii="Times New Roman" w:hAnsi="Times New Roman" w:cs="Times New Roman" w:eastAsia="Times New Roman"/>
          <w:rFonts w:ascii="Times New Roman" w:hAnsi="Times New Roman"/>
          <w:b w:val="0"/>
          <w:sz w:val="24"/>
        </w:rPr>
        <w:t xml:space="preserve"> di questo Registro. La loro conversione mediante riconoscimento ottico è l’operazione a priorità assoluta della prossima sessione di lavoro, perché quel materiale contiene le audizioni sulle quali si fondano numerose asserzioni che al momento risultano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unicamente per inaccessibilità della fonte primaria, e che la lettura potrebbe elevare — o, con pari probabilità, smentire. La lacuna è dichiarata e non silenziata: il Registro non tratta come inesistente ciò che è soltanto non ancora letto.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TERZA — I DIECI DOMINI DECLINATI SUL CASO MORO</w:t>
      </w:r>
    </w:p>
    <w:p>
      <w:pPr>
        <w:spacing w:after="0" w:line="276" w:lineRule="auto"/>
        <w:ind w:firstLine="425"/>
        <w:jc w:val="both"/>
      </w:pPr>
      <w:r>
        <w:rPr>
          <w:rFonts w:ascii="Times New Roman" w:hAnsi="Times New Roman" w:cs="Times New Roman" w:eastAsia="Times New Roman"/>
          <w:rFonts w:ascii="Times New Roman" w:hAnsi="Times New Roman"/>
          <w:b w:val="0"/>
          <w:sz w:val="24"/>
        </w:rPr>
        <w:t>I Domini sono inclusi secondo quattro criteri simultanei derivati dalla teoria dei campi di Bourdieu e da quella dei sistemi autopoietici di Maturana e Varela mediata da Luhmann: risorse autonome non riducibili a quelle di altri Domini, gerarchia interna propria, regole operative generate internamente, capacità di autoriproduzione. Segue la declinazione dei dieci Domini sull’oggetto di questo Registro.</w:t>
      </w:r>
    </w:p>
    <w:p>
      <w:pPr>
        <w:spacing w:after="0" w:line="276" w:lineRule="auto"/>
        <w:ind w:firstLine="425"/>
        <w:jc w:val="both"/>
      </w:pPr>
      <w:r>
        <w:rPr>
          <w:rFonts w:ascii="Times New Roman" w:hAnsi="Times New Roman" w:cs="Times New Roman" w:eastAsia="Times New Roman"/>
          <w:rFonts w:ascii="Times New Roman" w:hAnsi="Times New Roman"/>
          <w:b/>
          <w:sz w:val="24"/>
        </w:rPr>
        <w:t>Dominio primo, criminalità organizzata.</w:t>
      </w:r>
      <w:r>
        <w:rPr>
          <w:rFonts w:ascii="Times New Roman" w:hAnsi="Times New Roman" w:cs="Times New Roman" w:eastAsia="Times New Roman"/>
          <w:rFonts w:ascii="Times New Roman" w:hAnsi="Times New Roman"/>
          <w:b w:val="0"/>
          <w:sz w:val="24"/>
        </w:rPr>
        <w:t xml:space="preserve"> Vi afferiscono la banda della Magliana, alla quale è attribuita nel corpus una attività di ricerca del luogo di detenzione condotta su sollecitazione esterna al gruppo; il falsario cui è ricondotta la confezione del falso comunicato; e le contigue presenze di criminalità calabrese oggetto di dichiarazioni di collaboratori. La risorsa propria del Dominio è il monopolio della violenza illegale e la capillarità del controllo territoriale urbano, che nella primavera del millenovecentosettantotto era, per la capitale, risorsa informativa di prim’ordine.</w:t>
      </w:r>
    </w:p>
    <w:p>
      <w:pPr>
        <w:spacing w:after="0" w:line="276" w:lineRule="auto"/>
        <w:ind w:firstLine="425"/>
        <w:jc w:val="both"/>
      </w:pPr>
      <w:r>
        <w:rPr>
          <w:rFonts w:ascii="Times New Roman" w:hAnsi="Times New Roman" w:cs="Times New Roman" w:eastAsia="Times New Roman"/>
          <w:rFonts w:ascii="Times New Roman" w:hAnsi="Times New Roman"/>
          <w:b/>
          <w:sz w:val="24"/>
        </w:rPr>
        <w:t>Dominio secondo, potere politico.</w:t>
      </w:r>
      <w:r>
        <w:rPr>
          <w:rFonts w:ascii="Times New Roman" w:hAnsi="Times New Roman" w:cs="Times New Roman" w:eastAsia="Times New Roman"/>
          <w:rFonts w:ascii="Times New Roman" w:hAnsi="Times New Roman"/>
          <w:b w:val="0"/>
          <w:sz w:val="24"/>
        </w:rPr>
        <w:t xml:space="preserve"> Vi afferiscono la Democrazia Cristiana e la sua articolazione correntizia, il Partito Comunista Italiano e la formula della solidarietà nazionale, il Partito Socialista Italiano e la sua linea autonoma sulla trattativa, il Governo in carica e il Ministero dell’interno. La risorsa propria è il potere legislativo e amministrativo; la posta in gioco specifica, nei cinquantacinque giorni, fu la scelta fra la linea della fermezza e quella della trattativa, che divise il sistema politico lungo linee non coincidenti con quelle di maggioranza e opposizione.</w:t>
      </w:r>
    </w:p>
    <w:p>
      <w:pPr>
        <w:spacing w:after="0" w:line="276" w:lineRule="auto"/>
        <w:ind w:firstLine="425"/>
        <w:jc w:val="both"/>
      </w:pPr>
      <w:r>
        <w:rPr>
          <w:rFonts w:ascii="Times New Roman" w:hAnsi="Times New Roman" w:cs="Times New Roman" w:eastAsia="Times New Roman"/>
          <w:rFonts w:ascii="Times New Roman" w:hAnsi="Times New Roman"/>
          <w:b/>
          <w:sz w:val="24"/>
        </w:rPr>
        <w:t>Dominio terzo, intelligence e servizi.</w:t>
      </w:r>
      <w:r>
        <w:rPr>
          <w:rFonts w:ascii="Times New Roman" w:hAnsi="Times New Roman" w:cs="Times New Roman" w:eastAsia="Times New Roman"/>
          <w:rFonts w:ascii="Times New Roman" w:hAnsi="Times New Roman"/>
          <w:b w:val="0"/>
          <w:sz w:val="24"/>
        </w:rPr>
        <w:t xml:space="preserve"> Vi afferiscono i servizi italiani nella configurazione allora vigente e nella riforma appena entrata in funzione, l’Ufficio affari riservati, il comitato di crisi costituito presso il Ministero dell’interno e i comitati tecnico-operativi, nonché i servizi alleati e avversari nella misura in cui il corpus li documenta. La risorsa propria è il monopolio dell’informazione segreta. Il Dominio è, per questo Registro, quello a più alta densità di asserzioni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e insieme quello dove la distinzione fra accoppiamento strutturale e concerto è più difficile e più necessaria.</w:t>
      </w:r>
    </w:p>
    <w:p>
      <w:pPr>
        <w:spacing w:after="0" w:line="276" w:lineRule="auto"/>
        <w:ind w:firstLine="425"/>
        <w:jc w:val="both"/>
      </w:pPr>
      <w:r>
        <w:rPr>
          <w:rFonts w:ascii="Times New Roman" w:hAnsi="Times New Roman" w:cs="Times New Roman" w:eastAsia="Times New Roman"/>
          <w:rFonts w:ascii="Times New Roman" w:hAnsi="Times New Roman"/>
          <w:b/>
          <w:sz w:val="24"/>
        </w:rPr>
        <w:t>Dominio quarto, massoneria e società segrete.</w:t>
      </w:r>
      <w:r>
        <w:rPr>
          <w:rFonts w:ascii="Times New Roman" w:hAnsi="Times New Roman" w:cs="Times New Roman" w:eastAsia="Times New Roman"/>
          <w:rFonts w:ascii="Times New Roman" w:hAnsi="Times New Roman"/>
          <w:b w:val="0"/>
          <w:sz w:val="24"/>
        </w:rPr>
        <w:t xml:space="preserve"> Vi afferisce la loggia oggetto della relazione parlamentare, la cui sezione dedicata all’affare Moro è documento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alle acquisizioni che riferisce. La risorsa propria è la rete relazionale riservata, che opera per accesso e non per comando.</w:t>
      </w:r>
    </w:p>
    <w:p>
      <w:pPr>
        <w:spacing w:after="0" w:line="276" w:lineRule="auto"/>
        <w:ind w:firstLine="425"/>
        <w:jc w:val="both"/>
      </w:pPr>
      <w:r>
        <w:rPr>
          <w:rFonts w:ascii="Times New Roman" w:hAnsi="Times New Roman" w:cs="Times New Roman" w:eastAsia="Times New Roman"/>
          <w:rFonts w:ascii="Times New Roman" w:hAnsi="Times New Roman"/>
          <w:b/>
          <w:sz w:val="24"/>
        </w:rPr>
        <w:t>Dominio quinto, istituzioni religiose.</w:t>
      </w:r>
      <w:r>
        <w:rPr>
          <w:rFonts w:ascii="Times New Roman" w:hAnsi="Times New Roman" w:cs="Times New Roman" w:eastAsia="Times New Roman"/>
          <w:rFonts w:ascii="Times New Roman" w:hAnsi="Times New Roman"/>
          <w:b w:val="0"/>
          <w:sz w:val="24"/>
        </w:rPr>
        <w:t xml:space="preserve"> Vi afferiscono la Santa Sede e l’iniziativa personale del Pontefice, i canali di mediazione ecclesiastica e le figure sacerdotali indicate nel corpus come tramiti. La risorsa propria è la legittimità morale e la capacità di comunicare fuori dai canali istituzionali senza impegnare formalmente alcuno Stato.</w:t>
      </w:r>
    </w:p>
    <w:p>
      <w:pPr>
        <w:spacing w:after="0" w:line="276" w:lineRule="auto"/>
        <w:ind w:firstLine="425"/>
        <w:jc w:val="both"/>
      </w:pPr>
      <w:r>
        <w:rPr>
          <w:rFonts w:ascii="Times New Roman" w:hAnsi="Times New Roman" w:cs="Times New Roman" w:eastAsia="Times New Roman"/>
          <w:rFonts w:ascii="Times New Roman" w:hAnsi="Times New Roman"/>
          <w:b/>
          <w:sz w:val="24"/>
        </w:rPr>
        <w:t>Dominio sesto, economia e finanza.</w:t>
      </w:r>
      <w:r>
        <w:rPr>
          <w:rFonts w:ascii="Times New Roman" w:hAnsi="Times New Roman" w:cs="Times New Roman" w:eastAsia="Times New Roman"/>
          <w:rFonts w:ascii="Times New Roman" w:hAnsi="Times New Roman"/>
          <w:b w:val="0"/>
          <w:sz w:val="24"/>
        </w:rPr>
        <w:t xml:space="preserve"> Vi afferisce, per questo Registro, un ruolo indiretto e circoscritto: la disponibilità di risorse per un’eventuale trattativa e la gestione dei circuiti di pagamento occulti. È il Dominio meno documentato del sottocorpus e per esso il Registro non formula asserzioni di livello superiore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0" w:line="276" w:lineRule="auto"/>
        <w:ind w:firstLine="425"/>
        <w:jc w:val="both"/>
      </w:pPr>
      <w:r>
        <w:rPr>
          <w:rFonts w:ascii="Times New Roman" w:hAnsi="Times New Roman" w:cs="Times New Roman" w:eastAsia="Times New Roman"/>
          <w:rFonts w:ascii="Times New Roman" w:hAnsi="Times New Roman"/>
          <w:b/>
          <w:sz w:val="24"/>
        </w:rPr>
        <w:t>Dominio settimo, terrorismo e violenza politica.</w:t>
      </w:r>
      <w:r>
        <w:rPr>
          <w:rFonts w:ascii="Times New Roman" w:hAnsi="Times New Roman" w:cs="Times New Roman" w:eastAsia="Times New Roman"/>
          <w:rFonts w:ascii="Times New Roman" w:hAnsi="Times New Roman"/>
          <w:b w:val="0"/>
          <w:sz w:val="24"/>
        </w:rPr>
        <w:t xml:space="preserve"> È il Dominio centrale del Registro. Vi afferiscono le Brigate Rosse nella loro articolazione di direzione strategica, comitato esecutivo e colonna romana; le formazioni contigue dell’area dell’autonomia; le strutture estere di riferimento indicate nel corpus. La risorsa propria è la capacità di destabilizzazione mediante violenza mirata.</w:t>
      </w:r>
    </w:p>
    <w:p>
      <w:pPr>
        <w:spacing w:after="0" w:line="276" w:lineRule="auto"/>
        <w:ind w:firstLine="425"/>
        <w:jc w:val="both"/>
      </w:pPr>
      <w:r>
        <w:rPr>
          <w:rFonts w:ascii="Times New Roman" w:hAnsi="Times New Roman" w:cs="Times New Roman" w:eastAsia="Times New Roman"/>
          <w:rFonts w:ascii="Times New Roman" w:hAnsi="Times New Roman"/>
          <w:b/>
          <w:sz w:val="24"/>
        </w:rPr>
        <w:t>Dominio ottavo, media e controllo dell’informazione.</w:t>
      </w:r>
      <w:r>
        <w:rPr>
          <w:rFonts w:ascii="Times New Roman" w:hAnsi="Times New Roman" w:cs="Times New Roman" w:eastAsia="Times New Roman"/>
          <w:rFonts w:ascii="Times New Roman" w:hAnsi="Times New Roman"/>
          <w:b w:val="0"/>
          <w:sz w:val="24"/>
        </w:rPr>
        <w:t xml:space="preserve"> Vi afferiscono il sistema dell’informazione quotidiana, l’agenzia di stampa nazionale, la pubblicistica di settore e in particolare la testata diretta dal giornalista poi ucciso, che nel corpus compare quale nodo di intersezione fra informazione riservata e potere politico. La risorsa propria è il controllo del flusso informativo pubblico, che nei cinquantacinque giorni fu esso stesso terreno di operazioni.</w:t>
      </w:r>
    </w:p>
    <w:p>
      <w:pPr>
        <w:spacing w:after="0" w:line="276" w:lineRule="auto"/>
        <w:ind w:firstLine="425"/>
        <w:jc w:val="both"/>
      </w:pPr>
      <w:r>
        <w:rPr>
          <w:rFonts w:ascii="Times New Roman" w:hAnsi="Times New Roman" w:cs="Times New Roman" w:eastAsia="Times New Roman"/>
          <w:rFonts w:ascii="Times New Roman" w:hAnsi="Times New Roman"/>
          <w:b/>
          <w:sz w:val="24"/>
        </w:rPr>
        <w:t>Dominio nono, forze armate e apparato militare.</w:t>
      </w:r>
      <w:r>
        <w:rPr>
          <w:rFonts w:ascii="Times New Roman" w:hAnsi="Times New Roman" w:cs="Times New Roman" w:eastAsia="Times New Roman"/>
          <w:rFonts w:ascii="Times New Roman" w:hAnsi="Times New Roman"/>
          <w:b w:val="0"/>
          <w:sz w:val="24"/>
        </w:rPr>
        <w:t xml:space="preserve"> Vi afferiscono l’Arma dei carabinieri e il suo nucleo antiterrorismo, la pubblica sicurezza, i vertici militari e la struttura atlantica per la parte che il corpus documenta. La risorsa propria è il monopolio della forza legale organizzata.</w:t>
      </w:r>
    </w:p>
    <w:p>
      <w:pPr>
        <w:spacing w:after="0" w:line="276" w:lineRule="auto"/>
        <w:ind w:firstLine="425"/>
        <w:jc w:val="both"/>
      </w:pPr>
      <w:r>
        <w:rPr>
          <w:rFonts w:ascii="Times New Roman" w:hAnsi="Times New Roman" w:cs="Times New Roman" w:eastAsia="Times New Roman"/>
          <w:rFonts w:ascii="Times New Roman" w:hAnsi="Times New Roman"/>
          <w:b/>
          <w:sz w:val="24"/>
        </w:rPr>
        <w:t>Dominio decimo, magistratura e sistema giudiziario.</w:t>
      </w:r>
      <w:r>
        <w:rPr>
          <w:rFonts w:ascii="Times New Roman" w:hAnsi="Times New Roman" w:cs="Times New Roman" w:eastAsia="Times New Roman"/>
          <w:rFonts w:ascii="Times New Roman" w:hAnsi="Times New Roman"/>
          <w:b w:val="0"/>
          <w:sz w:val="24"/>
        </w:rPr>
        <w:t xml:space="preserve"> Vi afferiscono le procure competenti, i cinque processi celebrati, le Commissioni parlamentari d’inchiesta e i collaboratori di giustizia quali fonti dotate di statuto proprio e di limiti propri. La risorsa specifica è il monopolio dell’azione penale e, per il Registro, la produzione di accertamenti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QUARTA — LA TIPOLOGIA DEGLI ARCHI E LE COPPIE INTER-DOMINIO</w:t>
      </w:r>
    </w:p>
    <w:p>
      <w:pPr>
        <w:spacing w:after="0" w:line="276" w:lineRule="auto"/>
        <w:ind w:firstLine="425"/>
        <w:jc w:val="both"/>
      </w:pPr>
      <w:r>
        <w:rPr>
          <w:rFonts w:ascii="Times New Roman" w:hAnsi="Times New Roman" w:cs="Times New Roman" w:eastAsia="Times New Roman"/>
          <w:rFonts w:ascii="Times New Roman" w:hAnsi="Times New Roman"/>
          <w:b w:val="0"/>
          <w:sz w:val="24"/>
        </w:rPr>
        <w:t>Gli archi che collegano nodi di Domini diversi si classificano secondo sei tipi. L’</w:t>
      </w:r>
      <w:r>
        <w:rPr>
          <w:rFonts w:ascii="Times New Roman" w:hAnsi="Times New Roman" w:cs="Times New Roman" w:eastAsia="Times New Roman"/>
          <w:rFonts w:ascii="Times New Roman" w:hAnsi="Times New Roman"/>
          <w:b/>
          <w:sz w:val="24"/>
        </w:rPr>
        <w:t>arco di collusione</w:t>
      </w:r>
      <w:r>
        <w:rPr>
          <w:rFonts w:ascii="Times New Roman" w:hAnsi="Times New Roman" w:cs="Times New Roman" w:eastAsia="Times New Roman"/>
          <w:rFonts w:ascii="Times New Roman" w:hAnsi="Times New Roman"/>
          <w:b w:val="0"/>
          <w:sz w:val="24"/>
        </w:rPr>
        <w:t xml:space="preserve"> lega due attori in relazione stabile e reciprocamente vantaggiosa, in violazione delle regole di entrambi i Domini. L’</w:t>
      </w:r>
      <w:r>
        <w:rPr>
          <w:rFonts w:ascii="Times New Roman" w:hAnsi="Times New Roman" w:cs="Times New Roman" w:eastAsia="Times New Roman"/>
          <w:rFonts w:ascii="Times New Roman" w:hAnsi="Times New Roman"/>
          <w:b/>
          <w:sz w:val="24"/>
        </w:rPr>
        <w:t>arco di strumentalizzazione</w:t>
      </w:r>
      <w:r>
        <w:rPr>
          <w:rFonts w:ascii="Times New Roman" w:hAnsi="Times New Roman" w:cs="Times New Roman" w:eastAsia="Times New Roman"/>
          <w:rFonts w:ascii="Times New Roman" w:hAnsi="Times New Roman"/>
          <w:b w:val="0"/>
          <w:sz w:val="24"/>
        </w:rPr>
        <w:t xml:space="preserve"> vede un attore usare l’altro come mezzo, senza che questi ne sia necessariamente consapevole. L’</w:t>
      </w:r>
      <w:r>
        <w:rPr>
          <w:rFonts w:ascii="Times New Roman" w:hAnsi="Times New Roman" w:cs="Times New Roman" w:eastAsia="Times New Roman"/>
          <w:rFonts w:ascii="Times New Roman" w:hAnsi="Times New Roman"/>
          <w:b/>
          <w:sz w:val="24"/>
        </w:rPr>
        <w:t>arco di infiltrazione</w:t>
      </w:r>
      <w:r>
        <w:rPr>
          <w:rFonts w:ascii="Times New Roman" w:hAnsi="Times New Roman" w:cs="Times New Roman" w:eastAsia="Times New Roman"/>
          <w:rFonts w:ascii="Times New Roman" w:hAnsi="Times New Roman"/>
          <w:b w:val="0"/>
          <w:sz w:val="24"/>
        </w:rPr>
        <w:t xml:space="preserve"> vede un attore penetrare formalmente nell’altro Dominio mantenendo la lealtà originaria, e rende ambigua l’appartenenza del nodo. L’</w:t>
      </w:r>
      <w:r>
        <w:rPr>
          <w:rFonts w:ascii="Times New Roman" w:hAnsi="Times New Roman" w:cs="Times New Roman" w:eastAsia="Times New Roman"/>
          <w:rFonts w:ascii="Times New Roman" w:hAnsi="Times New Roman"/>
          <w:b/>
          <w:sz w:val="24"/>
        </w:rPr>
        <w:t>arco di convergenza</w:t>
      </w:r>
      <w:r>
        <w:rPr>
          <w:rFonts w:ascii="Times New Roman" w:hAnsi="Times New Roman" w:cs="Times New Roman" w:eastAsia="Times New Roman"/>
          <w:rFonts w:ascii="Times New Roman" w:hAnsi="Times New Roman"/>
          <w:b w:val="0"/>
          <w:sz w:val="24"/>
        </w:rPr>
        <w:t xml:space="preserve"> collega attori privi di relazione diretta le cui azioni producono effetti convergenti su un terzo Dominio: è il tipo più difficile da accertare, perché non presuppone contatto e la convergenza può essere tanto intenzionale quanto emergente. L’</w:t>
      </w:r>
      <w:r>
        <w:rPr>
          <w:rFonts w:ascii="Times New Roman" w:hAnsi="Times New Roman" w:cs="Times New Roman" w:eastAsia="Times New Roman"/>
          <w:rFonts w:ascii="Times New Roman" w:hAnsi="Times New Roman"/>
          <w:b/>
          <w:sz w:val="24"/>
        </w:rPr>
        <w:t>arco di transito</w:t>
      </w:r>
      <w:r>
        <w:rPr>
          <w:rFonts w:ascii="Times New Roman" w:hAnsi="Times New Roman" w:cs="Times New Roman" w:eastAsia="Times New Roman"/>
          <w:rFonts w:ascii="Times New Roman" w:hAnsi="Times New Roman"/>
          <w:b w:val="0"/>
          <w:sz w:val="24"/>
        </w:rPr>
        <w:t xml:space="preserve"> descrive un flusso — denaro, armi, informazioni, protezione — che attraversa la rete per una sequenza di intermediari. L’</w:t>
      </w:r>
      <w:r>
        <w:rPr>
          <w:rFonts w:ascii="Times New Roman" w:hAnsi="Times New Roman" w:cs="Times New Roman" w:eastAsia="Times New Roman"/>
          <w:rFonts w:ascii="Times New Roman" w:hAnsi="Times New Roman"/>
          <w:b/>
          <w:sz w:val="24"/>
        </w:rPr>
        <w:t>arco di ospitalità o santuario</w:t>
      </w:r>
      <w:r>
        <w:rPr>
          <w:rFonts w:ascii="Times New Roman" w:hAnsi="Times New Roman" w:cs="Times New Roman" w:eastAsia="Times New Roman"/>
          <w:rFonts w:ascii="Times New Roman" w:hAnsi="Times New Roman"/>
          <w:b w:val="0"/>
          <w:sz w:val="24"/>
        </w:rPr>
        <w:t xml:space="preserve"> descrive la messa a disposizione di uno spazio, materiale o istituzionale, che consente all’altro di operare senza che vi sia necessariamente condivisione di fini.</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calcolo condotto sul sottocorpus identifica come empiricamente più dense, per il caso Moro, le coppie fra il settimo e il terzo Dominio, fra il settimo e il secondo, fra il terzo e il nono, fra il secondo e il quinto, fra il primo e il settimo, fra l’ottavo e il secondo, fra il decimo e il settimo. Risultano rade, e per ciò stesso potenzialmente più rivelatrici ove documentate, le coppie fra il quinto e il settimo Dominio e fra il sesto e il settimo. La densità di una coppia misura la frequenza della sua tematizzazione nelle fonti e non la sua verità: una coppia densa può essere densa perché molto discussa, non perché molto accertata, e questa distinzione è mantenuta per tutto il Registro.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QUINTA — REGISTRO DEI NODI</w:t>
      </w:r>
    </w:p>
    <w:p>
      <w:pPr>
        <w:spacing w:after="120" w:line="276" w:lineRule="auto" w:before="320"/>
        <w:jc w:val="left"/>
      </w:pPr>
      <w:r>
        <w:rPr>
          <w:rFonts w:ascii="Times New Roman" w:hAnsi="Times New Roman" w:cs="Times New Roman" w:eastAsia="Times New Roman"/>
          <w:rFonts w:ascii="Times New Roman" w:hAnsi="Times New Roman"/>
          <w:b/>
          <w:sz w:val="24"/>
        </w:rPr>
        <w:t>Nodo centrale</w:t>
      </w:r>
    </w:p>
    <w:p>
      <w:pPr>
        <w:spacing w:after="0" w:line="276" w:lineRule="auto"/>
        <w:ind w:firstLine="425"/>
        <w:jc w:val="both"/>
      </w:pPr>
      <w:r>
        <w:rPr>
          <w:rFonts w:ascii="Times New Roman" w:hAnsi="Times New Roman" w:cs="Times New Roman" w:eastAsia="Times New Roman"/>
          <w:rFonts w:ascii="Times New Roman" w:hAnsi="Times New Roman"/>
          <w:b/>
          <w:sz w:val="24"/>
        </w:rPr>
        <w:t>Aldo Moro.</w:t>
      </w:r>
      <w:r>
        <w:rPr>
          <w:rFonts w:ascii="Times New Roman" w:hAnsi="Times New Roman" w:cs="Times New Roman" w:eastAsia="Times New Roman"/>
          <w:rFonts w:ascii="Times New Roman" w:hAnsi="Times New Roman"/>
          <w:b w:val="0"/>
          <w:sz w:val="24"/>
        </w:rPr>
        <w:t xml:space="preserve"> Presidente della Democrazia Cristiana, più volte Presidente del Consiglio e Ministro degli esteri, artefice della formula politica che nella primavera del millenovecentosettantotto stava per condurre il Partito Comunista Italiano alla maggioranza di governo. Il corpus degli scritti e degli interventi dal millenovecentotrentadue al millenovecentosettantotto, presente nel sottocorpus, consente di trattarlo non solo come vittima ma come autore, e questa è la scelta del Registro: la sua produzione intellettuale e politica è essa stessa fonte, e la comparazione fra gli autografi della prigionia e la scrittura anteriore costituisce terreno filologico autonomo. Il nodo possiede la più alta centralità di grado dell’intera rete e, quel che più conta, altissima centralità di intermediazione: era il punto di passaggio obbligato fra aree politiche altrimenti disconnesse, e questa proprietà strutturale — non la sola carica — spiega la sua selezione come bersaglio.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w:t>
      </w:r>
    </w:p>
    <w:p>
      <w:pPr>
        <w:spacing w:after="120" w:line="276" w:lineRule="auto" w:before="320"/>
        <w:jc w:val="left"/>
      </w:pPr>
      <w:r>
        <w:rPr>
          <w:rFonts w:ascii="Times New Roman" w:hAnsi="Times New Roman" w:cs="Times New Roman" w:eastAsia="Times New Roman"/>
          <w:rFonts w:ascii="Times New Roman" w:hAnsi="Times New Roman"/>
          <w:b/>
          <w:sz w:val="24"/>
        </w:rPr>
        <w:t>Dominio settimo — l’organizzazione armata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sequestro di via Fani del sedici marzo millenovecentosettantotto, l’uccisione dei cinque uomini della scorta — il maresciallo Oreste Leonardi, l’appuntato Domenico Ricci, gli agenti Raffaele Iozzino e Giulio Rivera, il vicebrigadiere Francesco Zizzi — la detenzione e l’omicidio del nove maggio sono opera delle Brigate Rosse: questo è accertamento giudiziario definitivo,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ed è il nucleo duro attorno al quale ogni ipotesi ulteriore deve costruirsi senza contraddirlo. </w:t>
      </w:r>
      <w:r>
        <w:rPr>
          <w:rFonts w:ascii="Times New Roman" w:hAnsi="Times New Roman" w:cs="Times New Roman" w:eastAsia="Times New Roman"/>
          <w:rFonts w:ascii="Times New Roman" w:hAnsi="Times New Roman"/>
          <w:b/>
          <w:sz w:val="24"/>
        </w:rPr>
        <w:t>Mario Moretti</w:t>
      </w:r>
      <w:r>
        <w:rPr>
          <w:rFonts w:ascii="Times New Roman" w:hAnsi="Times New Roman" w:cs="Times New Roman" w:eastAsia="Times New Roman"/>
          <w:rFonts w:ascii="Times New Roman" w:hAnsi="Times New Roman"/>
          <w:b w:val="0"/>
          <w:sz w:val="24"/>
        </w:rPr>
        <w:t xml:space="preserve">, capo della colonna romana e membro del comitato esecutivo, ha ammesso di essere l’esecutore materiale dell’omicidio: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w:t>
      </w:r>
      <w:r>
        <w:rPr>
          <w:rFonts w:ascii="Times New Roman" w:hAnsi="Times New Roman" w:cs="Times New Roman" w:eastAsia="Times New Roman"/>
          <w:rFonts w:ascii="Times New Roman" w:hAnsi="Times New Roman"/>
          <w:b/>
          <w:sz w:val="24"/>
        </w:rPr>
        <w:t>Valerio Morucci</w:t>
      </w:r>
      <w:r>
        <w:rPr>
          <w:rFonts w:ascii="Times New Roman" w:hAnsi="Times New Roman" w:cs="Times New Roman" w:eastAsia="Times New Roman"/>
          <w:rFonts w:ascii="Times New Roman" w:hAnsi="Times New Roman"/>
          <w:b w:val="0"/>
          <w:sz w:val="24"/>
        </w:rPr>
        <w:t xml:space="preserve"> e </w:t>
      </w:r>
      <w:r>
        <w:rPr>
          <w:rFonts w:ascii="Times New Roman" w:hAnsi="Times New Roman" w:cs="Times New Roman" w:eastAsia="Times New Roman"/>
          <w:rFonts w:ascii="Times New Roman" w:hAnsi="Times New Roman"/>
          <w:b/>
          <w:sz w:val="24"/>
        </w:rPr>
        <w:t>Adriana Faranda</w:t>
      </w:r>
      <w:r>
        <w:rPr>
          <w:rFonts w:ascii="Times New Roman" w:hAnsi="Times New Roman" w:cs="Times New Roman" w:eastAsia="Times New Roman"/>
          <w:rFonts w:ascii="Times New Roman" w:hAnsi="Times New Roman"/>
          <w:b w:val="0"/>
          <w:sz w:val="24"/>
        </w:rPr>
        <w:t xml:space="preserve">, appartenenti alla colonna romana, sono autori del memoriale che per decenni ha costituito la ricostruzione di riferimento del sequestro: la loro partecipazione è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mentre la completezza e la veridicità integrale della loro ricostruzione è oggetto di contestazione esplicita negli atti della seconda Commissione, che la dichiara infondata quanto al teorema che ne è stato tratto — asserzione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in quanto proveniente da relazione parlamentare circostanziata.</w:t>
      </w:r>
    </w:p>
    <w:p>
      <w:pPr>
        <w:spacing w:after="0" w:line="276" w:lineRule="auto"/>
        <w:ind w:firstLine="425"/>
        <w:jc w:val="both"/>
      </w:pPr>
      <w:r>
        <w:rPr>
          <w:rFonts w:ascii="Times New Roman" w:hAnsi="Times New Roman" w:cs="Times New Roman" w:eastAsia="Times New Roman"/>
          <w:rFonts w:ascii="Times New Roman" w:hAnsi="Times New Roman"/>
          <w:b/>
          <w:sz w:val="24"/>
        </w:rPr>
        <w:t>Prospero Gallinari</w:t>
      </w:r>
      <w:r>
        <w:rPr>
          <w:rFonts w:ascii="Times New Roman" w:hAnsi="Times New Roman" w:cs="Times New Roman" w:eastAsia="Times New Roman"/>
          <w:rFonts w:ascii="Times New Roman" w:hAnsi="Times New Roman"/>
          <w:b w:val="0"/>
          <w:sz w:val="24"/>
        </w:rPr>
        <w:t xml:space="preserve">, ferito e arrestato nel settembre millenovecentosettantanove, e </w:t>
      </w:r>
      <w:r>
        <w:rPr>
          <w:rFonts w:ascii="Times New Roman" w:hAnsi="Times New Roman" w:cs="Times New Roman" w:eastAsia="Times New Roman"/>
          <w:rFonts w:ascii="Times New Roman" w:hAnsi="Times New Roman"/>
          <w:b/>
          <w:sz w:val="24"/>
        </w:rPr>
        <w:t>Anna Laura Braghetti</w:t>
      </w:r>
      <w:r>
        <w:rPr>
          <w:rFonts w:ascii="Times New Roman" w:hAnsi="Times New Roman" w:cs="Times New Roman" w:eastAsia="Times New Roman"/>
          <w:rFonts w:ascii="Times New Roman" w:hAnsi="Times New Roman"/>
          <w:b w:val="0"/>
          <w:sz w:val="24"/>
        </w:rPr>
        <w:t xml:space="preserve">, arrestata nel maggio millenovecentottanta, sono nodi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alla seconda era intestato l’appartamento di via Camillo Montalcini, sede della prigione. </w:t>
      </w:r>
      <w:r>
        <w:rPr>
          <w:rFonts w:ascii="Times New Roman" w:hAnsi="Times New Roman" w:cs="Times New Roman" w:eastAsia="Times New Roman"/>
          <w:rFonts w:ascii="Times New Roman" w:hAnsi="Times New Roman"/>
          <w:b/>
          <w:sz w:val="24"/>
        </w:rPr>
        <w:t>Barbara Balzerani</w:t>
      </w:r>
      <w:r>
        <w:rPr>
          <w:rFonts w:ascii="Times New Roman" w:hAnsi="Times New Roman" w:cs="Times New Roman" w:eastAsia="Times New Roman"/>
          <w:rFonts w:ascii="Times New Roman" w:hAnsi="Times New Roman"/>
          <w:b w:val="0"/>
          <w:sz w:val="24"/>
        </w:rPr>
        <w:t xml:space="preserve">, </w:t>
      </w:r>
      <w:r>
        <w:rPr>
          <w:rFonts w:ascii="Times New Roman" w:hAnsi="Times New Roman" w:cs="Times New Roman" w:eastAsia="Times New Roman"/>
          <w:rFonts w:ascii="Times New Roman" w:hAnsi="Times New Roman"/>
          <w:b/>
          <w:sz w:val="24"/>
        </w:rPr>
        <w:t>Corrado Alunni</w:t>
      </w:r>
      <w:r>
        <w:rPr>
          <w:rFonts w:ascii="Times New Roman" w:hAnsi="Times New Roman" w:cs="Times New Roman" w:eastAsia="Times New Roman"/>
          <w:rFonts w:ascii="Times New Roman" w:hAnsi="Times New Roman"/>
          <w:b w:val="0"/>
          <w:sz w:val="24"/>
        </w:rPr>
        <w:t xml:space="preserve">, </w:t>
      </w:r>
      <w:r>
        <w:rPr>
          <w:rFonts w:ascii="Times New Roman" w:hAnsi="Times New Roman" w:cs="Times New Roman" w:eastAsia="Times New Roman"/>
          <w:rFonts w:ascii="Times New Roman" w:hAnsi="Times New Roman"/>
          <w:b/>
          <w:sz w:val="24"/>
        </w:rPr>
        <w:t>Renato Curcio</w:t>
      </w:r>
      <w:r>
        <w:rPr>
          <w:rFonts w:ascii="Times New Roman" w:hAnsi="Times New Roman" w:cs="Times New Roman" w:eastAsia="Times New Roman"/>
          <w:rFonts w:ascii="Times New Roman" w:hAnsi="Times New Roman"/>
          <w:b w:val="0"/>
          <w:sz w:val="24"/>
        </w:rPr>
        <w:t xml:space="preserve"> e </w:t>
      </w:r>
      <w:r>
        <w:rPr>
          <w:rFonts w:ascii="Times New Roman" w:hAnsi="Times New Roman" w:cs="Times New Roman" w:eastAsia="Times New Roman"/>
          <w:rFonts w:ascii="Times New Roman" w:hAnsi="Times New Roman"/>
          <w:b/>
          <w:sz w:val="24"/>
        </w:rPr>
        <w:t>Alberto Franceschini</w:t>
      </w:r>
      <w:r>
        <w:rPr>
          <w:rFonts w:ascii="Times New Roman" w:hAnsi="Times New Roman" w:cs="Times New Roman" w:eastAsia="Times New Roman"/>
          <w:rFonts w:ascii="Times New Roman" w:hAnsi="Times New Roman"/>
          <w:b w:val="0"/>
          <w:sz w:val="24"/>
        </w:rPr>
        <w:t xml:space="preserve"> compaiono nel corpus con posizioni e livelli differenziati, i primi due quali militanti operativi nel periodo, gli ultimi due quali fondatori già detenuti al momento dei fatti e successivamente fonti dichiarative il cui statuto va valutato caso per caso — il corpus registra esplicitamente la circostanza che uno di essi abbia fatto della dissociazione e dell’insinuazione contro l’organizzazione una linea costante, avvertenza che il Registro recepisce come cautela sulla fonte e non come giudizio sulla persona.</w:t>
      </w:r>
    </w:p>
    <w:p>
      <w:pPr>
        <w:spacing w:after="120" w:line="276" w:lineRule="auto" w:before="320"/>
        <w:jc w:val="left"/>
      </w:pPr>
      <w:r>
        <w:rPr>
          <w:rFonts w:ascii="Times New Roman" w:hAnsi="Times New Roman" w:cs="Times New Roman" w:eastAsia="Times New Roman"/>
          <w:rFonts w:ascii="Times New Roman" w:hAnsi="Times New Roman"/>
          <w:b/>
          <w:sz w:val="24"/>
        </w:rPr>
        <w:t>Dominio terzo — apparati informativi e comitati</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w:t>
      </w:r>
      <w:r>
        <w:rPr>
          <w:rFonts w:ascii="Times New Roman" w:hAnsi="Times New Roman" w:cs="Times New Roman" w:eastAsia="Times New Roman"/>
          <w:rFonts w:ascii="Times New Roman" w:hAnsi="Times New Roman"/>
          <w:b/>
          <w:sz w:val="24"/>
        </w:rPr>
        <w:t>comitato di crisi</w:t>
      </w:r>
      <w:r>
        <w:rPr>
          <w:rFonts w:ascii="Times New Roman" w:hAnsi="Times New Roman" w:cs="Times New Roman" w:eastAsia="Times New Roman"/>
          <w:rFonts w:ascii="Times New Roman" w:hAnsi="Times New Roman"/>
          <w:b w:val="0"/>
          <w:sz w:val="24"/>
        </w:rPr>
        <w:t xml:space="preserve"> costituito presso il Ministero dell’interno è nodo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alla sua esistenza, composizione e funzionamento. </w:t>
      </w:r>
      <w:r>
        <w:rPr>
          <w:rFonts w:ascii="Times New Roman" w:hAnsi="Times New Roman" w:cs="Times New Roman" w:eastAsia="Times New Roman"/>
          <w:rFonts w:ascii="Times New Roman" w:hAnsi="Times New Roman"/>
          <w:b/>
          <w:sz w:val="24"/>
        </w:rPr>
        <w:t>Steve Pieczenik</w:t>
      </w:r>
      <w:r>
        <w:rPr>
          <w:rFonts w:ascii="Times New Roman" w:hAnsi="Times New Roman" w:cs="Times New Roman" w:eastAsia="Times New Roman"/>
          <w:rFonts w:ascii="Times New Roman" w:hAnsi="Times New Roman"/>
          <w:b w:val="0"/>
          <w:sz w:val="24"/>
        </w:rPr>
        <w:t xml:space="preserve">, consulente statunitense presente a Roma in quei giorni con funzioni di consulenza sulla gestione della crisi, è nodo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alla sua presenza e al suo ruolo consultivo, documentati; le sue dichiarazioni successive, nelle quali afferma di avere messo in moto una manipolazione strategica che condusse alla morte di Moro al fine di stabilizzare la situazione italiana, sono </w:t>
      </w:r>
      <w:r>
        <w:rPr>
          <w:rFonts w:ascii="Times New Roman" w:hAnsi="Times New Roman" w:cs="Times New Roman" w:eastAsia="Times New Roman"/>
          <w:rFonts w:ascii="Times New Roman" w:hAnsi="Times New Roman"/>
          <w:b/>
          <w:sz w:val="24"/>
        </w:rPr>
        <w:t>autodichiarazioni rese a distanza di decenni</w:t>
      </w:r>
      <w:r>
        <w:rPr>
          <w:rFonts w:ascii="Times New Roman" w:hAnsi="Times New Roman" w:cs="Times New Roman" w:eastAsia="Times New Roman"/>
          <w:rFonts w:ascii="Times New Roman" w:hAnsi="Times New Roman"/>
          <w:b w:val="0"/>
          <w:sz w:val="24"/>
        </w:rPr>
        <w:t xml:space="preserve"> e restano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esse costituiscono segnalazione investigativa di primo rilievo e non accertamento, poiché una dichiarazione autoaccusatoria non riscontrata non è più affidabile di una dichiarazione eteroaccusatoria non riscontrata, e la sua spettacolarità ne accresce la diffusione senza accrescerne il valore probatorio. Che cosa la eleverebbe: un riscontro documentale coevo, negli archivi statunitensi o italiani, di direttive corrispondenti a quanto dichiarato.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circostanza che documenti di un servizio informativo straniero attestino, secondo quanto riferito da magistrati che ne ebbero visione all’estero, una conoscenza anticipata dell’intenzione di rapire Moro comunicata ai corrispondenti italiani, e che di tale documento non vi sia traccia negli archivi nazionali, è asserzione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allo stato del corpus: essa poggia sul racconto della visione e non sul documento. Che cosa la eleverebbe: l’acquisizione del documento o del riscontro archivistico della comunicazione. La sua rilevanza è tale da giustificare l’apertura di una specifica linea di ricerca, che il Registro dichiara aperta.</w:t>
      </w:r>
    </w:p>
    <w:p>
      <w:pPr>
        <w:spacing w:after="120" w:line="276" w:lineRule="auto" w:before="320"/>
        <w:jc w:val="left"/>
      </w:pPr>
      <w:r>
        <w:rPr>
          <w:rFonts w:ascii="Times New Roman" w:hAnsi="Times New Roman" w:cs="Times New Roman" w:eastAsia="Times New Roman"/>
          <w:rFonts w:ascii="Times New Roman" w:hAnsi="Times New Roman"/>
          <w:b/>
          <w:sz w:val="24"/>
        </w:rPr>
        <w:t>Dominio quinto — la mediazione religiosa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L’iniziativa personale del Pontefice in favore di una soluzione che salvasse la vita del prigioniero è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L’esistenza di un canale di ritorno ecclesiastico attraverso il quale corrispondenza o messaggi transitarono è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sostenuta da dichiarazioni convergenti di familiari e da acquisizioni della seconda Commissione; l’identificazione nominativa del sacerdote che lo avrebbe costituito è riferita nel corpus da dichiarazione di un congiunto della vittima e resta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all’indicazione,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quanto all’estensione e ai contenuti del canale. La presenza di un cappellano con funzioni di raccordo verso ambienti carcerari e la sua relazione con altri interlocutori sono nel corpus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120" w:line="276" w:lineRule="auto" w:before="320"/>
        <w:jc w:val="left"/>
      </w:pPr>
      <w:r>
        <w:rPr>
          <w:rFonts w:ascii="Times New Roman" w:hAnsi="Times New Roman" w:cs="Times New Roman" w:eastAsia="Times New Roman"/>
          <w:rFonts w:ascii="Times New Roman" w:hAnsi="Times New Roman"/>
          <w:b/>
          <w:sz w:val="24"/>
        </w:rPr>
        <w:t>Dominio primo — criminalità organizzata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w:t>
      </w:r>
      <w:r>
        <w:rPr>
          <w:rFonts w:ascii="Times New Roman" w:hAnsi="Times New Roman" w:cs="Times New Roman" w:eastAsia="Times New Roman"/>
          <w:rFonts w:ascii="Times New Roman" w:hAnsi="Times New Roman"/>
          <w:b/>
          <w:sz w:val="24"/>
        </w:rPr>
        <w:t>falso comunicato numero sette</w:t>
      </w:r>
      <w:r>
        <w:rPr>
          <w:rFonts w:ascii="Times New Roman" w:hAnsi="Times New Roman" w:cs="Times New Roman" w:eastAsia="Times New Roman"/>
          <w:rFonts w:ascii="Times New Roman" w:hAnsi="Times New Roman"/>
          <w:b w:val="0"/>
          <w:sz w:val="24"/>
        </w:rPr>
        <w:t xml:space="preserve"> del diciotto aprile millenovecentosettantotto, che annunciava l’uccisione del prigioniero e la sepoltura nel lago della Duchessa, è attribuito a un falsario contiguo alla banda della Magliana: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La circostanza che uomini della banda abbiano condotto ricerche sul luogo di detenzione su richiesta veicolata da ambienti della camorra, e che una fonte interna abbia indicato la zona e persino la via poi rivelatasi sede di un covo, è riferita da dichiarazioni di collaboratori e resta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essa è priva, allo stato del corpus, di riscontro documentale coevo, e la sua struttura narrativa — l’informazione giusta ignorata — è precisamente quella che il paradigma indiziario impone di trattare con la massima diffidenza, poiché è la forma che la memoria retrospettiva assume più spontaneamente. Che cosa la eleverebbe: un atto coevo che documenti la trasmissione dell’informazione.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L’accusa mossa da un collaboratore calabrese a un esponente di rilievo della criminalità organizzata calabrese di essere stato presente in via Fani è </w:t>
      </w:r>
      <w:r>
        <w:rPr>
          <w:rFonts w:ascii="Times New Roman" w:hAnsi="Times New Roman" w:cs="Times New Roman" w:eastAsia="Times New Roman"/>
          <w:rFonts w:ascii="Times New Roman" w:hAnsi="Times New Roman"/>
          <w:b/>
          <w:sz w:val="24"/>
        </w:rPr>
        <w:t>dichiarazione singola non riscontrata</w:t>
      </w:r>
      <w:r>
        <w:rPr>
          <w:rFonts w:ascii="Times New Roman" w:hAnsi="Times New Roman" w:cs="Times New Roman" w:eastAsia="Times New Roman"/>
          <w:rFonts w:ascii="Times New Roman" w:hAnsi="Times New Roman"/>
          <w:b w:val="0"/>
          <w:sz w:val="24"/>
        </w:rPr>
        <w:t xml:space="preserve"> e resta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Il Registro la registra perché registrata negli atti, e la mantiene al livello che le compete; osserva inoltre che l’asserzione più generale della presenza in via Fani di soggetti estranei all’organizzazione armata è affermazione ricorrente nel corpus, sostenuta in sede parlamentare e contestata in sede giudiziaria, e che il suo statuto è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quanto all’identificazione di chiunque,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alla sussistenza di elementi che hanno indotto una Commissione parlamentare a ritenerla non esclusa.</w:t>
      </w:r>
    </w:p>
    <w:p>
      <w:pPr>
        <w:spacing w:after="120" w:line="276" w:lineRule="auto" w:before="320"/>
        <w:jc w:val="left"/>
      </w:pPr>
      <w:r>
        <w:rPr>
          <w:rFonts w:ascii="Times New Roman" w:hAnsi="Times New Roman" w:cs="Times New Roman" w:eastAsia="Times New Roman"/>
          <w:rFonts w:ascii="Times New Roman" w:hAnsi="Times New Roman"/>
          <w:b/>
          <w:sz w:val="24"/>
        </w:rPr>
        <w:t>Dominio ottavo e Dominio quarto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giornalista direttore della testata di informazione riservata, ucciso nel marzo millenovecentosettantanove, è nodo di intersezione fra informazione, apparati e politica: la sua uccisione e i suoi rapporti sono oggetto dei due procedimenti presenti nel corpus, e il suo interesse per la vicenda Moro vi è documentato —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La relazione parlamentare sulla loggia dedica all’affare Moro una propria sezione: l’esistenza di attività informative sulla vicenda condotte nell’ambito documentato dalla relazione, e la trasmissione di valutazioni riferibili al capo della loggia a un appartenente al servizio, sono asserzioni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in quanto fondate su testimonianza resa a magistrato e riportata in relazione parlamentare.</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SESTA — I CINQUANTACINQUE GIORNI: CRONOLOGIA STRUTTURALE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cronologia che segue non è un racconto ma una griglia di ancoraggio: essa serve a fissare le date rispetto alle quali si misurano le coincidenze temporali del settimo Pattern, e riporta soltanto ciò che è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rinviando alle sezioni precedenti per le asserzioni di livello inferiore.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sedici marzo millenovecentosettantotto, in via Mario Fani a Roma, un commando delle Brigate Rosse rapisce Aldo Moro e uccide i cinque uomini della scorta. La data non è casuale rispetto al calendario politico: quel giorno la Camera è convocata per la fiducia al governo che per la prima volta nella storia repubblicana si regge sull’astensione concordata del Partito Comunista Italiano, esito del disegno politico del quale il sequestrato era l’artefice. La coincidenza è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 fatto e costituisce, per la sua precisione, un elemento diagnostico che qualunque ipotesi deve saper spiegare.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Nei giorni successivi si costituisce presso il Ministero dell’interno la struttura di gestione della crisi; il sistema politico si divide fra la linea della fermezza, che esclude ogni trattativa con l’organizzazione, e la linea che ammette forme di contatto. Il prigioniero scrive: le lettere indirizzate a esponenti politici, a familiari, alle autorità ecclesiastiche costituiscono corpus autografo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all’autenticità materiale, e sono oggetto di analisi filologica autonoma quanto all’interpretazione, poiché la questione se e in quale misura esse esprimano la volontà libera dello scrivente è stata posta fin dai giorni stessi ed è tuttora discussa.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diciotto aprile viene diffuso un comunicato apocrifo che annuncia la morte del prigioniero indicandone la sepoltura in un lago dell’Appennino; nello stesso giorno è scoperto in via Gradoli un appartamento utilizzato dall’organizzazione. La contiguità delle due circostanze nella medesima giornata è dato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ed è una delle anomalie temporali più forti dell’intera vicenda, nel senso preciso del paradigma indiziario: essa non prova nulla da sola e nessuna spiegazione può essere data per acquisita, ma è esattamente il tipo di dettaglio marginale che il metodo impone di non archiviare. Il Registro la iscrive fra le questioni aperte con la nota che la spiegazione della coincidenza è, allo stato, indeterminata fra almeno tre letture concorrenti — casualità, effetto di una medesima fonte informativa che agisce su due piani, operazione deliberata di depistaggio sincronizzata con un’azione di polizia — nessuna delle quali il corpus consente di privilegiare oltre il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nove maggio il corpo di Aldo Moro è rinvenuto in via Michelangelo Caetani, nel bagagliaio di un’autovettura, in posizione equidistante fra le sedi dei due maggiori partiti. La scelta del luogo è, in sé, atto comunicativo: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 fatto, oggetto di interpretazione quanto al significato.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Due date successive appartengono alla cronologia strutturale del caso perché ne mutano il quadro documentale. Il primo ottobre millenovecentosettantotto, in un appartamento milanese di via Monte Nevoso, viene rinvenuta una prima parte degli scritti della prigionia; nell’ottobre millenovecentonovanta, nel medesimo immobile, ne viene rinvenuta una seconda e più ampia parte. La duplicazione del ritrovamento a dodici anni di distanza, nello stesso luogo, è dato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e costituisce il maggiore problema documentale del caso, poiché ogni ricostruzione fondata sulla prima tranche è stata elaborata nell’ignoranza della seconda.</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SETTIMA — I PATTERN ANALITICI APPLICATI</w:t>
      </w:r>
    </w:p>
    <w:p>
      <w:pPr>
        <w:spacing w:after="0" w:line="276" w:lineRule="auto"/>
        <w:ind w:firstLine="425"/>
        <w:jc w:val="both"/>
      </w:pPr>
      <w:r>
        <w:rPr>
          <w:rFonts w:ascii="Times New Roman" w:hAnsi="Times New Roman" w:cs="Times New Roman" w:eastAsia="Times New Roman"/>
          <w:rFonts w:ascii="Times New Roman" w:hAnsi="Times New Roman"/>
          <w:b w:val="0"/>
          <w:sz w:val="24"/>
        </w:rPr>
        <w:t>I Pattern non sono ipotesi preconcette ma regolarità emergenti dalla rete, identificate dopo la sua costruzione secondo il principio della costruzione dal basso di Glaser e Strauss. Se ne applicano al caso Moro i seguenti.</w:t>
      </w:r>
    </w:p>
    <w:p>
      <w:pPr>
        <w:spacing w:after="0" w:line="276" w:lineRule="auto"/>
        <w:ind w:firstLine="425"/>
        <w:jc w:val="both"/>
      </w:pPr>
      <w:r>
        <w:rPr>
          <w:rFonts w:ascii="Times New Roman" w:hAnsi="Times New Roman" w:cs="Times New Roman" w:eastAsia="Times New Roman"/>
          <w:rFonts w:ascii="Times New Roman" w:hAnsi="Times New Roman"/>
          <w:b/>
          <w:sz w:val="24"/>
        </w:rPr>
        <w:t>Primo Pattern, analisi dei nodi centrali.</w:t>
      </w:r>
      <w:r>
        <w:rPr>
          <w:rFonts w:ascii="Times New Roman" w:hAnsi="Times New Roman" w:cs="Times New Roman" w:eastAsia="Times New Roman"/>
          <w:rFonts w:ascii="Times New Roman" w:hAnsi="Times New Roman"/>
          <w:b w:val="0"/>
          <w:sz w:val="24"/>
        </w:rPr>
        <w:t xml:space="preserve"> Calcolate le quattro misure di centralità, il nodo della vittima domina per grado e per intermediazione; ma la misura diagnosticamente più interessante è la centralità di prossimità applicata ai nodi degli apparati, poiché essa misura la capacità di mobilitare risorse eterogenee in tempi brevi, e nei cinquantacinque giorni tale capacità fu esercitata in misura assai inferiore a quella teoricamente disponibile. Questo scarto — fra la capacità strutturale della rete istituzionale e la sua prestazione effettiva — è un dato oggettivo che chiede spiegazione e che le ipotesi concorrenti spiegano in modi opposti.</w:t>
      </w:r>
    </w:p>
    <w:p>
      <w:pPr>
        <w:spacing w:after="0" w:line="276" w:lineRule="auto"/>
        <w:ind w:firstLine="425"/>
        <w:jc w:val="both"/>
      </w:pPr>
      <w:r>
        <w:rPr>
          <w:rFonts w:ascii="Times New Roman" w:hAnsi="Times New Roman" w:cs="Times New Roman" w:eastAsia="Times New Roman"/>
          <w:rFonts w:ascii="Times New Roman" w:hAnsi="Times New Roman"/>
          <w:b/>
          <w:sz w:val="24"/>
        </w:rPr>
        <w:t>Secondo Pattern, identificazione dei cluster.</w:t>
      </w:r>
      <w:r>
        <w:rPr>
          <w:rFonts w:ascii="Times New Roman" w:hAnsi="Times New Roman" w:cs="Times New Roman" w:eastAsia="Times New Roman"/>
          <w:rFonts w:ascii="Times New Roman" w:hAnsi="Times New Roman"/>
          <w:b w:val="0"/>
          <w:sz w:val="24"/>
        </w:rPr>
        <w:t xml:space="preserve"> L’applicazione di algoritmi di rilevazione delle comunità alla rete del caso individua un aggregato che riunisce nodi dell’ottavo, del quarto e del terzo Dominio attorno alla circolazione di informazione riservata sulla vicenda. Il criterio di validazione richiede che almeno un evento storico documentato confermi l’azione coordinata dei membri: allo stato, il criterio non è soddisfatto e l’aggregato resta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ossia comunità statistica e non struttura operativa accertata.</w:t>
      </w:r>
    </w:p>
    <w:p>
      <w:pPr>
        <w:spacing w:after="0" w:line="276" w:lineRule="auto"/>
        <w:ind w:firstLine="425"/>
        <w:jc w:val="both"/>
      </w:pPr>
      <w:r>
        <w:rPr>
          <w:rFonts w:ascii="Times New Roman" w:hAnsi="Times New Roman" w:cs="Times New Roman" w:eastAsia="Times New Roman"/>
          <w:rFonts w:ascii="Times New Roman" w:hAnsi="Times New Roman"/>
          <w:b/>
          <w:sz w:val="24"/>
        </w:rPr>
        <w:t>Terzo Pattern, analisi delle coincidenze temporali.</w:t>
      </w:r>
      <w:r>
        <w:rPr>
          <w:rFonts w:ascii="Times New Roman" w:hAnsi="Times New Roman" w:cs="Times New Roman" w:eastAsia="Times New Roman"/>
          <w:rFonts w:ascii="Times New Roman" w:hAnsi="Times New Roman"/>
          <w:b w:val="0"/>
          <w:sz w:val="24"/>
        </w:rPr>
        <w:t xml:space="preserve"> La finestra del diciotto aprile, con la contestualità fra comunicato apocrifo e scoperta del covo, è la coincidenza a più alta significatività dell’intera serie. Il criterio di validazione è statistico e richiede che la probabilità del caso sia inferiore alla soglia convenzionale; la valutazione formale richiede la conversione della lacuna stenografica, poiché la datazione fine di numerosi eventi collaterali è contenuta in quel materiale.</w:t>
      </w:r>
    </w:p>
    <w:p>
      <w:pPr>
        <w:spacing w:after="0" w:line="276" w:lineRule="auto"/>
        <w:ind w:firstLine="425"/>
        <w:jc w:val="both"/>
      </w:pPr>
      <w:r>
        <w:rPr>
          <w:rFonts w:ascii="Times New Roman" w:hAnsi="Times New Roman" w:cs="Times New Roman" w:eastAsia="Times New Roman"/>
          <w:rFonts w:ascii="Times New Roman" w:hAnsi="Times New Roman"/>
          <w:b/>
          <w:sz w:val="24"/>
        </w:rPr>
        <w:t>Quinto Pattern, analisi dei buchi strutturali.</w:t>
      </w:r>
      <w:r>
        <w:rPr>
          <w:rFonts w:ascii="Times New Roman" w:hAnsi="Times New Roman" w:cs="Times New Roman" w:eastAsia="Times New Roman"/>
          <w:rFonts w:ascii="Times New Roman" w:hAnsi="Times New Roman"/>
          <w:b w:val="0"/>
          <w:sz w:val="24"/>
        </w:rPr>
        <w:t xml:space="preserve"> Il Registro segnala come buco strutturale significativo l’assenza, nel corpus, di documentazione coeva relativa alla circolazione interna dell’informazione fra la struttura di crisi e i reparti operativi. L’assenza di una connessione attesa è dato altrettanto significativo di una connessione presente e può indicare compartimentazione intenzionale, conflitto, oppure lacuna documentale: le tre letture sono equiprobabili allo stato e nessuna è affermata.</w:t>
      </w:r>
    </w:p>
    <w:p>
      <w:pPr>
        <w:spacing w:after="0" w:line="276" w:lineRule="auto"/>
        <w:ind w:firstLine="425"/>
        <w:jc w:val="both"/>
      </w:pPr>
      <w:r>
        <w:rPr>
          <w:rFonts w:ascii="Times New Roman" w:hAnsi="Times New Roman" w:cs="Times New Roman" w:eastAsia="Times New Roman"/>
          <w:rFonts w:ascii="Times New Roman" w:hAnsi="Times New Roman"/>
          <w:b/>
          <w:sz w:val="24"/>
        </w:rPr>
        <w:t>Sesto Pattern, analisi delle ipotesi concorrenti.</w:t>
      </w:r>
      <w:r>
        <w:rPr>
          <w:rFonts w:ascii="Times New Roman" w:hAnsi="Times New Roman" w:cs="Times New Roman" w:eastAsia="Times New Roman"/>
          <w:rFonts w:ascii="Times New Roman" w:hAnsi="Times New Roman"/>
          <w:b w:val="0"/>
          <w:sz w:val="24"/>
        </w:rPr>
        <w:t xml:space="preserve"> È il Pattern che governa la Parte ottava e che nel caso Moro assume rilievo dirimente.</w:t>
      </w:r>
    </w:p>
    <w:p>
      <w:pPr>
        <w:spacing w:after="0" w:line="276" w:lineRule="auto"/>
        <w:ind w:firstLine="425"/>
        <w:jc w:val="both"/>
      </w:pPr>
      <w:r>
        <w:rPr>
          <w:rFonts w:ascii="Times New Roman" w:hAnsi="Times New Roman" w:cs="Times New Roman" w:eastAsia="Times New Roman"/>
          <w:rFonts w:ascii="Times New Roman" w:hAnsi="Times New Roman"/>
          <w:b/>
          <w:sz w:val="24"/>
        </w:rPr>
        <w:t>Ottavo Pattern, analisi dello sfruttamento delle crisi.</w:t>
      </w:r>
      <w:r>
        <w:rPr>
          <w:rFonts w:ascii="Times New Roman" w:hAnsi="Times New Roman" w:cs="Times New Roman" w:eastAsia="Times New Roman"/>
          <w:rFonts w:ascii="Times New Roman" w:hAnsi="Times New Roman"/>
          <w:b w:val="0"/>
          <w:sz w:val="24"/>
        </w:rPr>
        <w:t xml:space="preserve"> Il sequestro costituisce evento perturbativo che rende temporaneamente porosi i confini fra i Domini, sospende regole e moltiplica le opportunità. La misurazione della variazione di densità inter-dominio prima, durante e dopo i cinquantacinque giorni mostra un incremento marcato nel periodo, con assestamento successivo su un livello superiore a quello iniziale: dato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che è compatibile con ipotesi diverse e non ne privilegia alcuna.</w:t>
      </w:r>
    </w:p>
    <w:p>
      <w:pPr>
        <w:spacing w:after="0" w:line="276" w:lineRule="auto"/>
        <w:ind w:firstLine="425"/>
        <w:jc w:val="both"/>
      </w:pPr>
      <w:r>
        <w:rPr>
          <w:rFonts w:ascii="Times New Roman" w:hAnsi="Times New Roman" w:cs="Times New Roman" w:eastAsia="Times New Roman"/>
          <w:rFonts w:ascii="Times New Roman" w:hAnsi="Times New Roman"/>
          <w:b/>
          <w:sz w:val="24"/>
        </w:rPr>
        <w:t>Undicesimo Pattern, isomorfismo strutturale.</w:t>
      </w:r>
      <w:r>
        <w:rPr>
          <w:rFonts w:ascii="Times New Roman" w:hAnsi="Times New Roman" w:cs="Times New Roman" w:eastAsia="Times New Roman"/>
          <w:rFonts w:ascii="Times New Roman" w:hAnsi="Times New Roman"/>
          <w:b w:val="0"/>
          <w:sz w:val="24"/>
        </w:rPr>
        <w:t xml:space="preserve"> La struttura della gestione della crisi — un nucleo ristretto che irradia verso i vertici di più Domini — presenta somiglianza topologica con altre strutture presenti nel corpus generale della materia. La somiglianza può indicare origine comune, necessità funzionale o convergenza indipendente, e la sola somiglianza non discrimina fra le tre: nel caso Moro il Registro propende per la necessità funzionale, poiché ogni gestione di crisi produce quella topologia, e classifica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ogni lettura che ne inferisca origine comune.</w:t>
      </w:r>
    </w:p>
    <w:p>
      <w:pPr>
        <w:spacing w:after="0" w:line="276" w:lineRule="auto"/>
        <w:ind w:firstLine="425"/>
        <w:jc w:val="both"/>
      </w:pPr>
      <w:r>
        <w:rPr>
          <w:rFonts w:ascii="Times New Roman" w:hAnsi="Times New Roman" w:cs="Times New Roman" w:eastAsia="Times New Roman"/>
          <w:rFonts w:ascii="Times New Roman" w:hAnsi="Times New Roman"/>
          <w:b/>
          <w:sz w:val="24"/>
        </w:rPr>
        <w:t>Quindicesimo Pattern, parole sentinella.</w:t>
      </w:r>
      <w:r>
        <w:rPr>
          <w:rFonts w:ascii="Times New Roman" w:hAnsi="Times New Roman" w:cs="Times New Roman" w:eastAsia="Times New Roman"/>
          <w:rFonts w:ascii="Times New Roman" w:hAnsi="Times New Roman"/>
          <w:b w:val="0"/>
          <w:sz w:val="24"/>
        </w:rPr>
        <w:t xml:space="preserve"> Applicato al corpus autografo della prigionia, il Pattern confronta gli usi lessicali e le forme abbreviative dello scrivente con quelli attestati nella produzione anteriore, per rilevare discontinuità che possano indicare condizionamento, dettatura o interpolazione. Il corpus degli scritti dal millenovecentotrentadue al millenovecentosettantotto, presente nel sottocorpus, rende l’operazione possibile su base statistica. Il Pattern è dichiarato </w:t>
      </w:r>
      <w:r>
        <w:rPr>
          <w:rFonts w:ascii="Times New Roman" w:hAnsi="Times New Roman" w:cs="Times New Roman" w:eastAsia="Times New Roman"/>
          <w:rFonts w:ascii="Times New Roman" w:hAnsi="Times New Roman"/>
          <w:b/>
          <w:sz w:val="24"/>
        </w:rPr>
        <w:t>operativo e aperto</w:t>
      </w:r>
      <w:r>
        <w:rPr>
          <w:rFonts w:ascii="Times New Roman" w:hAnsi="Times New Roman" w:cs="Times New Roman" w:eastAsia="Times New Roman"/>
          <w:rFonts w:ascii="Times New Roman" w:hAnsi="Times New Roman"/>
          <w:b w:val="0"/>
          <w:sz w:val="24"/>
        </w:rPr>
        <w:t>: costituisce la linea di ricerca filologica propria di questo Registro.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OTTAVA — LE IPOTESI CONCORRENTI E I TEST DI FALSIFICAZIONE</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Registro formula cinque ipotesi concorrenti sulla natura del sequestro e della sua gestione, e le tratta come in competizione secondo la metodologia dell’analisi delle ipotesi concorrenti di Richards Heuer: l’ipotesi che prevale non è quella con più evidenze a favore — poiché tutte, in questa materia, ne accumulano — ma quella meno contraddetta dalle evidenze disponibili.</w:t>
      </w:r>
    </w:p>
    <w:p>
      <w:pPr>
        <w:spacing w:after="0" w:line="276" w:lineRule="auto"/>
        <w:ind w:firstLine="425"/>
        <w:jc w:val="both"/>
      </w:pPr>
      <w:r>
        <w:rPr>
          <w:rFonts w:ascii="Times New Roman" w:hAnsi="Times New Roman" w:cs="Times New Roman" w:eastAsia="Times New Roman"/>
          <w:rFonts w:ascii="Times New Roman" w:hAnsi="Times New Roman"/>
          <w:b/>
          <w:sz w:val="24"/>
        </w:rPr>
        <w:t>Ipotesi prima, dell’autosufficienza.</w:t>
      </w:r>
      <w:r>
        <w:rPr>
          <w:rFonts w:ascii="Times New Roman" w:hAnsi="Times New Roman" w:cs="Times New Roman" w:eastAsia="Times New Roman"/>
          <w:rFonts w:ascii="Times New Roman" w:hAnsi="Times New Roman"/>
          <w:b w:val="0"/>
          <w:sz w:val="24"/>
        </w:rPr>
        <w:t xml:space="preserve"> Le Brigate Rosse concepirono, eseguirono e conclusero il sequestro autonomamente, con risorse proprie; la loro efficacia si spiega con la preparazione, con la debolezza degli apparati di prevenzione e con la sottovalutazione del fenomeno; le anomalie della vicenda si spiegano con l’inefficienza, non con il disegno. Questa ipotesi coincide sostanzialmente con l’accertamento giudiziario definitivo ed è </w:t>
      </w:r>
      <w:r>
        <w:rPr>
          <w:rFonts w:ascii="Times New Roman" w:hAnsi="Times New Roman" w:cs="Times New Roman" w:eastAsia="Times New Roman"/>
          <w:rFonts w:ascii="Times New Roman" w:hAnsi="Times New Roman"/>
          <w:b/>
          <w:sz w:val="24"/>
        </w:rPr>
        <w:t>l’ipotesi più economica e meglio sostenuta</w:t>
      </w:r>
      <w:r>
        <w:rPr>
          <w:rFonts w:ascii="Times New Roman" w:hAnsi="Times New Roman" w:cs="Times New Roman" w:eastAsia="Times New Roman"/>
          <w:rFonts w:ascii="Times New Roman" w:hAnsi="Times New Roman"/>
          <w:b w:val="0"/>
          <w:sz w:val="24"/>
        </w:rPr>
        <w:t xml:space="preserve">. Il Registro la mantiene permanentemente attiva come </w:t>
      </w:r>
      <w:r>
        <w:rPr>
          <w:rFonts w:ascii="Times New Roman" w:hAnsi="Times New Roman" w:cs="Times New Roman" w:eastAsia="Times New Roman"/>
          <w:rFonts w:ascii="Times New Roman" w:hAnsi="Times New Roman"/>
          <w:b/>
          <w:sz w:val="24"/>
        </w:rPr>
        <w:t>falsificatore più forte</w:t>
      </w:r>
      <w:r>
        <w:rPr>
          <w:rFonts w:ascii="Times New Roman" w:hAnsi="Times New Roman" w:cs="Times New Roman" w:eastAsia="Times New Roman"/>
          <w:rFonts w:ascii="Times New Roman" w:hAnsi="Times New Roman"/>
          <w:b w:val="0"/>
          <w:sz w:val="24"/>
        </w:rPr>
        <w:t xml:space="preserve"> di ogni ipotesi alternativa, con la funzione che nel Registro generale dell’opera è assegnata alla tesi di Alan Milward: nessuna ipotesi ulteriore può essere accolta se non spiega ciò che questa già spiega, e meglio.</w:t>
      </w:r>
    </w:p>
    <w:p>
      <w:pPr>
        <w:spacing w:after="0" w:line="276" w:lineRule="auto"/>
        <w:ind w:firstLine="425"/>
        <w:jc w:val="both"/>
      </w:pPr>
      <w:r>
        <w:rPr>
          <w:rFonts w:ascii="Times New Roman" w:hAnsi="Times New Roman" w:cs="Times New Roman" w:eastAsia="Times New Roman"/>
          <w:rFonts w:ascii="Times New Roman" w:hAnsi="Times New Roman"/>
          <w:b/>
          <w:sz w:val="24"/>
        </w:rPr>
        <w:t>Ipotesi seconda, dell’eterodirezione.</w:t>
      </w:r>
      <w:r>
        <w:rPr>
          <w:rFonts w:ascii="Times New Roman" w:hAnsi="Times New Roman" w:cs="Times New Roman" w:eastAsia="Times New Roman"/>
          <w:rFonts w:ascii="Times New Roman" w:hAnsi="Times New Roman"/>
          <w:b w:val="0"/>
          <w:sz w:val="24"/>
        </w:rPr>
        <w:t xml:space="preserve"> L’organizzazione fu, in tutto o in parte, orientata dall’esterno, e attori estranei ebbero parte nella decisione, nell’esecuzione o nella conduzione. Condizioni di falsificazione: l’assenza, negli archivi accessibili, di qualunque atto direttivo o di raccordo; l’assenza di anomalie operative non spiegabili con le risorse proprie dell’organizzazione. Stato attuale: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Nessun elemento del corpus la eleva, e diversi elementi la contraddicono — segnatamente la coerenza interna della catena decisionale ricostruita in sede giudiziaria.</w:t>
      </w:r>
    </w:p>
    <w:p>
      <w:pPr>
        <w:spacing w:after="0" w:line="276" w:lineRule="auto"/>
        <w:ind w:firstLine="425"/>
        <w:jc w:val="both"/>
      </w:pPr>
      <w:r>
        <w:rPr>
          <w:rFonts w:ascii="Times New Roman" w:hAnsi="Times New Roman" w:cs="Times New Roman" w:eastAsia="Times New Roman"/>
          <w:rFonts w:ascii="Times New Roman" w:hAnsi="Times New Roman"/>
          <w:b/>
          <w:sz w:val="24"/>
        </w:rPr>
        <w:t>Ipotesi terza, del non impedimento.</w:t>
      </w:r>
      <w:r>
        <w:rPr>
          <w:rFonts w:ascii="Times New Roman" w:hAnsi="Times New Roman" w:cs="Times New Roman" w:eastAsia="Times New Roman"/>
          <w:rFonts w:ascii="Times New Roman" w:hAnsi="Times New Roman"/>
          <w:b w:val="0"/>
          <w:sz w:val="24"/>
        </w:rPr>
        <w:t xml:space="preserve"> L’organizzazione agì autonomamente, ma soggetti collocati in apparati ebbero conoscenze utili e non le impiegarono, per inerzia, per calcolo o per conflitto interno; l’effetto pratico fu di agevolare l’esito senza che vi fosse concorso. Condizioni di falsificazione: la dimostrazione che le informazioni ritenute disponibili non lo erano, o che furono trasmesse e utilizzate. Stato attuale: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con singoli segmenti che raggiungono il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ove documentati da acquisizioni parlamentari. È l’ipotesi più difficile da falsificare, e questa sua proprietà è essa stessa un problema metodologico, poiché un’ipotesi difficilmente falsificabile è per ciò stesso epistemologicamente debole, non forte.</w:t>
      </w:r>
    </w:p>
    <w:p>
      <w:pPr>
        <w:spacing w:after="0" w:line="276" w:lineRule="auto"/>
        <w:ind w:firstLine="425"/>
        <w:jc w:val="both"/>
      </w:pPr>
      <w:r>
        <w:rPr>
          <w:rFonts w:ascii="Times New Roman" w:hAnsi="Times New Roman" w:cs="Times New Roman" w:eastAsia="Times New Roman"/>
          <w:rFonts w:ascii="Times New Roman" w:hAnsi="Times New Roman"/>
          <w:b/>
          <w:sz w:val="24"/>
        </w:rPr>
        <w:t>Ipotesi quarta, della convergenza non coordinata.</w:t>
      </w:r>
      <w:r>
        <w:rPr>
          <w:rFonts w:ascii="Times New Roman" w:hAnsi="Times New Roman" w:cs="Times New Roman" w:eastAsia="Times New Roman"/>
          <w:rFonts w:ascii="Times New Roman" w:hAnsi="Times New Roman"/>
          <w:b w:val="0"/>
          <w:sz w:val="24"/>
        </w:rPr>
        <w:t xml:space="preserve"> Attori di Domini diversi, senza relazione fra loro, compirono azioni i cui effetti convergevano nel medesimo esito, ciascuno per ragioni proprie. È l’applicazione al caso dell’arco di convergenza. Condizioni di falsificazione: la dimostrazione che gli effetti non convergevano, oppure la dimostrazione che vi fu invece coordinamento — nel qual caso l’ipotesi collassa nella seconda. Stato attuale: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con l’avvertenza che questa ipotesi ha il difetto di essere compatibile con quasi ogni evidenza, e va perciò maneggiata con particolare diffidenza.</w:t>
      </w:r>
    </w:p>
    <w:p>
      <w:pPr>
        <w:spacing w:after="0" w:line="276" w:lineRule="auto"/>
        <w:ind w:firstLine="425"/>
        <w:jc w:val="both"/>
      </w:pPr>
      <w:r>
        <w:rPr>
          <w:rFonts w:ascii="Times New Roman" w:hAnsi="Times New Roman" w:cs="Times New Roman" w:eastAsia="Times New Roman"/>
          <w:rFonts w:ascii="Times New Roman" w:hAnsi="Times New Roman"/>
          <w:b/>
          <w:sz w:val="24"/>
        </w:rPr>
        <w:t>Ipotesi quinta, del primato endogeno.</w:t>
      </w:r>
      <w:r>
        <w:rPr>
          <w:rFonts w:ascii="Times New Roman" w:hAnsi="Times New Roman" w:cs="Times New Roman" w:eastAsia="Times New Roman"/>
          <w:rFonts w:ascii="Times New Roman" w:hAnsi="Times New Roman"/>
          <w:b w:val="0"/>
          <w:sz w:val="24"/>
        </w:rPr>
        <w:t xml:space="preserve"> Tanto il sequestro quanto la sua gestione si spiegano integralmente con le dinamiche interne al sistema politico italiano: la scelta della fermezza fu decisione politica autonoma, motivata da ragioni di sistema, e non richiede fattori esterni per essere compresa. Condizioni di falsificazione: la documentazione di pressioni esterne determinanti sulla decisione. Stato attuale: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alla sufficienza della spiegazione politica interna, che gli atti parlamentari e la documentazione coeva sostengono.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Applicando la griglia dei quattro test diagnostici, il quadro è il seguente. Il test del filo di paglia, né necessario né sufficiente, è superato da tutte e cinque le ipotesi, che sono tutte compatibili con l’esistenza di anomalie. Il test del cerchio, condizione necessaria, è superato dalla prima, dalla terza e dalla quinta; la seconda lo supera soltanto per singoli segmenti e non nel suo enunciato generale. Il test della pistola fumante, condizione sufficiente, non è superato da alcuna ipotesi ulteriore rispetto alla prima: non esiste, nel corpus, l’atto che chiuderebbe la questione. Il test doppiamente decisivo non è raggiunto da alcuna. </w:t>
      </w:r>
      <w:r>
        <w:rPr>
          <w:rFonts w:ascii="Times New Roman" w:hAnsi="Times New Roman" w:cs="Times New Roman" w:eastAsia="Times New Roman"/>
          <w:rFonts w:ascii="Times New Roman" w:hAnsi="Times New Roman"/>
          <w:b/>
          <w:sz w:val="24"/>
        </w:rPr>
        <w:t>Conclusione provvisoria</w:t>
      </w:r>
      <w:r>
        <w:rPr>
          <w:rFonts w:ascii="Times New Roman" w:hAnsi="Times New Roman" w:cs="Times New Roman" w:eastAsia="Times New Roman"/>
          <w:rFonts w:ascii="Times New Roman" w:hAnsi="Times New Roman"/>
          <w:b w:val="0"/>
          <w:sz w:val="24"/>
        </w:rPr>
        <w:t xml:space="preserve">: l’ipotesi prima resta la meno contraddetta e conserva il primato; le ipotesi terza e quinta sono con essa compatibili e ne costituiscono integrazioni plausibili su segmenti determinati; le ipotesi seconda e quarta restano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e non possono essere né affermate né escluse. Che cosa muterebbe questa conclusione: l’acquisizione di documentazione coeva d’archivio, italiana o straniera, attestante direttive o raccordi; la conversione e la lettura del blocco stenografico non ancora accessibile; l’esito dell’analisi filologica sul corpus autografo secondo il quindicesimo Pattern.</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NONA — REGISTRO DELLE LACUNE DICHIARATE</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Registro dichiara formalmente le proprie lacune e non le silenzia, poiché una lacuna taciuta si trasforma, nel tempo, in affermazione implicita.</w:t>
      </w:r>
    </w:p>
    <w:p>
      <w:pPr>
        <w:spacing w:after="0" w:line="276" w:lineRule="auto"/>
        <w:ind w:firstLine="425"/>
        <w:jc w:val="both"/>
      </w:pPr>
      <w:r>
        <w:rPr>
          <w:rFonts w:ascii="Times New Roman" w:hAnsi="Times New Roman" w:cs="Times New Roman" w:eastAsia="Times New Roman"/>
          <w:rFonts w:ascii="Times New Roman" w:hAnsi="Times New Roman"/>
          <w:b/>
          <w:sz w:val="24"/>
        </w:rPr>
        <w:t>Prima lacuna, stenografica e operativa.</w:t>
      </w:r>
      <w:r>
        <w:rPr>
          <w:rFonts w:ascii="Times New Roman" w:hAnsi="Times New Roman" w:cs="Times New Roman" w:eastAsia="Times New Roman"/>
          <w:rFonts w:ascii="Times New Roman" w:hAnsi="Times New Roman"/>
          <w:b w:val="0"/>
          <w:sz w:val="24"/>
        </w:rPr>
        <w:t xml:space="preserve"> Diciotto blocchi di materiale scansionato, per oltre mille immagini, contenenti resoconti di sedute e documentazione fotografica, non sono leggibili in forma testuale. È la lacuna a priorità assoluta.</w:t>
      </w:r>
    </w:p>
    <w:p>
      <w:pPr>
        <w:spacing w:after="0" w:line="276" w:lineRule="auto"/>
        <w:ind w:firstLine="425"/>
        <w:jc w:val="both"/>
      </w:pPr>
      <w:r>
        <w:rPr>
          <w:rFonts w:ascii="Times New Roman" w:hAnsi="Times New Roman" w:cs="Times New Roman" w:eastAsia="Times New Roman"/>
          <w:rFonts w:ascii="Times New Roman" w:hAnsi="Times New Roman"/>
          <w:b/>
          <w:sz w:val="24"/>
        </w:rPr>
        <w:t>Seconda lacuna, archivistica estera.</w:t>
      </w:r>
      <w:r>
        <w:rPr>
          <w:rFonts w:ascii="Times New Roman" w:hAnsi="Times New Roman" w:cs="Times New Roman" w:eastAsia="Times New Roman"/>
          <w:rFonts w:ascii="Times New Roman" w:hAnsi="Times New Roman"/>
          <w:b w:val="0"/>
          <w:sz w:val="24"/>
        </w:rPr>
        <w:t xml:space="preserve"> Non è presente nel corpus alcun documento proveniente da archivi stranieri relativo alla gestione della crisi, né alcun riscontro documentale delle dichiarazioni rese a distanza di decenni da soggetti che vi ebbero parte. La lacuna è dichiarata con la precisazione che essa impedisce, allo stato, tanto la conferma quanto la smentita di un’intera famiglia di asserzioni.</w:t>
      </w:r>
    </w:p>
    <w:p>
      <w:pPr>
        <w:spacing w:after="0" w:line="276" w:lineRule="auto"/>
        <w:ind w:firstLine="425"/>
        <w:jc w:val="both"/>
      </w:pPr>
      <w:r>
        <w:rPr>
          <w:rFonts w:ascii="Times New Roman" w:hAnsi="Times New Roman" w:cs="Times New Roman" w:eastAsia="Times New Roman"/>
          <w:rFonts w:ascii="Times New Roman" w:hAnsi="Times New Roman"/>
          <w:b/>
          <w:sz w:val="24"/>
        </w:rPr>
        <w:t>Terza lacuna, del documento informativo straniero.</w:t>
      </w:r>
      <w:r>
        <w:rPr>
          <w:rFonts w:ascii="Times New Roman" w:hAnsi="Times New Roman" w:cs="Times New Roman" w:eastAsia="Times New Roman"/>
          <w:rFonts w:ascii="Times New Roman" w:hAnsi="Times New Roman"/>
          <w:b w:val="0"/>
          <w:sz w:val="24"/>
        </w:rPr>
        <w:t xml:space="preserve"> Il documento di servizio informativo estero del quale il corpus riferisce la visione da parte di magistrati italiani non è presente né in originale né in copia, e la sua assenza dagli archivi nazionali è essa stessa asserzione da verificare.</w:t>
      </w:r>
    </w:p>
    <w:p>
      <w:pPr>
        <w:spacing w:after="0" w:line="276" w:lineRule="auto"/>
        <w:ind w:firstLine="425"/>
        <w:jc w:val="both"/>
      </w:pPr>
      <w:r>
        <w:rPr>
          <w:rFonts w:ascii="Times New Roman" w:hAnsi="Times New Roman" w:cs="Times New Roman" w:eastAsia="Times New Roman"/>
          <w:rFonts w:ascii="Times New Roman" w:hAnsi="Times New Roman"/>
          <w:b/>
          <w:sz w:val="24"/>
        </w:rPr>
        <w:t>Quarta lacuna, filologica.</w:t>
      </w:r>
      <w:r>
        <w:rPr>
          <w:rFonts w:ascii="Times New Roman" w:hAnsi="Times New Roman" w:cs="Times New Roman" w:eastAsia="Times New Roman"/>
          <w:rFonts w:ascii="Times New Roman" w:hAnsi="Times New Roman"/>
          <w:b w:val="0"/>
          <w:sz w:val="24"/>
        </w:rPr>
        <w:t xml:space="preserve"> L’analisi comparativa sistematica fra gli autografi della prigionia e la produzione anteriore, resa possibile dalla presenza del corpus integrale nel sottocorpus, non è stata ancora condotta. Essa costituisce il compito proprio del quindicesimo Pattern ed è la linea di ricerca originale di questo Registro.</w:t>
      </w:r>
    </w:p>
    <w:p>
      <w:pPr>
        <w:spacing w:after="0" w:line="276" w:lineRule="auto"/>
        <w:ind w:firstLine="425"/>
        <w:jc w:val="both"/>
      </w:pPr>
      <w:r>
        <w:rPr>
          <w:rFonts w:ascii="Times New Roman" w:hAnsi="Times New Roman" w:cs="Times New Roman" w:eastAsia="Times New Roman"/>
          <w:rFonts w:ascii="Times New Roman" w:hAnsi="Times New Roman"/>
          <w:b/>
          <w:sz w:val="24"/>
        </w:rPr>
        <w:t>Quinta lacuna, giudiziaria.</w:t>
      </w:r>
      <w:r>
        <w:rPr>
          <w:rFonts w:ascii="Times New Roman" w:hAnsi="Times New Roman" w:cs="Times New Roman" w:eastAsia="Times New Roman"/>
          <w:rFonts w:ascii="Times New Roman" w:hAnsi="Times New Roman"/>
          <w:b w:val="0"/>
          <w:sz w:val="24"/>
        </w:rPr>
        <w:t xml:space="preserve"> Il corpus contiene le sentenze dei procedimenti collaterali ma non le sentenze dei cinque processi celebrati sul sequestro. La loro acquisizione è condizione per elevare al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numerose asserzioni oggi classificate al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e per verificare la corretta attribuzione dei livelli già assegnati.</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DECIMA — CAMERA ISTRUTTORIA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Camera Istruttoria è l’organo interno del Registro che sottopone al test del documento ogni segnalazione proveniente dal calcolo. Essa opera secondo tre regole. La prima: ogni segnalazione computazionale entra come ipotesi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e non come constatazione. La seconda: il test di prossimità — la ricerca, nelle sole fonti primarie, di una finestra testuale che contenga entrambi i termini — è il primo filtro obbligatorio, con l’espressa avvertenza che esso produce falsi negativi, poiché connessioni reali possono essere espresse a distanza o con lessico non coincidente; il suo fallimento non chiude l’istruttoria ma la rinvia alla lettura di pagina, che è l’unico atto dirimente. La terza: l’espunzione di una segnalazione errata ha la medesima solennità della scoperta, ed è iscritta a registro.</w:t>
      </w:r>
    </w:p>
    <w:p>
      <w:pPr>
        <w:spacing w:after="0" w:line="276" w:lineRule="auto"/>
        <w:ind w:firstLine="425"/>
        <w:jc w:val="both"/>
      </w:pPr>
      <w:r>
        <w:rPr>
          <w:rFonts w:ascii="Times New Roman" w:hAnsi="Times New Roman" w:cs="Times New Roman" w:eastAsia="Times New Roman"/>
          <w:rFonts w:ascii="Times New Roman" w:hAnsi="Times New Roman"/>
          <w:b w:val="0"/>
          <w:sz w:val="24"/>
        </w:rPr>
        <w:t>L’estrazione condotta sul sottocorpus ha prodotto novantanove nodi attivi su centodue del lessico e un insieme di coppie inter-dominio candidate. Sottoposte al test di prossimità, ventiquattro delle venticinque coppie di controllo hanno trovato riscontro documentale diretto e sono state promosse a istruttoria di pagina, con gli esiti riferiti nella Parte quinta. Una sola coppia — quella fra un esponente della criminalità romana e il luogo indicato dal comunicato apocrifo — ha fallito il test pur essendo la connessione fra i due elementi tematizzata nel corpus per il tramite di un terzo nodo: è il caso tipico della connessione reale espressa a distanza, e come tale è rinviata alla lettura e non espunta.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Restano assegnate alla Camera, per le sessioni successive, le seguenti istruttorie. Prima: la verifica di pagina sulle coppie che associano il comitato di crisi ai nodi della mediazione religiosa, la cui prossimità non è accertata e la cui co-occorrenza potrebbe essere effetto della mole dei documenti. Seconda: l’istruttoria sulla coincidenza del diciotto aprile, che richiede la lettura del materiale stenografico. Terza: l’istruttoria filologica sul corpus autografo. Quarta: la verifica delle asserzioni fondate unicamente sulla monografia tesistica, ciascuna delle quali va risalita alla fonte primaria o mantenuta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Registro conclude questa prima edizione con la constatazione che il metodo ha prodotto, sul caso Moro, un esito che nessuna delle narrazioni consolidate troverà soddisfacente, e che è precisamente per questo affidabile: il nucleo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è ristretto e solidissimo, la fascia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è ampia e articolata, e la maggior parte delle asserzioni che circolano come verità acquisite si colloca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Questo non significa che siano false; significa che non sono, allo stato del corpus, dimostrate — ed è compito del Registro, nelle edizioni successive, dimostrarle o confutarle, non ripeterle.</w:t>
      </w:r>
    </w:p>
    <w:p>
      <w:pPr>
        <w:spacing w:after="120" w:line="276" w:lineRule="auto" w:before="320"/>
        <w:jc w:val="left"/>
      </w:pPr>
      <w:r>
        <w:rPr>
          <w:rFonts w:ascii="Times New Roman" w:hAnsi="Times New Roman" w:cs="Times New Roman" w:eastAsia="Times New Roman"/>
          <w:rFonts w:ascii="Times New Roman" w:hAnsi="Times New Roman"/>
          <w:b/>
          <w:sz w:val="24"/>
        </w:rPr>
        <w:t>Colophon</w:t>
      </w:r>
    </w:p>
    <w:p>
      <w:pPr>
        <w:spacing w:after="0" w:line="276" w:lineRule="auto"/>
        <w:ind w:firstLine="425"/>
        <w:jc w:val="both"/>
      </w:pPr>
      <w:r>
        <w:rPr>
          <w:rFonts w:ascii="Times New Roman" w:hAnsi="Times New Roman" w:cs="Times New Roman" w:eastAsia="Times New Roman"/>
          <w:rFonts w:ascii="Times New Roman" w:hAnsi="Times New Roman"/>
          <w:b w:val="0"/>
          <w:sz w:val="24"/>
        </w:rPr>
        <w:t>REGISTRO ANALITICO DEL CASO MORO, edizione prima, integrale,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con il quale condivide metodologia e architettura e dal quale non dipende per la lettura. Ogni edizione successiva del presente Registro conterrà verbatim la presente, secondo il principio di cumulatività preservativa. Resta sovrana la Regola di Ferro: dove la fonte documenta, l’opera certifica; dove la fonte tace, l’opera indaga e non afferma. Autore e direttore dell’opera: Luigi De Michele.</w:t>
      </w:r>
    </w:p>
    <w:p>
      <w:pPr>
        <w:pageBreakBefore/>
        <w:spacing w:before="240" w:after="120" w:line="276" w:lineRule="auto"/>
        <w:jc w:val="left"/>
      </w:pPr>
      <w:r>
        <w:rPr>
          <w:b/>
          <w:sz w:val="28"/>
          <w:szCs w:val="28"/>
        </w:rPr>
        <w:t xml:space="preserve">PARTE UNDICESIMA — IL PRIMO ANELLO DI PROSSIMITÀ</w:t>
      </w:r>
    </w:p>
    <w:p>
      <w:pPr>
        <w:spacing w:before="240" w:after="120" w:line="276" w:lineRule="auto"/>
        <w:jc w:val="left"/>
      </w:pPr>
      <w:r>
        <w:rPr>
          <w:b/>
          <w:sz w:val="24"/>
          <w:szCs w:val="24"/>
        </w:rPr>
        <w:t xml:space="preserve">Metodo dell’estrazione e statuto delle voci</w:t>
      </w:r>
    </w:p>
    <w:p>
      <w:pPr>
        <w:spacing w:after="0" w:line="276" w:lineRule="auto"/>
        <w:ind w:firstLine="425"/>
        <w:jc w:val="both"/>
      </w:pPr>
      <w:r>
        <w:rPr/>
        <w:t xml:space="preserve">Il Primo Anello è l’insieme dei nodi che, nelle fonti del sottocorpus, compaiono entro una finestra testuale di quattrocento caratteri da un nodo del caso. La misura è meccanica e ripetibile: per ciascuno dei trentacinque nodi-seme si sono raccolte tutte le finestre della loro ricorrenza nelle sessantatré fonti leggibili di maggiore consistenza, e in ciascuna finestra si sono rilevate le entità nominali presenti, con esclusione delle forme grammaticali comuni. Sono ammesse al Registro soltanto le entità che ricorrono almeno tre volte e in almeno due fonti distinte, sicché la soglia esclude le contiguità occasionali di una singola pagina.</w:t>
      </w:r>
    </w:p>
    <w:p>
      <w:pPr>
        <w:spacing w:after="0" w:line="276" w:lineRule="auto"/>
        <w:ind w:firstLine="425"/>
        <w:jc w:val="both"/>
      </w:pPr>
      <w:r>
        <w:rPr/>
        <w:t xml:space="preserve">Il valore della misura e insieme il suo limite vanno enunciati con precisione. La prossimità testuale è </w:t>
      </w:r>
      <w:r>
        <w:rPr>
          <w:b/>
        </w:rPr>
        <w:t xml:space="preserve">indizio di tematizzazione congiunta</w:t>
      </w:r>
      <w:r>
        <w:rPr/>
        <w:t xml:space="preserve">: essa dice che almeno due fonti hanno trattato i due elementi nel medesimo respiro argomentativo. Non dice perché lo abbiano fatto. Un nome può essere prossimo a un altro perché i due furono realmente in relazione, oppure perché una fonte li accostò per confutare la relazione, oppure perché entrambi ricorrono in un elenco, oppure per contiguità puramente redazionale — una nota a piè di pagina che cade fra due periodi estranei. Il test di prossimità produce inoltre falsi negativi, poiché connessioni reali possono essere espresse a distanza o con lessico non coincidente. Ne discende che ogni voce del Primo Anello è </w:t>
      </w:r>
      <w:r>
        <w:rPr>
          <w:b/>
        </w:rPr>
        <w:t xml:space="preserve">generatrice di ipotesi e non certificatrice di legami</w:t>
      </w:r>
      <w:r>
        <w:rPr/>
        <w:t xml:space="preserve">, e che soltanto la lettura di pagina può promuoverla. Le voci che tale lettura ha già ricevuto sono segnalate; le altre restano cronaca.</w:t>
      </w:r>
    </w:p>
    <w:p>
      <w:pPr>
        <w:spacing w:before="240" w:after="120" w:line="276" w:lineRule="auto"/>
        <w:jc w:val="left"/>
      </w:pPr>
      <w:r>
        <w:rPr>
          <w:b/>
          <w:sz w:val="24"/>
          <w:szCs w:val="24"/>
        </w:rPr>
        <w:t xml:space="preserve">Anello del nodo centrale</w:t>
      </w:r>
    </w:p>
    <w:p>
      <w:pPr>
        <w:spacing w:after="0" w:line="276" w:lineRule="auto"/>
        <w:ind w:firstLine="425"/>
        <w:jc w:val="both"/>
      </w:pPr>
      <w:r>
        <w:rPr/>
        <w:t xml:space="preserve">Attorno al nome di </w:t>
      </w:r>
      <w:r>
        <w:rPr>
          <w:b/>
        </w:rPr>
        <w:t xml:space="preserve">Aldo Moro</w:t>
      </w:r>
      <w:r>
        <w:rPr/>
        <w:t xml:space="preserve"> il primo anello raccoglie, in ordine di dispersione fra le fonti, l’Italia come contesto ricorrente, Milano, le Brigate Rosse, il nome di Andreotti, il Ministero dell’interno, il Consiglio, via Gradoli, l’Europa, il Parlamento e la denominazione dell’arma da fuoco impiegata nell’omicidio. La composizione dell’anello è, in sé, un dato: il nodo centrale è prossimo tanto alle istituzioni quanto agli esecutori, e la ricorrenza di Milano — città estranea alla dinamica romana del sequestro — si spiega con il ritrovamento degli scritti della prigionia in quella città, circostanza che il Registro ha già iscritto al </w:t>
      </w:r>
      <w:r>
        <w:rPr>
          <w:b/>
        </w:rPr>
        <w:t xml:space="preserve">Livello A</w:t>
      </w:r>
      <w:r>
        <w:rPr/>
        <w:t xml:space="preserve">.</w:t>
      </w:r>
    </w:p>
    <w:p>
      <w:pPr>
        <w:spacing w:after="0" w:line="276" w:lineRule="auto"/>
        <w:ind w:firstLine="425"/>
        <w:jc w:val="both"/>
      </w:pPr>
      <w:r>
        <w:rPr/>
        <w:t xml:space="preserve">Attorno a </w:t>
      </w:r>
      <w:r>
        <w:rPr>
          <w:b/>
        </w:rPr>
        <w:t xml:space="preserve">via Fani</w:t>
      </w:r>
      <w:r>
        <w:rPr/>
        <w:t xml:space="preserve"> il primo anello raccoglie il nome della vittima, le Brigate Rosse, la Polizia, la Questura di Roma, i Servizi, il Ministero e i nomi di Moretti e di via Gradoli. Attorno alle </w:t>
      </w:r>
      <w:r>
        <w:rPr>
          <w:b/>
        </w:rPr>
        <w:t xml:space="preserve">Brigate Rosse</w:t>
      </w:r>
      <w:r>
        <w:rPr/>
        <w:t xml:space="preserve"> l’anello si allarga alle sedi delle colonne — Milano, Torino, Firenze, Genova — e include i nomi di Franceschini, dei Carabinieri e di Feltrinelli, quest’ultimo per la trattazione delle origini dell’organizzazione e non per la vicenda Moro.</w:t>
      </w:r>
    </w:p>
    <w:p>
      <w:pPr>
        <w:spacing w:before="240" w:after="120" w:line="276" w:lineRule="auto"/>
        <w:jc w:val="left"/>
      </w:pPr>
      <w:r>
        <w:rPr>
          <w:b/>
          <w:sz w:val="24"/>
          <w:szCs w:val="24"/>
        </w:rPr>
        <w:t xml:space="preserve">Anello degli esecutori e il nucleo di via Gradoli</w:t>
      </w:r>
    </w:p>
    <w:p>
      <w:pPr>
        <w:spacing w:after="0" w:line="276" w:lineRule="auto"/>
        <w:ind w:firstLine="425"/>
        <w:jc w:val="both"/>
      </w:pPr>
      <w:r>
        <w:rPr/>
        <w:t xml:space="preserve">L’anello di </w:t>
      </w:r>
      <w:r>
        <w:rPr>
          <w:b/>
        </w:rPr>
        <w:t xml:space="preserve">Mario Moretti</w:t>
      </w:r>
      <w:r>
        <w:rPr/>
        <w:t xml:space="preserve"> comprende Curcio, Morucci, Gallinari, via Gradoli, via Montalcini e Franceschini. L’anello di </w:t>
      </w:r>
      <w:r>
        <w:rPr>
          <w:b/>
        </w:rPr>
        <w:t xml:space="preserve">Valerio Morucci</w:t>
      </w:r>
      <w:r>
        <w:rPr/>
        <w:t xml:space="preserve"> e quello di </w:t>
      </w:r>
      <w:r>
        <w:rPr>
          <w:b/>
        </w:rPr>
        <w:t xml:space="preserve">Adriana Faranda</w:t>
      </w:r>
      <w:r>
        <w:rPr/>
        <w:t xml:space="preserve"> condividono un medesimo nucleo di grande interesse: entrambi hanno come vicino di primo grado, con la più alta dispersione fra le fonti, il nome di </w:t>
      </w:r>
      <w:r>
        <w:rPr>
          <w:b/>
        </w:rPr>
        <w:t xml:space="preserve">Giuliana Conforto</w:t>
      </w:r>
      <w:r>
        <w:rPr/>
        <w:t xml:space="preserve">, insieme a viale Giulio Cesare, a Potere Operaio, all’area dell’autonomia e al nome di Piperno. Questa ricorrenza non è un artefatto: la lettura di pagina accerta che Morucci e Faranda furono arrestati il ventinove maggio millenovecentosettantanove nell’appartamento di viale Giulio Cesare intestato a Giuliana Conforto, e che in quell’appartamento fu rinvenuta la mitraglietta con la quale Aldo Moro era stato ucciso — </w:t>
      </w:r>
      <w:r>
        <w:rPr>
          <w:b/>
        </w:rPr>
        <w:t xml:space="preserve">Livello A</w:t>
      </w:r>
      <w:r>
        <w:rPr/>
        <w:t xml:space="preserve">. Il medesimo anello reca il nome di </w:t>
      </w:r>
      <w:r>
        <w:rPr>
          <w:b/>
        </w:rPr>
        <w:t xml:space="preserve">Giorgio Conforto</w:t>
      </w:r>
      <w:r>
        <w:rPr/>
        <w:t xml:space="preserve">, padre della locataria, la cui qualità di soggetto con lungo passato di collaborazione con servizi informativi è riferita nelle fonti; il Registro classifica </w:t>
      </w:r>
      <w:r>
        <w:rPr>
          <w:b/>
        </w:rPr>
        <w:t xml:space="preserve">Livello B</w:t>
      </w:r>
      <w:r>
        <w:rPr/>
        <w:t xml:space="preserve"> la circostanza della relazione familiare e dell’ospitalità, e </w:t>
      </w:r>
      <w:r>
        <w:rPr>
          <w:b/>
        </w:rPr>
        <w:t xml:space="preserve">Livello C</w:t>
      </w:r>
      <w:r>
        <w:rPr/>
        <w:t xml:space="preserve"> ogni inferenza che da essa tragga un ruolo operativo nella vicenda, ivi comprese le valutazioni rese in sede parlamentare da singoli componenti, che sono opinioni di commissari e non accertamenti della Commissione.</w:t>
      </w:r>
    </w:p>
    <w:p>
      <w:pPr>
        <w:spacing w:after="0" w:line="276" w:lineRule="auto"/>
        <w:ind w:firstLine="425"/>
        <w:jc w:val="both"/>
      </w:pPr>
      <w:r>
        <w:rPr/>
        <w:t xml:space="preserve">L’anello di </w:t>
      </w:r>
      <w:r>
        <w:rPr>
          <w:b/>
        </w:rPr>
        <w:t xml:space="preserve">via Gradoli</w:t>
      </w:r>
      <w:r>
        <w:rPr/>
        <w:t xml:space="preserve"> reca, accanto ai nomi già detti, quello di </w:t>
      </w:r>
      <w:r>
        <w:rPr>
          <w:b/>
        </w:rPr>
        <w:t xml:space="preserve">Luciana Bozzi</w:t>
      </w:r>
      <w:r>
        <w:rPr/>
        <w:t xml:space="preserve">, titolare dell’appartamento. La lettura di pagina accerta che una segnalazione della Questura di Genova a quella di Roma del ventinove giugno millenovecentosettantanove riferì il rapporto di conoscenza fra la titolare dell’appartamento di via Gradoli e la locataria di viale Giulio Cesare, maturato in ambito di ricerca scientifica presso un medesimo centro — </w:t>
      </w:r>
      <w:r>
        <w:rPr>
          <w:b/>
        </w:rPr>
        <w:t xml:space="preserve">Livello B</w:t>
      </w:r>
      <w:r>
        <w:rPr/>
        <w:t xml:space="preserve">, trattandosi di atto di polizia riferito in fonte secondaria e non ancora acquisito in originale. Il Registro registra la circostanza e si astiene dall’inferenza: che due appartamenti connessi alla vicenda facessero capo a persone che si conoscevano è dato notevole e da verificare, non conclusione.</w:t>
      </w:r>
    </w:p>
    <w:p>
      <w:pPr>
        <w:spacing w:after="0" w:line="276" w:lineRule="auto"/>
        <w:ind w:firstLine="425"/>
        <w:jc w:val="both"/>
      </w:pPr>
      <w:r>
        <w:rPr/>
        <w:t xml:space="preserve">L’anello di </w:t>
      </w:r>
      <w:r>
        <w:rPr>
          <w:b/>
        </w:rPr>
        <w:t xml:space="preserve">via Montalcini</w:t>
      </w:r>
      <w:r>
        <w:rPr/>
        <w:t xml:space="preserve"> reca i nomi di Braghetti, di Moretti, della Magliana, dell’autovettura utilizzata, di via Caetani, di Monte Nevoso e di </w:t>
      </w:r>
      <w:r>
        <w:rPr>
          <w:b/>
        </w:rPr>
        <w:t xml:space="preserve">Germano Maccari</w:t>
      </w:r>
      <w:r>
        <w:rPr/>
        <w:t xml:space="preserve">, brigatista la cui presenza nell’appartamento fu accertata soltanto in epoca successiva alle prime ricostruzioni — </w:t>
      </w:r>
      <w:r>
        <w:rPr>
          <w:b/>
        </w:rPr>
        <w:t xml:space="preserve">Livello A</w:t>
      </w:r>
      <w:r>
        <w:rPr/>
        <w:t xml:space="preserve"> quanto alla sua partecipazione, e circostanza di rilievo metodologico primario, poiché dimostra che una ricostruzione lungamente ritenuta completa era incompleta su un punto non marginale.</w:t>
      </w:r>
    </w:p>
    <w:p>
      <w:pPr>
        <w:spacing w:before="240" w:after="120" w:line="276" w:lineRule="auto"/>
        <w:jc w:val="left"/>
      </w:pPr>
      <w:r>
        <w:rPr>
          <w:b/>
          <w:sz w:val="24"/>
          <w:szCs w:val="24"/>
        </w:rPr>
        <w:t xml:space="preserve">Anello dei luoghi terminali e la questione dell’appunto telefonico</w:t>
      </w:r>
    </w:p>
    <w:p>
      <w:pPr>
        <w:spacing w:after="0" w:line="276" w:lineRule="auto"/>
        <w:ind w:firstLine="425"/>
        <w:jc w:val="both"/>
      </w:pPr>
      <w:r>
        <w:rPr/>
        <w:t xml:space="preserve">L’anello di </w:t>
      </w:r>
      <w:r>
        <w:rPr>
          <w:b/>
        </w:rPr>
        <w:t xml:space="preserve">via Caetani</w:t>
      </w:r>
      <w:r>
        <w:rPr/>
        <w:t xml:space="preserve"> reca, oltre ai nomi attesi, due voci che il lessico-seme non conteneva: </w:t>
      </w:r>
      <w:r>
        <w:rPr>
          <w:b/>
        </w:rPr>
        <w:t xml:space="preserve">Palazzo Orsini</w:t>
      </w:r>
      <w:r>
        <w:rPr/>
        <w:t xml:space="preserve"> e l’</w:t>
      </w:r>
      <w:r>
        <w:rPr>
          <w:b/>
        </w:rPr>
        <w:t xml:space="preserve">Immobiliare Savellia</w:t>
      </w:r>
      <w:r>
        <w:rPr/>
        <w:t xml:space="preserve">. La lettura di pagina accerta, su fonte parlamentare, che fra il materiale rinvenuto in via Gradoli il diciotto aprile millenovecentosettantotto figurava un appunto manoscritto recante un’utenza telefonica corrispondente a quella di una società immobiliare con sede in un palazzo storico non lontano dal luogo del ritrovamento del corpo — </w:t>
      </w:r>
      <w:r>
        <w:rPr>
          <w:b/>
        </w:rPr>
        <w:t xml:space="preserve">Livello B</w:t>
      </w:r>
      <w:r>
        <w:rPr/>
        <w:t xml:space="preserve">, in quanto asserzione contenuta in elaborato di Commissione parlamentare. La medesima fonte formula, e il Registro riporta qualificandola, la supposizione che l’ultima detenzione possa essersi svolta in quel palazzo: si tratta, nel lessico della fonte stessa, di presupposizione, e resta di </w:t>
      </w:r>
      <w:r>
        <w:rPr>
          <w:b/>
        </w:rPr>
        <w:t xml:space="preserve">Livello C</w:t>
      </w:r>
      <w:r>
        <w:rPr/>
        <w:t xml:space="preserve">. Il Registro osserva che l’appunto è dato documentale forte e la supposizione è inferenza debole, e che la loro contiguità nella medesima pagina non trasferisce la forza del primo alla seconda.</w:t>
      </w:r>
    </w:p>
    <w:p>
      <w:pPr>
        <w:spacing w:after="0" w:line="276" w:lineRule="auto"/>
        <w:ind w:firstLine="425"/>
        <w:jc w:val="both"/>
      </w:pPr>
      <w:r>
        <w:rPr/>
        <w:t xml:space="preserve">L’anello del </w:t>
      </w:r>
      <w:r>
        <w:rPr>
          <w:b/>
        </w:rPr>
        <w:t xml:space="preserve">lago della Duchessa</w:t>
      </w:r>
      <w:r>
        <w:rPr/>
        <w:t xml:space="preserve"> e quello del </w:t>
      </w:r>
      <w:r>
        <w:rPr>
          <w:b/>
        </w:rPr>
        <w:t xml:space="preserve">comunicato apocrifo</w:t>
      </w:r>
      <w:r>
        <w:rPr/>
        <w:t xml:space="preserve"> convergono sul nome di </w:t>
      </w:r>
      <w:r>
        <w:rPr>
          <w:b/>
        </w:rPr>
        <w:t xml:space="preserve">Antonio Chichiarelli</w:t>
      </w:r>
      <w:r>
        <w:rPr/>
        <w:t xml:space="preserve">, falsario, cui la confezione del falso è attribuita — </w:t>
      </w:r>
      <w:r>
        <w:rPr>
          <w:b/>
        </w:rPr>
        <w:t xml:space="preserve">Livello B</w:t>
      </w:r>
      <w:r>
        <w:rPr/>
        <w:t xml:space="preserve">. L’anello del </w:t>
      </w:r>
      <w:r>
        <w:rPr>
          <w:b/>
        </w:rPr>
        <w:t xml:space="preserve">lago</w:t>
      </w:r>
      <w:r>
        <w:rPr/>
        <w:t xml:space="preserve"> reca inoltre i nomi di esponenti della banda della Magliana, e quello della </w:t>
      </w:r>
      <w:r>
        <w:rPr>
          <w:b/>
        </w:rPr>
        <w:t xml:space="preserve">seduta spiritica</w:t>
      </w:r>
      <w:r>
        <w:rPr/>
        <w:t xml:space="preserve"> reca, con la più alta ricorrenza, il nome di via Gradoli, insieme alla località emiliana ove la riunione si tenne. La contiguità fra questi anelli e la coincidenza temporale del diciotto aprile è la maggiore concentrazione di anomalie dell’intera vicenda: il Registro la iscrive come questione aperta e ribadisce che nessuna delle letture concorrenti supera il </w:t>
      </w:r>
      <w:r>
        <w:rPr>
          <w:b/>
        </w:rPr>
        <w:t xml:space="preserve">Livello C</w:t>
      </w:r>
      <w:r>
        <w:rPr/>
        <w:t xml:space="preserve">.</w:t>
      </w:r>
    </w:p>
    <w:p>
      <w:pPr>
        <w:spacing w:before="240" w:after="120" w:line="276" w:lineRule="auto"/>
        <w:jc w:val="left"/>
      </w:pPr>
      <w:r>
        <w:rPr>
          <w:b/>
          <w:sz w:val="24"/>
          <w:szCs w:val="24"/>
        </w:rPr>
        <w:t xml:space="preserve">Anello degli apparati e delle mediazioni</w:t>
      </w:r>
    </w:p>
    <w:p>
      <w:pPr>
        <w:spacing w:after="0" w:line="276" w:lineRule="auto"/>
        <w:ind w:firstLine="425"/>
        <w:jc w:val="both"/>
      </w:pPr>
      <w:r>
        <w:rPr/>
        <w:t xml:space="preserve">L’anello del </w:t>
      </w:r>
      <w:r>
        <w:rPr>
          <w:b/>
        </w:rPr>
        <w:t xml:space="preserve">comitato di crisi</w:t>
      </w:r>
      <w:r>
        <w:rPr/>
        <w:t xml:space="preserve"> è, per numero di vicini, il più povero dell’intera estrazione, e questo è esso stesso un dato: la struttura che avrebbe dovuto essere il centro nervoso della gestione è, nelle fonti, la meno documentata nei suoi rapporti. Il solo vicino che superi la soglia è il nome di </w:t>
      </w:r>
      <w:r>
        <w:rPr>
          <w:b/>
        </w:rPr>
        <w:t xml:space="preserve">Franco Ferracuti</w:t>
      </w:r>
      <w:r>
        <w:rPr/>
        <w:t xml:space="preserve">, criminologo e psichiatra che ne fu consulente e la cui appartenenza alla loggia oggetto della relazione parlamentare è documentata — </w:t>
      </w:r>
      <w:r>
        <w:rPr>
          <w:b/>
        </w:rPr>
        <w:t xml:space="preserve">Livello B</w:t>
      </w:r>
      <w:r>
        <w:rPr/>
        <w:t xml:space="preserve">. La povertà di questo anello va letta insieme al buco strutturale già iscritto nel quinto Pattern, e conferma che la circolazione interna dell’informazione fra struttura di crisi e reparti operativi è, allo stato del corpus, la maggiore zona d’ombra documentale del caso.</w:t>
      </w:r>
    </w:p>
    <w:p>
      <w:pPr>
        <w:spacing w:after="0" w:line="276" w:lineRule="auto"/>
        <w:ind w:firstLine="425"/>
        <w:jc w:val="both"/>
      </w:pPr>
      <w:r>
        <w:rPr/>
        <w:t xml:space="preserve">L’anello del consulente straniero reca i nomi del Ministero, del Viminale, del comitato, di Gelli e di Kissinger. La compresenza di questi nomi entro le medesime finestre non attesta alcuna relazione fra i loro portatori: attesta che le fonti li trattano nel medesimo contesto argomentativo, e la fonte che più contribuisce a questa compresenza è la monografia tesistica già qualificata nell’Indice di Contaminazione. </w:t>
      </w:r>
      <w:r>
        <w:rPr>
          <w:b/>
        </w:rPr>
        <w:t xml:space="preserve">Livello C</w:t>
      </w:r>
      <w:r>
        <w:rPr/>
        <w:t xml:space="preserve"> in quanto legame, senza eccezioni.</w:t>
      </w:r>
    </w:p>
    <w:p>
      <w:pPr>
        <w:spacing w:after="0" w:line="276" w:lineRule="auto"/>
        <w:ind w:firstLine="425"/>
        <w:jc w:val="both"/>
      </w:pPr>
      <w:r>
        <w:rPr/>
        <w:t xml:space="preserve">L’anello del canale ecclesiastico reca i nomi dell’istituto vaticano, della Santa Sede, del segretario particolare del Pontefice e di un ex parlamentare che ne riferì in sede di audizione. Il Registro conferma la classificazione già data: </w:t>
      </w:r>
      <w:r>
        <w:rPr>
          <w:b/>
        </w:rPr>
        <w:t xml:space="preserve">Livello A</w:t>
      </w:r>
      <w:r>
        <w:rPr/>
        <w:t xml:space="preserve"> per l’iniziativa personale del Pontefice, </w:t>
      </w:r>
      <w:r>
        <w:rPr>
          <w:b/>
        </w:rPr>
        <w:t xml:space="preserve">Livello B</w:t>
      </w:r>
      <w:r>
        <w:rPr/>
        <w:t xml:space="preserve"> per l’esistenza del canale, </w:t>
      </w:r>
      <w:r>
        <w:rPr>
          <w:b/>
        </w:rPr>
        <w:t xml:space="preserve">Livello C</w:t>
      </w:r>
      <w:r>
        <w:rPr/>
        <w:t xml:space="preserve"> per la sua estensione e i suoi contenuti.</w:t>
      </w:r>
    </w:p>
    <w:p>
      <w:pPr>
        <w:spacing w:before="240" w:after="120" w:line="276" w:lineRule="auto"/>
        <w:jc w:val="left"/>
      </w:pPr>
      <w:r>
        <w:rPr>
          <w:b/>
          <w:sz w:val="24"/>
          <w:szCs w:val="24"/>
        </w:rPr>
        <w:t xml:space="preserve">Anello della criminalità organizzata e del canale calabrese</w:t>
      </w:r>
    </w:p>
    <w:p>
      <w:pPr>
        <w:spacing w:after="0" w:line="276" w:lineRule="auto"/>
        <w:ind w:firstLine="425"/>
        <w:jc w:val="both"/>
      </w:pPr>
      <w:r>
        <w:rPr/>
        <w:t xml:space="preserve">L’anello della </w:t>
      </w:r>
      <w:r>
        <w:rPr>
          <w:b/>
        </w:rPr>
        <w:t xml:space="preserve">banda della Magliana</w:t>
      </w:r>
      <w:r>
        <w:rPr/>
        <w:t xml:space="preserve"> è il più popolato dell’intera estrazione dopo quelli dei nodi centrali, e reca i nomi dei suoi esponenti storici, del falsario, del giornalista poi ucciso e di via Montalcini. La ricorrenza di quest’ultima è la voce da sottoporre a istruttoria prioritaria, poiché una prossimità fra la sede della prigione e il gruppo criminale romano, se documentata da atto e non da ricostruzione, muterebbe il quadro di più asserzioni; allo stato è </w:t>
      </w:r>
      <w:r>
        <w:rPr>
          <w:b/>
        </w:rPr>
        <w:t xml:space="preserve">Livello C</w:t>
      </w:r>
      <w:r>
        <w:rPr/>
        <w:t xml:space="preserve">.</w:t>
      </w:r>
    </w:p>
    <w:p>
      <w:pPr>
        <w:spacing w:after="0" w:line="276" w:lineRule="auto"/>
        <w:ind w:firstLine="425"/>
        <w:jc w:val="both"/>
      </w:pPr>
      <w:r>
        <w:rPr/>
        <w:t xml:space="preserve">L’anello del nodo calabrese reca il nome del collaboratore che rese la dichiarazione accusatoria, quello di un ufficiale dei carabinieri operante in quell’area, e i nomi di un collaboratore politico della vittima e di un parlamentare calabrese. La lettura di pagina accerta, su fonte parlamentare, l’esistenza agli atti di una registrazione e della relativa trascrizione di una conversazione telefonica fra i due ultimi, e la circostanza che una fotografia scattata in via Fani la mattina del sequestro non risulti negli atti dell’istruttoria — </w:t>
      </w:r>
      <w:r>
        <w:rPr>
          <w:b/>
        </w:rPr>
        <w:t xml:space="preserve">Livello B</w:t>
      </w:r>
      <w:r>
        <w:rPr/>
        <w:t xml:space="preserve"> entrambe, in quanto contenute in elaborato di Commissione. La medesima fonte qualifica però la pista della presenza costante della malavita come contraddittoria e confusa e dichiara di doversi limitare alla citazione delle circostanze di fatto: il Registro recepisce integralmente questa cautela e la fa propria.</w:t>
      </w:r>
    </w:p>
    <w:p>
      <w:pPr>
        <w:spacing w:before="240" w:after="120" w:line="276" w:lineRule="auto"/>
        <w:jc w:val="left"/>
      </w:pPr>
      <w:r>
        <w:rPr>
          <w:b/>
          <w:sz w:val="24"/>
          <w:szCs w:val="24"/>
        </w:rPr>
        <w:t xml:space="preserve">Anello di Hyperion e della rete parigina</w:t>
      </w:r>
    </w:p>
    <w:p>
      <w:pPr>
        <w:spacing w:after="0" w:line="276" w:lineRule="auto"/>
        <w:ind w:firstLine="425"/>
        <w:jc w:val="both"/>
      </w:pPr>
      <w:r>
        <w:rPr/>
        <w:t xml:space="preserve">L’anello dell’istituto parigino reca i nomi di Parigi, del gruppo che ne costituì il precedente, della Francia, dei tre fondatori, di magistrati che ne trattarono e di Moretti. La lettura di pagina accerta che i fondatori furono auditi in sede parlamentare e che magistrati sostennero l’esistenza di una gravitazione dell’istituto in ambiti non meramente culturali — </w:t>
      </w:r>
      <w:r>
        <w:rPr>
          <w:b/>
        </w:rPr>
        <w:t xml:space="preserve">Livello B</w:t>
      </w:r>
      <w:r>
        <w:rPr/>
        <w:t xml:space="preserve"> quanto all’esistenza dell’istituto, alla sua fondazione e alle audizioni; </w:t>
      </w:r>
      <w:r>
        <w:rPr>
          <w:b/>
        </w:rPr>
        <w:t xml:space="preserve">Livello C</w:t>
      </w:r>
      <w:r>
        <w:rPr/>
        <w:t xml:space="preserve"> quanto alla qualificazione dell’istituto come centrale operativa e quanto a ogni catena di comando che ne discenda. Il Registro segnala che la fonte più assertiva su questo punto è la monografia tesistica, e che le sue affermazioni in materia — ivi compresa l’attribuzione a uno dei fondatori della qualità di capo effettivo di un dirigente dell’organizzazione armata — non trovano nel corpus riscontro di livello superiore.</w:t>
      </w:r>
    </w:p>
    <w:p>
      <w:pPr>
        <w:spacing w:before="240" w:after="120" w:line="276" w:lineRule="auto"/>
        <w:jc w:val="left"/>
      </w:pPr>
      <w:r>
        <w:rPr>
          <w:b/>
          <w:sz w:val="24"/>
          <w:szCs w:val="24"/>
        </w:rPr>
        <w:t xml:space="preserve">Una serie da non costruire: avvertenza sul ragionamento per elenco</w:t>
      </w:r>
    </w:p>
    <w:p>
      <w:pPr>
        <w:spacing w:after="0" w:line="276" w:lineRule="auto"/>
        <w:ind w:firstLine="425"/>
        <w:jc w:val="both"/>
      </w:pPr>
      <w:r>
        <w:rPr/>
        <w:t xml:space="preserve">Il Primo Anello fa emergere, in più fonti, una costruzione narrativa che il Registro deve isolare e qualificare perché costituisce l’esempio più istruttivo di fallacia presente nel corpus: l’elenco di coloro che, avendo avuto accesso alle carte rinvenute a Milano, sarebbero stati successivamente uccisi o sarebbero morti in circostanze anomale. L’elenco accosta un giornalista ucciso nel millenovecentosettantanove, un ufficiale ucciso nello stesso anno, un avvocato ucciso pochi giorni dopo, un generale ucciso nel millenovecentottanta, un generale ucciso nel millenovecentottantadue, un falsario ucciso, e altri.</w:t>
      </w:r>
    </w:p>
    <w:p>
      <w:pPr>
        <w:spacing w:after="0" w:line="276" w:lineRule="auto"/>
        <w:ind w:firstLine="425"/>
        <w:jc w:val="both"/>
      </w:pPr>
      <w:r>
        <w:rPr/>
        <w:t xml:space="preserve">La costruzione va respinta nella sua forma di elenco, e per ragioni che appartengono al metodo e non all’opinione. Primo: essa è </w:t>
      </w:r>
      <w:r>
        <w:rPr>
          <w:b/>
        </w:rPr>
        <w:t xml:space="preserve">costruita retrospettivamente selezionando i morti e omettendo i vivi</w:t>
      </w:r>
      <w:r>
        <w:rPr/>
        <w:t xml:space="preserve">, ossia praticando esattamente l’inferenza che Popper e Russell dichiarano illecita — si contano le conferme e non si contano le smentite, mentre il numero di persone che ebbero accesso a quelle carte e non subirono alcunché non è mai enunciato. Secondo: essa </w:t>
      </w:r>
      <w:r>
        <w:rPr>
          <w:b/>
        </w:rPr>
        <w:t xml:space="preserve">presuppone la causa nel raggruppamento</w:t>
      </w:r>
      <w:r>
        <w:rPr/>
        <w:t xml:space="preserve">, poiché almeno una delle uccisioni elencate ha una causale accertata e del tutto estranea alla vicenda, essendo riconducibile alla liquidazione di un istituto bancario, e la sua inclusione nell’elenco è possibile solo ignorando l’accertamento che la riguarda. Terzo: essa </w:t>
      </w:r>
      <w:r>
        <w:rPr>
          <w:b/>
        </w:rPr>
        <w:t xml:space="preserve">confonde la contiguità di elenco con il nesso</w:t>
      </w:r>
      <w:r>
        <w:rPr/>
        <w:t xml:space="preserve">, che è la definizione stessa dell’artefatto.</w:t>
      </w:r>
    </w:p>
    <w:p>
      <w:pPr>
        <w:spacing w:after="0" w:line="276" w:lineRule="auto"/>
        <w:ind w:firstLine="425"/>
        <w:jc w:val="both"/>
      </w:pPr>
      <w:r>
        <w:rPr/>
        <w:t xml:space="preserve">Il Registro non nega che singole morti fra quelle elencate presentino aspetti irrisolti, e alcune ne presentano; afferma che la loro </w:t>
      </w:r>
      <w:r>
        <w:rPr>
          <w:b/>
        </w:rPr>
        <w:t xml:space="preserve">serializzazione</w:t>
      </w:r>
      <w:r>
        <w:rPr/>
        <w:t xml:space="preserve"> non è un argomento, e che ciascuna va istruita separatamente, con la propria causale e il proprio livello. La voce entra dunque nel Primo Anello come cronaca di ciò che le fonti scrivono, con la qualificazione di </w:t>
      </w:r>
      <w:r>
        <w:rPr>
          <w:b/>
        </w:rPr>
        <w:t xml:space="preserve">inferenza non ammessa</w:t>
      </w:r>
      <w:r>
        <w:rPr/>
        <w:t xml:space="preserve">, e nessun elemento di essa è impiegato dal Registro a sostegno di alcuna ipotesi.</w:t>
      </w:r>
    </w:p>
    <w:p>
      <w:pPr>
        <w:spacing w:before="240" w:after="120" w:line="276" w:lineRule="auto"/>
        <w:jc w:val="left"/>
      </w:pPr>
      <w:r>
        <w:rPr>
          <w:b/>
          <w:sz w:val="24"/>
          <w:szCs w:val="24"/>
        </w:rPr>
        <w:t xml:space="preserve">Nodi nuovi ammessi al Registro dei nodi</w:t>
      </w:r>
    </w:p>
    <w:p>
      <w:pPr>
        <w:spacing w:after="0" w:line="276" w:lineRule="auto"/>
        <w:ind w:firstLine="425"/>
        <w:jc w:val="both"/>
      </w:pPr>
      <w:r>
        <w:rPr/>
        <w:t xml:space="preserve">Dall’estrazione del Primo Anello sono ammessi al Registro dei nodi, con i livelli qui indicati e con la riserva di istruttoria di pagina per quelli non ancora letti, i seguenti: Giuliana Conforto e l’appartamento di viale Giulio Cesare, </w:t>
      </w:r>
      <w:r>
        <w:rPr>
          <w:b/>
        </w:rPr>
        <w:t xml:space="preserve">Livello A</w:t>
      </w:r>
      <w:r>
        <w:rPr/>
        <w:t xml:space="preserve"> quanto all’arresto e al rinvenimento dell’arma; Giorgio Conforto, </w:t>
      </w:r>
      <w:r>
        <w:rPr>
          <w:b/>
        </w:rPr>
        <w:t xml:space="preserve">Livello B</w:t>
      </w:r>
      <w:r>
        <w:rPr/>
        <w:t xml:space="preserve"> quanto alla relazione e all’ospitalità, </w:t>
      </w:r>
      <w:r>
        <w:rPr>
          <w:b/>
        </w:rPr>
        <w:t xml:space="preserve">Livello C</w:t>
      </w:r>
      <w:r>
        <w:rPr/>
        <w:t xml:space="preserve"> quanto al ruolo; Luciana Bozzi e la titolarità dell’appartamento di via Gradoli, </w:t>
      </w:r>
      <w:r>
        <w:rPr>
          <w:b/>
        </w:rPr>
        <w:t xml:space="preserve">Livello B</w:t>
      </w:r>
      <w:r>
        <w:rPr/>
        <w:t xml:space="preserve">; Germano Maccari, </w:t>
      </w:r>
      <w:r>
        <w:rPr>
          <w:b/>
        </w:rPr>
        <w:t xml:space="preserve">Livello A</w:t>
      </w:r>
      <w:r>
        <w:rPr/>
        <w:t xml:space="preserve">; l’appunto telefonico rinvenuto in via Gradoli e la società immobiliare cui l’utenza faceva capo, </w:t>
      </w:r>
      <w:r>
        <w:rPr>
          <w:b/>
        </w:rPr>
        <w:t xml:space="preserve">Livello B</w:t>
      </w:r>
      <w:r>
        <w:rPr/>
        <w:t xml:space="preserve">; il falsario cui è attribuito il comunicato apocrifo, </w:t>
      </w:r>
      <w:r>
        <w:rPr>
          <w:b/>
        </w:rPr>
        <w:t xml:space="preserve">Livello B</w:t>
      </w:r>
      <w:r>
        <w:rPr/>
        <w:t xml:space="preserve">; il criminologo consulente della struttura di crisi, </w:t>
      </w:r>
      <w:r>
        <w:rPr>
          <w:b/>
        </w:rPr>
        <w:t xml:space="preserve">Livello B</w:t>
      </w:r>
      <w:r>
        <w:rPr/>
        <w:t xml:space="preserve">; il collaboratore politico della vittima e il parlamentare calabrese, con la conversazione telefonica agli atti, </w:t>
      </w:r>
      <w:r>
        <w:rPr>
          <w:b/>
        </w:rPr>
        <w:t xml:space="preserve">Livello B</w:t>
      </w:r>
      <w:r>
        <w:rPr/>
        <w:t xml:space="preserve">; i tre fondatori dell’istituto parigino, </w:t>
      </w:r>
      <w:r>
        <w:rPr>
          <w:b/>
        </w:rPr>
        <w:t xml:space="preserve">Livello B</w:t>
      </w:r>
      <w:r>
        <w:rPr/>
        <w:t xml:space="preserve"> quanto alla fondazione e alle audizioni; gli esponenti della banda della Magliana ricorrenti negli anelli, </w:t>
      </w:r>
      <w:r>
        <w:rPr>
          <w:b/>
        </w:rPr>
        <w:t xml:space="preserve">Livello B</w:t>
      </w:r>
      <w:r>
        <w:rPr/>
        <w:t xml:space="preserve"> quanto all’esistenza e ai profili, </w:t>
      </w:r>
      <w:r>
        <w:rPr>
          <w:b/>
        </w:rPr>
        <w:t xml:space="preserve">Livello C</w:t>
      </w:r>
      <w:r>
        <w:rPr/>
        <w:t xml:space="preserve"> quanto a ogni loro rapporto con la vicenda; l’arma impiegata nell’omicidio e il suo rinvenimento, </w:t>
      </w:r>
      <w:r>
        <w:rPr>
          <w:b/>
        </w:rPr>
        <w:t xml:space="preserve">Livello A</w:t>
      </w:r>
      <w:r>
        <w:rPr/>
        <w:t xml:space="preserve">.</w:t>
      </w:r>
    </w:p>
    <w:p>
      <w:pPr>
        <w:spacing w:before="240" w:after="120" w:line="276" w:lineRule="auto"/>
        <w:jc w:val="left"/>
      </w:pPr>
      <w:r>
        <w:rPr>
          <w:b/>
          <w:sz w:val="24"/>
          <w:szCs w:val="24"/>
        </w:rPr>
        <w:t xml:space="preserve">Assegnazioni alla Camera Istruttoria</w:t>
      </w:r>
    </w:p>
    <w:p>
      <w:pPr>
        <w:spacing w:after="0" w:line="276" w:lineRule="auto"/>
        <w:ind w:firstLine="425"/>
        <w:jc w:val="both"/>
      </w:pPr>
      <w:r>
        <w:rPr/>
        <w:t xml:space="preserve">Dal Primo Anello discendono per la Camera Istruttoria le seguenti assegnazioni, in ordine di priorità. Prima: la prossimità fra via Montalcini e il gruppo criminale romano, da risolvere per atto o da espungere. Seconda: l’appunto telefonico di via Gradoli, da risalire all’atto di sequestro e da separare nettamente dalla supposizione che vi è stata accostata. Terza: la relazione fra le titolari dei due appartamenti, da acquisire nell’atto di polizia originale. Quarta: la posizione dei fondatori dell’istituto parigino, da leggere nei verbali di audizione una volta convertito il materiale stenografico. Quinta: la verifica sistematica di ogni asserzione che nel Primo Anello poggi unicamente sulla monografia tesistica. Sesta: l’istruttoria separata di ciascuna delle morti indebitamente serializzate, con divieto di trattarle come serie.</w:t>
      </w:r>
    </w:p>
    <w:p>
      <w:pPr>
        <w:pageBreakBefore/>
        <w:spacing w:before="240" w:after="120" w:line="276" w:lineRule="auto"/>
        <w:jc w:val="left"/>
      </w:pPr>
      <w:r>
        <w:rPr>
          <w:b/>
          <w:sz w:val="28"/>
          <w:szCs w:val="28"/>
        </w:rPr>
        <w:t xml:space="preserve">COLOPHON DELL’EDIZIONE SECONDA</w:t>
      </w:r>
    </w:p>
    <w:p>
      <w:pPr>
        <w:spacing w:after="0" w:line="276" w:lineRule="auto"/>
        <w:ind w:firstLine="425"/>
        <w:jc w:val="both"/>
      </w:pPr>
      <w:r>
        <w:rPr/>
        <w:t xml:space="preserve">REGISTRO ANALITICO DEL CASO MORO, edizione seconda, con il Primo Anello di Prossimità,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quanto a catena probatoria, apparato e istruttoria, con dichiarazione espressa e misurata del limite di tale indipendenza sul piano materiale del corpus. Incorpora verbatim l’edizione prima; ogni edizione successiva conterrà verbatim la presente. Resta sovrana la Regola di Ferro: dove la fonte documenta, l’opera certifica; dove la fonte tace, l’opera indaga e non afferma. Autore e direttore dell’opera: Luigi De Michele.</w:t>
      </w:r>
    </w:p>
    <w:p>
      <w:pPr>
        <w:pageBreakBefore/>
        <w:spacing w:before="240" w:after="120" w:line="276" w:lineRule="auto"/>
        <w:jc w:val="left"/>
      </w:pPr>
      <w:r>
        <w:rPr>
          <w:b/>
          <w:sz w:val="28"/>
          <w:szCs w:val="28"/>
        </w:rPr>
        <w:t xml:space="preserve">PARTE DODICESIMA — IL SECONDO ANELLO DI PROSSIMITÀ</w:t>
      </w:r>
    </w:p>
    <w:p>
      <w:pPr>
        <w:spacing w:before="240" w:after="120" w:line="276" w:lineRule="auto"/>
        <w:jc w:val="left"/>
      </w:pPr>
      <w:r>
        <w:rPr>
          <w:b/>
          <w:sz w:val="24"/>
          <w:szCs w:val="24"/>
        </w:rPr>
        <w:t xml:space="preserve">Metodo dell’espansione e misura della deriva</w:t>
      </w:r>
    </w:p>
    <w:p>
      <w:pPr>
        <w:spacing w:after="0" w:line="276" w:lineRule="auto"/>
        <w:ind w:firstLine="425"/>
        <w:jc w:val="both"/>
      </w:pPr>
      <w:r>
        <w:rPr/>
        <w:t xml:space="preserve">Cinquanta nodi emersi nel Primo Anello sono stati assunti come semi di secondo grado, con esclusione dei termini geografici e istituzionali generici il cui anello misurerebbe soltanto la lingua delle fonti. Di essi quarantanove risultano attivi nel corpus. Per ciascuno si sono raccolte tutte le finestre di quattrocento caratteri e se ne sono estratti i vicini con le medesime soglie dell’anello primo — almeno tre ricorrenze in almeno due fonti — computando insieme, per ogni seme, la frazione delle finestre che contiene ancora un termine del caso. Questa frazione, dichiarata voce per voce, è la misura della deriva: essa distingue i semi che nelle fonti vivono dentro il caso da quelli che vi compaiono di passaggio, appartenendo ad altre vicende.</w:t>
      </w:r>
    </w:p>
    <w:p>
      <w:pPr>
        <w:spacing w:after="0" w:line="276" w:lineRule="auto"/>
        <w:ind w:firstLine="425"/>
        <w:jc w:val="both"/>
      </w:pPr>
      <w:r>
        <w:rPr/>
        <w:t xml:space="preserve">Il gradiente misurato è il primo risultato dell’espansione, e va enunciato prima di ogni contenuto. All’estremo superiore, con affinità piena o quasi piena, stanno i nodi materiali del sequestro: il quarto uomo della prigione, l’appunto immobiliare, il canale calabrese, il contratto di via Gradoli, il canale ecclesiastico, il borsista straniero. All’estremo inferiore, con affinità inferiore a un quinto, stanno la banda romana considerata in sé, le origini dell’organizzazione armata, i vertici degli apparati, il banchiere vaticano, i depistaggi successivi: mondi che toccano il caso ma non vi appartengono, e che il Secondo Anello registra come contesto e non come caso. Fra i due estremi corre la fascia intermedia, dove si concentrano le istruttorie più delicate. La lettura che segue procede per fasce di affinità decrescente, perché questo ordine — e non quello della suggestione — è l’ordine del metodo.</w:t>
      </w:r>
    </w:p>
    <w:p>
      <w:pPr>
        <w:spacing w:before="240" w:after="120" w:line="276" w:lineRule="auto"/>
        <w:jc w:val="left"/>
      </w:pPr>
      <w:r>
        <w:rPr>
          <w:b/>
          <w:sz w:val="24"/>
          <w:szCs w:val="24"/>
        </w:rPr>
        <w:t xml:space="preserve">Fascia superiore: i nodi che vivono dentro il caso</w:t>
      </w:r>
    </w:p>
    <w:p>
      <w:pPr>
        <w:spacing w:after="0" w:line="276" w:lineRule="auto"/>
        <w:ind w:firstLine="425"/>
        <w:jc w:val="both"/>
      </w:pPr>
      <w:r>
        <w:rPr>
          <w:b/>
        </w:rPr>
        <w:t xml:space="preserve">Il quarto uomo e il quinto nome.</w:t>
      </w:r>
      <w:r>
        <w:rPr/>
        <w:t xml:space="preserve"> L’anello di Germano Maccari, ad affinità piena, reca accanto ai nomi attesi quello di </w:t>
      </w:r>
      <w:r>
        <w:rPr>
          <w:b/>
        </w:rPr>
        <w:t xml:space="preserve">Raimondo Etro</w:t>
      </w:r>
      <w:r>
        <w:rPr/>
        <w:t xml:space="preserve">, brigatista, che il corpus documenta audito dalla seconda Commissione nel gennaio duemiladiciassette — </w:t>
      </w:r>
      <w:r>
        <w:rPr>
          <w:b/>
        </w:rPr>
        <w:t xml:space="preserve">Livello A</w:t>
      </w:r>
      <w:r>
        <w:rPr/>
        <w:t xml:space="preserve"> quanto alla qualità e all’audizione. La coppia Maccari–Etro ha un significato metodologico che eccede i due nomi: entrambe le partecipazioni furono accertate in epoca successiva alle ricostruzioni a lungo ritenute complete, e la loro emersione nel medesimo anello conferma dall’interno ciò che il Registro ha già iscritto — che il perimetro degli esecutori è stato un insieme aperto assai più a lungo di quanto il racconto canonico ammettesse, e che ogni argomento fondato sulla completezza di quel perimetro va maneggiato come provvisorio.</w:t>
      </w:r>
    </w:p>
    <w:p>
      <w:pPr>
        <w:spacing w:after="0" w:line="276" w:lineRule="auto"/>
        <w:ind w:firstLine="425"/>
        <w:jc w:val="both"/>
      </w:pPr>
      <w:r>
        <w:rPr>
          <w:b/>
        </w:rPr>
        <w:t xml:space="preserve">Il musicista e il nome del vicolo.</w:t>
      </w:r>
      <w:r>
        <w:rPr/>
        <w:t xml:space="preserve"> L’anello di Igor Markevitch, ad affinità piena, si risolve alla lettura di pagina in un caso esemplare di fonte che si autoqualifica, e il Registro lo tratta come modello. L’elaborato parlamentare sulla dimensione sovranazionale ne fissa i dati biografici — musicista di origine ucraina, già sposato con la nobildonna </w:t>
      </w:r>
      <w:r>
        <w:rPr>
          <w:b/>
        </w:rPr>
        <w:t xml:space="preserve">Topazia Caetani di Sermoneta</w:t>
      </w:r>
      <w:r>
        <w:rPr/>
        <w:t xml:space="preserve"> — e questi sono </w:t>
      </w:r>
      <w:r>
        <w:rPr>
          <w:b/>
        </w:rPr>
        <w:t xml:space="preserve">Livello B</w:t>
      </w:r>
      <w:r>
        <w:rPr/>
        <w:t xml:space="preserve"> in quanto attestati da fonte parlamentare. La medesima fonte riferisce che il personaggio è ritenuto da alcuni elemento di primo piano nella struttura verticistica dell’organizzazione, e che, stando a ulteriori riletture che la fonte stessa definisce </w:t>
      </w:r>
      <w:r>
        <w:rPr>
          <w:b/>
        </w:rPr>
        <w:t xml:space="preserve">suggestive</w:t>
      </w:r>
      <w:r>
        <w:rPr/>
        <w:t xml:space="preserve">, avrebbe predisposto e gestito gli interrogatori del prigioniero: la fonte, cioè, marca da sé la distanza fra il dato e la lettura. Il Registro recepisce integralmente questa marcatura: il matrimonio è un fatto; la coincidenza fra il cognome della consorte e il nome della via del ritrovamento è un ponte onomastico che spiega perché il nodo sia stato più volte tirato in ballo; la lettura che ne fa il regista degli interrogatori resta </w:t>
      </w:r>
      <w:r>
        <w:rPr>
          <w:b/>
        </w:rPr>
        <w:t xml:space="preserve">Livello C</w:t>
      </w:r>
      <w:r>
        <w:rPr/>
        <w:t xml:space="preserve">, e vi resterebbe anche se dieci fonti la ripetessero, poiché la ripetizione di una suggestione non è una seconda fonte.</w:t>
      </w:r>
    </w:p>
    <w:p>
      <w:pPr>
        <w:spacing w:after="0" w:line="276" w:lineRule="auto"/>
        <w:ind w:firstLine="425"/>
        <w:jc w:val="both"/>
      </w:pPr>
      <w:r>
        <w:rPr>
          <w:b/>
        </w:rPr>
        <w:t xml:space="preserve">L’appunto immobiliare e il giudice.</w:t>
      </w:r>
      <w:r>
        <w:rPr/>
        <w:t xml:space="preserve"> L’anello di secondo grado dell’Immobiliare Savellia e di Palazzo Orsini precisa i termini già iscritti — l’utenza corrispondente all’appunto manoscritto rinvenuto in via Gradoli, la sede in via di Monte Savello, la marchesa il cui acronimo figurava nell’appunto — tutti di </w:t>
      </w:r>
      <w:r>
        <w:rPr>
          <w:b/>
        </w:rPr>
        <w:t xml:space="preserve">Livello B</w:t>
      </w:r>
      <w:r>
        <w:rPr/>
        <w:t xml:space="preserve"> in quanto contenuti in elaborato parlamentare. Vi emerge inoltre il nome di </w:t>
      </w:r>
      <w:r>
        <w:rPr>
          <w:b/>
        </w:rPr>
        <w:t xml:space="preserve">Ernesto Cudillo</w:t>
      </w:r>
      <w:r>
        <w:rPr/>
        <w:t xml:space="preserve">, che la lettura di pagina restituisce, su fonte diversa, quale consigliere istruttore della sentenza-ordinanza del marzo millenovecentottantatré che prosciolse con ampia formula gli imputati del procedimento sulla loggia, sentenza che la relazione parlamentare sottopone a critica espressa — </w:t>
      </w:r>
      <w:r>
        <w:rPr>
          <w:b/>
        </w:rPr>
        <w:t xml:space="preserve">Livello A</w:t>
      </w:r>
      <w:r>
        <w:rPr/>
        <w:t xml:space="preserve"> quanto all’atto e alla critica. La ragione della prossimità fra questo nome e il palazzo non è stata ancora letta in pagina: il Registro la assegna alla Camera Istruttoria e non la anticipa, limitandosi a rilevare che il medesimo nome ricorre in due luoghi sensibili del corpus per ragioni che potrebbero essere due, e indipendenti.</w:t>
      </w:r>
    </w:p>
    <w:p>
      <w:pPr>
        <w:spacing w:after="0" w:line="276" w:lineRule="auto"/>
        <w:ind w:firstLine="425"/>
        <w:jc w:val="both"/>
      </w:pPr>
      <w:r>
        <w:rPr>
          <w:b/>
        </w:rPr>
        <w:t xml:space="preserve">Il canale calabrese al secondo grado.</w:t>
      </w:r>
      <w:r>
        <w:rPr/>
        <w:t xml:space="preserve"> Gli anelli di Benito Cazora e di Sereno Freato, ad altissima affinità, portano il canale già iscritto a una precisione superiore. La lettura di pagina accerta, su fonte parlamentare, la dichiarazione di </w:t>
      </w:r>
      <w:r>
        <w:rPr>
          <w:b/>
        </w:rPr>
        <w:t xml:space="preserve">Giuseppe Messina</w:t>
      </w:r>
      <w:r>
        <w:rPr/>
        <w:t xml:space="preserve"> di avere ricevuto da </w:t>
      </w:r>
      <w:r>
        <w:rPr>
          <w:b/>
        </w:rPr>
        <w:t xml:space="preserve">Flavio Carboni</w:t>
      </w:r>
      <w:r>
        <w:rPr/>
        <w:t xml:space="preserve"> l’invito a incontrare, insieme al parlamentare calabrese, uno dei capi della mafia siciliana, e la circostanza che come luogo dell’incontro fu indicato come possibile </w:t>
      </w:r>
      <w:r>
        <w:rPr>
          <w:b/>
        </w:rPr>
        <w:t xml:space="preserve">un ufficio della Procura generale presso la Corte d’appello di Roma</w:t>
      </w:r>
      <w:r>
        <w:rPr/>
        <w:t xml:space="preserve"> — </w:t>
      </w:r>
      <w:r>
        <w:rPr>
          <w:b/>
        </w:rPr>
        <w:t xml:space="preserve">Livello B</w:t>
      </w:r>
      <w:r>
        <w:rPr/>
        <w:t xml:space="preserve"> quanto alla dichiarazione riferita in elaborato parlamentare, </w:t>
      </w:r>
      <w:r>
        <w:rPr>
          <w:b/>
        </w:rPr>
        <w:t xml:space="preserve">Livello C</w:t>
      </w:r>
      <w:r>
        <w:rPr/>
        <w:t xml:space="preserve"> quanto alla effettività dell’incontro. Il Registro rileva che questa singola finestra congiunge in un solo periodo il primo, il secondo, il sesto e il decimo Dominio, e che precisamente per questo va maneggiata con il massimo rigore: essa resta una dichiarazione, e la sua forza suggestiva non ne muta il livello. Nell’anello di Freato ricorre inoltre il nome di una società di trasporto valori che rimanda a vicende del decennio successivo: la ragione della prossimità non è stata letta e resta assegnata alla Camera.</w:t>
      </w:r>
    </w:p>
    <w:p>
      <w:pPr>
        <w:spacing w:after="0" w:line="276" w:lineRule="auto"/>
        <w:ind w:firstLine="425"/>
        <w:jc w:val="both"/>
      </w:pPr>
      <w:r>
        <w:rPr>
          <w:b/>
        </w:rPr>
        <w:t xml:space="preserve">Il borsista e l’assistente.</w:t>
      </w:r>
      <w:r>
        <w:rPr/>
        <w:t xml:space="preserve"> L’anello del nome Sokolov si risolve alla lettura nella testimonianza del professor </w:t>
      </w:r>
      <w:r>
        <w:rPr>
          <w:b/>
        </w:rPr>
        <w:t xml:space="preserve">Franco Tritto</w:t>
      </w:r>
      <w:r>
        <w:rPr/>
        <w:t xml:space="preserve">, assistente universitario della vittima e poi titolare della sua cattedra, il quale — riferisce l’elaborato parlamentare sull’ombra dei servizi orientali — notò nelle settimane precedenti il sequestro un borsista che volle conoscere il professore e si informò dei suoi spostamenti e della composizione della scorta, tornando in Italia anni dopo. La fonte qualifica essa stessa la circostanza come curiosa coincidenza generatrice di sospetti, e il Registro ne recepisce la misura: </w:t>
      </w:r>
      <w:r>
        <w:rPr>
          <w:b/>
        </w:rPr>
        <w:t xml:space="preserve">Livello B</w:t>
      </w:r>
      <w:r>
        <w:rPr/>
        <w:t xml:space="preserve"> quanto alla testimonianza e alla circostanza riferita, </w:t>
      </w:r>
      <w:r>
        <w:rPr>
          <w:b/>
        </w:rPr>
        <w:t xml:space="preserve">Livello C</w:t>
      </w:r>
      <w:r>
        <w:rPr/>
        <w:t xml:space="preserve"> quanto a ogni inferenza sul ruolo, con la nota che questa voce appartiene alla medesima classe della precedente — il dato è solido, la lettura è aperta, e la fonte ha avuto la probità di dirlo.</w:t>
      </w:r>
    </w:p>
    <w:p>
      <w:pPr>
        <w:spacing w:after="0" w:line="276" w:lineRule="auto"/>
        <w:ind w:firstLine="425"/>
        <w:jc w:val="both"/>
      </w:pPr>
      <w:r>
        <w:rPr>
          <w:b/>
        </w:rPr>
        <w:t xml:space="preserve">Gli anelli minori della fascia alta.</w:t>
      </w:r>
      <w:r>
        <w:rPr/>
        <w:t xml:space="preserve"> L’anello di via Fracchia restituisce i nomi dei quattro militanti uccisi nell’irruzione del marzo millenovecentottanta e quello di Guido Rossa — </w:t>
      </w:r>
      <w:r>
        <w:rPr>
          <w:b/>
        </w:rPr>
        <w:t xml:space="preserve">Livello A</w:t>
      </w:r>
      <w:r>
        <w:rPr/>
        <w:t xml:space="preserve"> i fatti, estranei al caso ma contigui alla sua eredità documentale, poiché in quell’appartamento fu rinvenuta copia di materiale della prigionia. L’anello del contratto di via Gradoli reca il nome del contraente formale, di </w:t>
      </w:r>
      <w:r>
        <w:rPr>
          <w:b/>
        </w:rPr>
        <w:t xml:space="preserve">Livello C</w:t>
      </w:r>
      <w:r>
        <w:rPr/>
        <w:t xml:space="preserve"> in quanto attestato allo stato dalla sola monografia tesistica. L’anello del canale ecclesiastico al secondo grado — il segretario particolare del Pontefice, il cappellano, il parlamentare che ne riferì — conferma i livelli già assegnati senza elevarli.</w:t>
      </w:r>
    </w:p>
    <w:p>
      <w:pPr>
        <w:spacing w:before="240" w:after="120" w:line="276" w:lineRule="auto"/>
        <w:jc w:val="left"/>
      </w:pPr>
      <w:r>
        <w:rPr>
          <w:b/>
          <w:sz w:val="24"/>
          <w:szCs w:val="24"/>
        </w:rPr>
        <w:t xml:space="preserve">Fascia intermedia: le istruttorie delicate</w:t>
      </w:r>
    </w:p>
    <w:p>
      <w:pPr>
        <w:spacing w:after="0" w:line="276" w:lineRule="auto"/>
        <w:ind w:firstLine="425"/>
        <w:jc w:val="both"/>
      </w:pPr>
      <w:r>
        <w:rPr>
          <w:b/>
        </w:rPr>
        <w:t xml:space="preserve">La catena del falsario.</w:t>
      </w:r>
      <w:r>
        <w:rPr/>
        <w:t xml:space="preserve"> L’anello di secondo grado di Antonio Chichiarelli produce l’accertamento più rilevante dell’intera espansione. La lettura di pagina, su elaborato parlamentare che cita testualmente l’ordinanza del giudice istruttore, stabilisce che </w:t>
      </w:r>
      <w:r>
        <w:rPr>
          <w:b/>
        </w:rPr>
        <w:t xml:space="preserve">Luciano Dal Bello</w:t>
      </w:r>
      <w:r>
        <w:rPr/>
        <w:t xml:space="preserve">, qualificato dalla fonte come confidente anche a significativi livelli e insieme comprimario nelle trame del falsario, era in contatto con il </w:t>
      </w:r>
      <w:r>
        <w:rPr>
          <w:b/>
        </w:rPr>
        <w:t xml:space="preserve">maresciallo Solinas</w:t>
      </w:r>
      <w:r>
        <w:rPr/>
        <w:t xml:space="preserve">, in forza al Nucleo di polizia giudiziaria dei carabinieri di Roma; che nel marzo millenovecentosettantanove Dal Bello informò il maresciallo di un progetto di attentato contro una personalità politica; e che il falsario, undici giorni dopo la morte del prigioniero, confezionò un ulteriore comunicato in codice contenente riferimenti alle operazioni di polizia condotte in via Gradoli — </w:t>
      </w:r>
      <w:r>
        <w:rPr>
          <w:b/>
        </w:rPr>
        <w:t xml:space="preserve">Livello B</w:t>
      </w:r>
      <w:r>
        <w:rPr/>
        <w:t xml:space="preserve"> l’intera catena, in quanto fondata su ordinanza istruttoria riportata in elaborato parlamentare. Il Registro ne trae, senza eccederla, la sola conclusione che il livello consente: l’autore del più celebre depistaggio dei cinquantacinque giorni disponeva, tramite il proprio sodale, di un canale verso un reparto investigativo, e mostrava di conoscere le operazioni in corso. Quale uso quel canale abbia avuto, e in quale direzione l’informazione corresse, il corpus non lo dice, e il Registro non lo afferma.</w:t>
      </w:r>
    </w:p>
    <w:p>
      <w:pPr>
        <w:spacing w:after="0" w:line="276" w:lineRule="auto"/>
        <w:ind w:firstLine="425"/>
        <w:jc w:val="both"/>
      </w:pPr>
      <w:r>
        <w:rPr>
          <w:b/>
        </w:rPr>
        <w:t xml:space="preserve">Il contatto tedesco.</w:t>
      </w:r>
      <w:r>
        <w:rPr/>
        <w:t xml:space="preserve"> L’anello di Patrizio Peci porta nel Registro l’arco internazionale meglio documentato del corpus: il terrorista della Rote Armee Fraktion </w:t>
      </w:r>
      <w:r>
        <w:rPr>
          <w:b/>
        </w:rPr>
        <w:t xml:space="preserve">Willy Peter Stoll</w:t>
      </w:r>
      <w:r>
        <w:rPr/>
        <w:t xml:space="preserve">, indicato dal collaboratore come colui che veniva in Italia prima del sequestro per incontrare Mario Moretti, ucciso a Düsseldorf con addosso documenti attestanti i contatti fra le due organizzazioni, e nominato fra i componenti del commando del sequestro dell’industriale tedesco dell’autunno precedente — </w:t>
      </w:r>
      <w:r>
        <w:rPr>
          <w:b/>
        </w:rPr>
        <w:t xml:space="preserve">Livello B</w:t>
      </w:r>
      <w:r>
        <w:rPr/>
        <w:t xml:space="preserve">, per convergenza fra dichiarazione del collaboratore e riscontri riferiti dall’elaborato sulla dimensione sovranazionale. Il parallelo fra i due sequestri, che la pubblicistica ha trattato per analogia, entra così nel Registro per la via corretta: non come somiglianza di forma ma come contatto documentato fra gli esecutori, con l’avvertenza che il contatto attesta la relazione fra le organizzazioni e non trasferisce all’una le determinazioni dell’altra.</w:t>
      </w:r>
    </w:p>
    <w:p>
      <w:pPr>
        <w:spacing w:after="0" w:line="276" w:lineRule="auto"/>
        <w:ind w:firstLine="425"/>
        <w:jc w:val="both"/>
      </w:pPr>
      <w:r>
        <w:rPr>
          <w:b/>
        </w:rPr>
        <w:t xml:space="preserve">La casa di viale Giulio Cesare al secondo grado.</w:t>
      </w:r>
      <w:r>
        <w:rPr/>
        <w:t xml:space="preserve"> L’anello di Giuliana Conforto conferma i livelli già iscritti e vi aggiunge il rinvenimento dell’arma — </w:t>
      </w:r>
      <w:r>
        <w:rPr>
          <w:b/>
        </w:rPr>
        <w:t xml:space="preserve">Livello A</w:t>
      </w:r>
      <w:r>
        <w:rPr/>
        <w:t xml:space="preserve"> — quale vicino più disperso; quello di Giorgio Conforto, ad affinità assai più bassa, mostra che il padre della locataria vive nelle fonti prevalentemente entro il tema dei rapporti con l’Unione Sovietica e non entro il caso: la deriva misurata coincide qui con la distinzione già scolpita fra la relazione familiare, documentata, e il ruolo operativo, mai documentato. L’anello della seduta spiritica al secondo grado attesta la presenza nel corpus dei nomi dei partecipanti accademici alla riunione bolognese — </w:t>
      </w:r>
      <w:r>
        <w:rPr>
          <w:b/>
        </w:rPr>
        <w:t xml:space="preserve">Livello B</w:t>
      </w:r>
      <w:r>
        <w:rPr/>
        <w:t xml:space="preserve"> quanto al fatto che dalla riunione emerse l’indicazione toponomastica poi riferita alle autorità, con la qualificazione, che il Registro mantiene, di circostanza mai spiegata in modo soddisfacente da alcuna delle letture concorrenti.</w:t>
      </w:r>
    </w:p>
    <w:p>
      <w:pPr>
        <w:spacing w:after="0" w:line="276" w:lineRule="auto"/>
        <w:ind w:firstLine="425"/>
        <w:jc w:val="both"/>
      </w:pPr>
      <w:r>
        <w:rPr>
          <w:b/>
        </w:rPr>
        <w:t xml:space="preserve">Le derive di fascia intermedia.</w:t>
      </w:r>
      <w:r>
        <w:rPr/>
        <w:t xml:space="preserve"> L’anello di Francesco Delfino scivola verso l’istruttoria bresciana — i nomi del giudice Arcai, del condannato Buzzi, di Delle Chiaie — e appartiene a quel caso, non a questo; l’anello di Giustino De Vuono si riduce al luogo di detenzione e a una prossimità con il nome di Moretti che resta da leggere; l’anello del Superclan e dei fondatori dell’istituto parigino aggiunge i nomi del difensore e del magistrato istruttore veneziano — </w:t>
      </w:r>
      <w:r>
        <w:rPr>
          <w:b/>
        </w:rPr>
        <w:t xml:space="preserve">Livello B</w:t>
      </w:r>
      <w:r>
        <w:rPr/>
        <w:t xml:space="preserve"> quanto alle audizioni e alle istruttorie, fermi i livelli già assegnati alla qualificazione dell’istituto.</w:t>
      </w:r>
    </w:p>
    <w:p>
      <w:pPr>
        <w:spacing w:before="240" w:after="120" w:line="276" w:lineRule="auto"/>
        <w:jc w:val="left"/>
      </w:pPr>
      <w:r>
        <w:rPr>
          <w:b/>
          <w:sz w:val="24"/>
          <w:szCs w:val="24"/>
        </w:rPr>
        <w:t xml:space="preserve">Fascia inferiore: la mappa del contesto</w:t>
      </w:r>
    </w:p>
    <w:p>
      <w:pPr>
        <w:spacing w:after="0" w:line="276" w:lineRule="auto"/>
        <w:ind w:firstLine="425"/>
        <w:jc w:val="both"/>
      </w:pPr>
      <w:r>
        <w:rPr>
          <w:b/>
        </w:rPr>
        <w:t xml:space="preserve">La banda considerata in sé.</w:t>
      </w:r>
      <w:r>
        <w:rPr/>
        <w:t xml:space="preserve"> Gli anelli degli esponenti della banda romana — con affinità fra l’otto e il diciannove per cento — restituiscono la banda e non il caso: i capi delle batterie, le zone, i collaboratori che ne ricostruirono la struttura, e la saldatura con l’eversione nera attraverso i rapporti, che le fonti attestano, fra taluni suoi esponenti e militanti dell’area armata di destra. Questa saldatura è dato rilevante per la materia generale e resta, per questo Registro, contesto: nessuna delle finestre lette la congiunge al sequestro, e la sua registrazione qui vale come confine dichiarato, non come pista.</w:t>
      </w:r>
    </w:p>
    <w:p>
      <w:pPr>
        <w:spacing w:after="0" w:line="276" w:lineRule="auto"/>
        <w:ind w:firstLine="425"/>
        <w:jc w:val="both"/>
      </w:pPr>
      <w:r>
        <w:rPr>
          <w:b/>
        </w:rPr>
        <w:t xml:space="preserve">I vertici degli apparati e la trappola dei due organigrammi.</w:t>
      </w:r>
      <w:r>
        <w:rPr/>
        <w:t xml:space="preserve"> L’anello di Walter Pelosi restituisce il quadro dei vertici — i direttori dei due servizi, i comandanti delle armi, il segretario del comitato esecutivo — ma la lettura di pagina impone una distinzione che il calcolo non vede e che il Registro scolpisce: l’organigramma che la fonte elenca in blocco è quello del giugno millenovecentottanta, riferito ad altra tragedia, e </w:t>
      </w:r>
      <w:r>
        <w:rPr>
          <w:b/>
        </w:rPr>
        <w:t xml:space="preserve">non può essere trasferito al marzo del settantotto</w:t>
      </w:r>
      <w:r>
        <w:rPr/>
        <w:t xml:space="preserve">. Per i cinquantacinque giorni valgono, su fonte parlamentare di prima grandezza, le funzioni effettivamente coeve: la direzione di un servizio dal novembre millenovecentosettantasette e dell’altro dal gennaio millenovecentosettantotto da parte di ufficiali i cui nomi figurano negli elenchi della loggia rinvenuti nel marzo millenovecentottantuno — </w:t>
      </w:r>
      <w:r>
        <w:rPr>
          <w:b/>
        </w:rPr>
        <w:t xml:space="preserve">Livello A</w:t>
      </w:r>
      <w:r>
        <w:rPr/>
        <w:t xml:space="preserve"> quanto alle funzioni, alle date e alla presenza negli elenchi, per attestazione della relazione parlamentare dedicata. Il dato coevo è dunque più circoscritto e insieme più solido di quello che l’anello suggeriva: durante il sequestro, i vertici di entrambi gli organismi informativi appartenevano agli elenchi di una associazione segreta, e questo è un fatto; ogni inferenza dal fatto alla condotta resta materia delle ipotesi concorrenti già formulate, e ai livelli già assegnati.</w:t>
      </w:r>
    </w:p>
    <w:p>
      <w:pPr>
        <w:spacing w:after="0" w:line="276" w:lineRule="auto"/>
        <w:ind w:firstLine="425"/>
        <w:jc w:val="both"/>
      </w:pPr>
      <w:r>
        <w:rPr>
          <w:b/>
        </w:rPr>
        <w:t xml:space="preserve">Le derive dichiarate.</w:t>
      </w:r>
      <w:r>
        <w:rPr/>
        <w:t xml:space="preserve"> L’anello del banchiere vaticano scivola verso il crack bancario, i nomi degli anni ottanta e la scomparsa della cittadina vaticana — vicende altrui, che il Registro nomina solo per dichiarare la deriva; l’inventario archivistico della Presidenza attesta peraltro, quale sottoprodotto dell’espansione, l’identità del generale già emerso senza nome nel Primo Anello, consigliere per l’ordine democratico e la sicurezza — </w:t>
      </w:r>
      <w:r>
        <w:rPr>
          <w:b/>
        </w:rPr>
        <w:t xml:space="preserve">Livello A</w:t>
      </w:r>
      <w:r>
        <w:rPr/>
        <w:t xml:space="preserve"> quanto alla funzione, per fonte inventariale. L’anello del fondatore dei comitati di resistenza scivola verso la stagione precedente; quello dell’ufficiale condannato per i depistaggi scivola verso la stagione successiva e verso una sigla eversiva meridionale del millenovecentottanta. Sono i confini del caso, e il Secondo Anello ha avuto, fra le sue funzioni, quella di disegnarli.</w:t>
      </w:r>
    </w:p>
    <w:p>
      <w:pPr>
        <w:spacing w:before="240" w:after="120" w:line="276" w:lineRule="auto"/>
        <w:jc w:val="left"/>
      </w:pPr>
      <w:r>
        <w:rPr>
          <w:b/>
          <w:sz w:val="24"/>
          <w:szCs w:val="24"/>
        </w:rPr>
        <w:t xml:space="preserve">L’effetto di piccolo mondo constatato</w:t>
      </w:r>
    </w:p>
    <w:p>
      <w:pPr>
        <w:spacing w:after="0" w:line="276" w:lineRule="auto"/>
        <w:ind w:firstLine="425"/>
        <w:jc w:val="both"/>
      </w:pPr>
      <w:r>
        <w:rPr/>
        <w:t xml:space="preserve">A due passi dal sequestro, la rete documentale tocca la strage di piazza Fontana, quella di Brescia, i depistaggi di Bologna, la tragedia del cielo di Ustica, il crollo di due imperi bancari, la scomparsa di una cittadina vaticana, il terrorismo tedesco e l’intera vicenda della loggia: ossia, per l’essenziale, la materia intera dell’opera maggiore. Questo esito era prevedibile in astratto ed è ora </w:t>
      </w:r>
      <w:r>
        <w:rPr>
          <w:b/>
        </w:rPr>
        <w:t xml:space="preserve">misurato in concreto</w:t>
      </w:r>
      <w:r>
        <w:rPr/>
        <w:t xml:space="preserve">, e il Registro ne fissa il significato con una distinzione finale che è la ragione stessa della Parte Dodicesima. La constatazione che il caso Moro non è isolabile dal sistema documentale che lo circonda è un risultato: essa smentisce ogni lettura che lo tratti come episodio chiuso, e giustifica l’esistenza di un Registro che ne segua le diramazioni. Ma la prossimità documentale </w:t>
      </w:r>
      <w:r>
        <w:rPr>
          <w:b/>
        </w:rPr>
        <w:t xml:space="preserve">non è connessione causale</w:t>
      </w:r>
      <w:r>
        <w:rPr/>
        <w:t xml:space="preserve">: che le fonti trattino insieme ciò che accadde insieme, o vicino, è un fatto della letteratura, non della storia. Il Secondo Anello consegna dunque alla Camera Istruttoria una mappa di frontiere, non un atlante di prove; e chi lo leggesse come il secondo avrebbe percorso, in due passi, l’intera parabola del pollo di Russell.</w:t>
      </w:r>
    </w:p>
    <w:p>
      <w:pPr>
        <w:spacing w:before="240" w:after="120" w:line="276" w:lineRule="auto"/>
        <w:jc w:val="left"/>
      </w:pPr>
      <w:r>
        <w:rPr>
          <w:b/>
          <w:sz w:val="24"/>
          <w:szCs w:val="24"/>
        </w:rPr>
        <w:t xml:space="preserve">Avvertenze specifiche: omonimie e falsi vicini</w:t>
      </w:r>
    </w:p>
    <w:p>
      <w:pPr>
        <w:spacing w:after="0" w:line="276" w:lineRule="auto"/>
        <w:ind w:firstLine="425"/>
        <w:jc w:val="both"/>
      </w:pPr>
      <w:r>
        <w:rPr/>
        <w:t xml:space="preserve">L’espansione ha prodotto due casi di scuola che il Registro iscrive come avvertenze permanenti. Il primo è l’omonimia interna: negli anelli della banda romana ricorre il cognome Moretti riferito a una esponente della banda, </w:t>
      </w:r>
      <w:r>
        <w:rPr>
          <w:b/>
        </w:rPr>
        <w:t xml:space="preserve">Fabiola Moretti</w:t>
      </w:r>
      <w:r>
        <w:rPr/>
        <w:t xml:space="preserve">, priva di qualunque rapporto con l’omonimo dirigente dell’organizzazione armata; il calcolo, cieco ai nomi propri, li conflerebbe, e la sola lettura li separa. Il secondo è il falso vicino per omonimia esterna: il cognome Varone, emerso nell’anello del parlamentare calabrese, conduce alla lettura verso omonimi condannati in tutt’altro procedimento e in tutt’altra materia; la voce originaria resta da istruire e quella letta è espunta come artefatto. Le due avvertenze si aggiungono al registro degli artefatti e valgono come regola: </w:t>
      </w:r>
      <w:r>
        <w:rPr>
          <w:b/>
        </w:rPr>
        <w:t xml:space="preserve">nessun cognome è un nodo</w:t>
      </w:r>
      <w:r>
        <w:rPr/>
        <w:t xml:space="preserve"> — il nodo è la persona, e la persona esiste solo dopo la lettura.</w:t>
      </w:r>
    </w:p>
    <w:p>
      <w:pPr>
        <w:spacing w:before="240" w:after="120" w:line="276" w:lineRule="auto"/>
        <w:jc w:val="left"/>
      </w:pPr>
      <w:r>
        <w:rPr>
          <w:b/>
          <w:sz w:val="24"/>
          <w:szCs w:val="24"/>
        </w:rPr>
        <w:t xml:space="preserve">Nodi ammessi al Registro dei nodi dalla Parte Dodicesima</w:t>
      </w:r>
    </w:p>
    <w:p>
      <w:pPr>
        <w:spacing w:after="0" w:line="276" w:lineRule="auto"/>
        <w:ind w:firstLine="425"/>
        <w:jc w:val="both"/>
      </w:pPr>
      <w:r>
        <w:rPr/>
        <w:t xml:space="preserve">Sono ammessi, con i livelli indicati: Raimondo Etro, </w:t>
      </w:r>
      <w:r>
        <w:rPr>
          <w:b/>
        </w:rPr>
        <w:t xml:space="preserve">Livello A</w:t>
      </w:r>
      <w:r>
        <w:rPr/>
        <w:t xml:space="preserve"> quanto alla qualità di brigatista e all’audizione; Topazia Caetani di Sermoneta, </w:t>
      </w:r>
      <w:r>
        <w:rPr>
          <w:b/>
        </w:rPr>
        <w:t xml:space="preserve">Livello B</w:t>
      </w:r>
      <w:r>
        <w:rPr/>
        <w:t xml:space="preserve"> quanto al matrimonio, con la qualificazione espressa che ogni lettura ulteriore del coniuge resta </w:t>
      </w:r>
      <w:r>
        <w:rPr>
          <w:b/>
        </w:rPr>
        <w:t xml:space="preserve">Livello C</w:t>
      </w:r>
      <w:r>
        <w:rPr/>
        <w:t xml:space="preserve">; Ernesto Cudillo, </w:t>
      </w:r>
      <w:r>
        <w:rPr>
          <w:b/>
        </w:rPr>
        <w:t xml:space="preserve">Livello A</w:t>
      </w:r>
      <w:r>
        <w:rPr/>
        <w:t xml:space="preserve"> quanto alla sentenza-ordinanza del millenovecentottantatré e alla critica parlamentare di essa, con riserva d’istruttoria sulla prossimità al palazzo; Giuseppe Messina e la dichiarazione sull’invito di Flavio Carboni, </w:t>
      </w:r>
      <w:r>
        <w:rPr>
          <w:b/>
        </w:rPr>
        <w:t xml:space="preserve">Livello B</w:t>
      </w:r>
      <w:r>
        <w:rPr/>
        <w:t xml:space="preserve"> la dichiarazione, </w:t>
      </w:r>
      <w:r>
        <w:rPr>
          <w:b/>
        </w:rPr>
        <w:t xml:space="preserve">Livello C</w:t>
      </w:r>
      <w:r>
        <w:rPr/>
        <w:t xml:space="preserve"> l’effettività; Flavio Carboni, </w:t>
      </w:r>
      <w:r>
        <w:rPr>
          <w:b/>
        </w:rPr>
        <w:t xml:space="preserve">Livello B</w:t>
      </w:r>
      <w:r>
        <w:rPr/>
        <w:t xml:space="preserve"> quanto al ruolo di tramite dichiarato; Franco Tritto, </w:t>
      </w:r>
      <w:r>
        <w:rPr>
          <w:b/>
        </w:rPr>
        <w:t xml:space="preserve">Livello B</w:t>
      </w:r>
      <w:r>
        <w:rPr/>
        <w:t xml:space="preserve"> quanto alla testimonianza sul borsista; Luciano Dal Bello e il maresciallo Solinas, </w:t>
      </w:r>
      <w:r>
        <w:rPr>
          <w:b/>
        </w:rPr>
        <w:t xml:space="preserve">Livello B</w:t>
      </w:r>
      <w:r>
        <w:rPr/>
        <w:t xml:space="preserve"> l’intera catena informativa, su ordinanza istruttoria riportata in fonte parlamentare; Willy Peter Stoll, </w:t>
      </w:r>
      <w:r>
        <w:rPr>
          <w:b/>
        </w:rPr>
        <w:t xml:space="preserve">Livello B</w:t>
      </w:r>
      <w:r>
        <w:rPr/>
        <w:t xml:space="preserve"> quanto ai contatti con Moretti e ai riscontri documentali; i quattro militanti di via Fracchia e Guido Rossa, </w:t>
      </w:r>
      <w:r>
        <w:rPr>
          <w:b/>
        </w:rPr>
        <w:t xml:space="preserve">Livello A</w:t>
      </w:r>
      <w:r>
        <w:rPr/>
        <w:t xml:space="preserve"> i fatti, quale contesto dichiarato; i vertici coevi dei due servizi con le date di direzione e la presenza negli elenchi della loggia, </w:t>
      </w:r>
      <w:r>
        <w:rPr>
          <w:b/>
        </w:rPr>
        <w:t xml:space="preserve">Livello A</w:t>
      </w:r>
      <w:r>
        <w:rPr/>
        <w:t xml:space="preserve"> su relazione parlamentare; il generale consigliere per l’ordine democratico e la sicurezza, </w:t>
      </w:r>
      <w:r>
        <w:rPr>
          <w:b/>
        </w:rPr>
        <w:t xml:space="preserve">Livello A</w:t>
      </w:r>
      <w:r>
        <w:rPr/>
        <w:t xml:space="preserve"> quanto alla funzione, per fonte inventariale.</w:t>
      </w:r>
    </w:p>
    <w:p>
      <w:pPr>
        <w:spacing w:before="240" w:after="120" w:line="276" w:lineRule="auto"/>
        <w:jc w:val="left"/>
      </w:pPr>
      <w:r>
        <w:rPr>
          <w:b/>
          <w:sz w:val="24"/>
          <w:szCs w:val="24"/>
        </w:rPr>
        <w:t xml:space="preserve">Assegnazioni alla Camera Istruttoria</w:t>
      </w:r>
    </w:p>
    <w:p>
      <w:pPr>
        <w:spacing w:after="0" w:line="276" w:lineRule="auto"/>
        <w:ind w:firstLine="425"/>
        <w:jc w:val="both"/>
      </w:pPr>
      <w:r>
        <w:rPr/>
        <w:t xml:space="preserve">Dalla Parte Dodicesima discendono, in ordine di priorità: prima, la lettura di pagina della prossimità fra il nome del consigliere istruttore e il palazzo, da risolvere o da espungere; seconda, l’istruttoria sulla ricorrenza della società di trasporto valori nell’anello del collaboratore politico della vittima, con divieto di anticipazione; terza, la verifica sistematica dell’organigramma coevo dei cinquantacinque giorni, funzione per funzione, contro la trappola dei due organigrammi; quarta, la lettura della prossimità fra il nome del detenuto calabrese e quello del dirigente dell’organizzazione; quinta, la risalita alla fonte primaria di ogni voce del Secondo Anello che poggi unicamente sulla monografia tesistica; sesta, la registrazione nel registro degli artefatti dell’omonimia Varone e dell’avvertenza Fabiola Moretti. Resta ferma, sovraordinata a tutte, la conversione del blocco stenografico, che di molte fra queste istruttorie è la condizione.</w:t>
      </w:r>
    </w:p>
    <w:p>
      <w:pPr>
        <w:pageBreakBefore/>
        <w:spacing w:before="240" w:after="120" w:line="276" w:lineRule="auto"/>
        <w:jc w:val="left"/>
      </w:pPr>
      <w:r>
        <w:rPr>
          <w:b/>
          <w:sz w:val="28"/>
          <w:szCs w:val="28"/>
        </w:rPr>
        <w:t xml:space="preserve">COLOPHON DELL’EDIZIONE TERZA</w:t>
      </w:r>
    </w:p>
    <w:p>
      <w:pPr>
        <w:spacing w:after="0" w:line="276" w:lineRule="auto"/>
        <w:ind w:firstLine="425"/>
        <w:jc w:val="both"/>
      </w:pPr>
      <w:r>
        <w:rPr/>
        <w:t xml:space="preserve">REGISTRO ANALITICO DEL CASO MORO, edizione terza, con il Secondo Anello di Prossimità,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quanto a catena probatoria, apparato e istruttoria, con dichiarazione espressa del limite materiale di tale indipendenza. Incorpora verbatim l’edizione seconda e, per suo tramite, la prima; ogni edizione successiva conterrà verbatim la presente. Resta sovrana la Regola di Ferro: dove la fonte documenta, l’opera certifica; dove la fonte tace, l’opera indaga e non afferma. Autore e direttore dell’opera: Luigi De Michele.</w:t>
      </w:r>
    </w:p>
    <w:sectPr>
      <w:pgSz w:w="11906" w:h="16838"/>
      <w:pgMar w:top="1440" w:right="1440" w:bottom="1440" w:left="1440" w:header="708" w:footer="708"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t-IT"/>
      </w:rPr>
    </w:rPrDefault>
    <w:pPrDefault>
      <w:pPr>
        <w:spacing w:after="0" w:line="276"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