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Quarta — Definitiva quanto al censimento degli Anelli</w:t>
      </w:r>
    </w:p>
    <w:p>
      <w:pPr>
        <w:spacing w:before="60" w:after="0" w:line="276" w:lineRule="auto"/>
        <w:jc w:val="center"/>
      </w:pPr>
      <w:r>
        <w:rPr>
          <w:b/>
          <w:sz w:val="26"/>
          <w:szCs w:val="26"/>
        </w:rPr>
        <w:t xml:space="preserve">con la Metodologia del Salto della Quaglia</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 e mutamento di finalità.</w:t>
      </w:r>
      <w:r>
        <w:rPr/>
        <w:t xml:space="preserve"> Il presente Registro è documento autonomo e autosufficiente, indipendente dal Registro Unico Federato di ITALIA NERA nei tre sensi dichiarati e misurati nelle edizioni precedenti, con il limite materiale espressamente dichiarato. Questa edizione incorpora verbatim la terza, e con essa la seconda e la prima, e compie tre atti: chiude in via definitiva il censimento dei nodi del Primo e del Secondo Anello; registra le terminazioni periferiche della rete, gli assoni che dal secondo anello puntano verso l’esterno; formalizza la </w:t>
      </w:r>
      <w:r>
        <w:rPr>
          <w:b/>
        </w:rPr>
        <w:t xml:space="preserve">Metodologia del Salto della Quaglia</w:t>
      </w:r>
      <w:r>
        <w:rPr/>
        <w:t xml:space="preserve">, metodologia propria dell’autore, Luigi De Michele, quale strumento permanente dell’apparato. Con questa edizione, inoltre, il Registro muta espressamente di finalità: le Parti dedicate agli Anelli, sin qui tenute a fini di cronaca documentale, sono da ora tenute </w:t>
      </w:r>
      <w:r>
        <w:rPr>
          <w:b/>
        </w:rPr>
        <w:t xml:space="preserve">a fini investigativi</w:t>
      </w:r>
      <w:r>
        <w:rPr/>
        <w:t xml:space="preserve">, per il vaglio di possibili responsabilità, collegamenti, connessioni, collusioni e connivenze, anche soltanto indirette.</w:t>
      </w:r>
    </w:p>
    <w:p>
      <w:pPr>
        <w:spacing w:after="0" w:line="276" w:lineRule="auto"/>
        <w:ind w:firstLine="425"/>
        <w:jc w:val="both"/>
      </w:pPr>
      <w:r>
        <w:rPr>
          <w:b/>
        </w:rPr>
        <w:t xml:space="preserve">Codifica del fine investigativo.</w:t>
      </w:r>
      <w:r>
        <w:rPr/>
        <w:t xml:space="preserve"> Il passaggio dalla cronaca al vaglio investigativo non abbassa lo standard probatorio: lo innalza. La cronaca può permettersi di registrare; l’investigazione deve poter reggere il contraddittorio. Ne discendono quattro regole che questa edizione scolpisce e che vincolano ogni suo uso. Prima: il vaglio investigativo è </w:t>
      </w:r>
      <w:r>
        <w:rPr>
          <w:b/>
        </w:rPr>
        <w:t xml:space="preserve">istruttoria di ipotesi</w:t>
      </w:r>
      <w:r>
        <w:rPr/>
        <w:t xml:space="preserve">, e ogni ipotesi è formulata con le proprie condizioni di falsificazione; il Registro genera e vaglia ipotesi, non pronuncia responsabilità. Seconda: nessuna responsabilità è attribuita ad alcuno che non risulti già accertata nella sede propria, che è e resta quella giudiziaria; per le persone viventi vale la presunzione piena, e per i defunti il giudizio storico si forma soltanto sul documentato. Terza: la classificazione Savona resta sovrana e invariata — il fine investigativo </w:t>
      </w:r>
      <w:r>
        <w:rPr>
          <w:b/>
        </w:rPr>
        <w:t xml:space="preserve">trasforma le domande, non le prove</w:t>
      </w:r>
      <w:r>
        <w:rPr/>
        <w:t xml:space="preserve"> — sicché un legame di </w:t>
      </w:r>
      <w:r>
        <w:rPr>
          <w:b/>
        </w:rPr>
        <w:t xml:space="preserve">Livello C</w:t>
      </w:r>
      <w:r>
        <w:rPr/>
        <w:t xml:space="preserve"> resta ipotesi anche quando l’ipotesi è investigativamente feconda. Quarta: ove il vaglio produca elementi che eccedano la ricerca storica, la loro destinazione naturale sono le sedi competenti, che il Registro non sostituisce e alle quali non si sovrappone.</w:t>
      </w:r>
    </w:p>
    <w:p>
      <w:pPr>
        <w:spacing w:after="0" w:line="276" w:lineRule="auto"/>
        <w:ind w:firstLine="425"/>
        <w:jc w:val="both"/>
      </w:pPr>
      <w:r>
        <w:rPr>
          <w:b/>
        </w:rPr>
        <w:t xml:space="preserve">Portata della certificazione.</w:t>
      </w:r>
      <w:r>
        <w:rPr/>
        <w:t xml:space="preserve"> L’aggettivo definitivo e la qualità di certificato che questa edizione rivendica hanno un oggetto preciso e uno soltanto: la </w:t>
      </w:r>
      <w:r>
        <w:rPr>
          <w:b/>
        </w:rPr>
        <w:t xml:space="preserve">completezza del censimento</w:t>
      </w:r>
      <w:r>
        <w:rPr/>
        <w:t xml:space="preserve">. Il Registro certifica che ogni nodo emerso dall’estrazione computazionale dei due Anelli, sopra le soglie dichiarate, è stato iscritto, oppure espunto con motivazione, oppure assegnato a istruttoria con nome e numero: nessuno è stato taciuto. Il Registro non certifica — perché nessun metodo onesto potrebbe — i legami: ciascuno di essi resta al livello che le fonti consentono, e la parola certificato non si trasferisce mai dal censimento alla connessione.</w:t>
      </w:r>
    </w:p>
    <w:p>
      <w:pPr>
        <w:pageBreakBefore/>
        <w:spacing w:before="240" w:after="120" w:line="276" w:lineRule="auto"/>
        <w:jc w:val="left"/>
      </w:pPr>
      <w:r>
        <w:rPr>
          <w:b/>
          <w:sz w:val="28"/>
          <w:szCs w:val="28"/>
        </w:rPr>
        <w:t xml:space="preserve">STRATO ZERO — L’EDIZIONE TERZA INCORPORATA VERBATIM</w:t>
      </w:r>
    </w:p>
    <w:p>
      <w:pPr>
        <w:spacing w:after="0" w:line="276" w:lineRule="auto"/>
        <w:ind w:firstLine="425"/>
        <w:jc w:val="both"/>
      </w:pPr>
      <w:r>
        <w:rPr/>
        <w:t xml:space="preserve">Segue, riprodotta integralmente e senza alcun intervento per copia diretta del flusso documentale, l’edizione terza del presente Registro, comprensiva delle edizioni prima e seconda da essa incorporate, delle Parti Undicesima e Dodicesima sugli Anelli di Prossimità e di ogni loro apparato.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Terza — con il Secondo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indipendente dal Registro Unico Federato di ITALIA NERA nei tre sensi dichiarati e misurati nell’edizione seconda — indipendenza di catena probatoria, di apparato e da ogni prodotto dell’opera — con l’espressa dichiarazione del limite materiale di tale indipendenza, ossia la sovrapposizione parziale del corpus di fonti terze, dalla quale discende che la convergenza fra i due Registri non vale mai come conferma reciproca. Questa edizione incorpora verbatim l’edizione seconda, e con essa la prima, e vi aggiunge la Parte Dodicesima: l’espansione della rete al Secondo Anello di Prossimità.</w:t>
      </w:r>
    </w:p>
    <w:p>
      <w:pPr>
        <w:spacing w:after="0" w:line="276" w:lineRule="auto"/>
        <w:ind w:firstLine="425"/>
        <w:jc w:val="both"/>
      </w:pPr>
      <w:r>
        <w:rPr>
          <w:b/>
        </w:rPr>
        <w:t xml:space="preserve">Statuto del Secondo Anello.</w:t>
      </w:r>
      <w:r>
        <w:rPr/>
        <w:t xml:space="preserve"> L’espansione al secondo grado obbedisce alla logica della propagazione in una rete: i vicini del Primo Anello divengono semi, e se ne estraggono i vicini. Ma ciò che nella propagazione è naturale, nella prova è vietato, e il Registro lo scolpisce in apertura con tre avvertenze che governano l’intera Parte Dodicesima. Prima: </w:t>
      </w:r>
      <w:r>
        <w:rPr>
          <w:b/>
        </w:rPr>
        <w:t xml:space="preserve">la prossimità non è transitiva</w:t>
      </w:r>
      <w:r>
        <w:rPr/>
        <w:t xml:space="preserve"> — che il nodo A sia prossimo al nodo B, e B prossimo a C, non rende A prossimo a C, e men che meno connesso. Seconda: </w:t>
      </w:r>
      <w:r>
        <w:rPr>
          <w:b/>
        </w:rPr>
        <w:t xml:space="preserve">due ipotesi concatenate non si sommano ma si indeboliscono</w:t>
      </w:r>
      <w:r>
        <w:rPr/>
        <w:t xml:space="preserve"> — un legame di Livello C che poggia su un altro legame di Livello C non produce un Livello B, produce un’ipotesi al quadrato. Terza: in una rete documentale densa vige l’</w:t>
      </w:r>
      <w:r>
        <w:rPr>
          <w:b/>
        </w:rPr>
        <w:t xml:space="preserve">effetto di piccolo mondo</w:t>
      </w:r>
      <w:r>
        <w:rPr/>
        <w:t xml:space="preserve"> — a due passi da qualunque nodo si raggiunge quasi tutto il lessico — sicché il Secondo Anello non è una mappa del caso ma una mappa del contesto entro cui le fonti collocano il caso; per distinguere l’uno dall’altro, ogni seme di secondo grado è accompagnato da una </w:t>
      </w:r>
      <w:r>
        <w:rPr>
          <w:b/>
        </w:rPr>
        <w:t xml:space="preserve">metrica di deriva tematica</w:t>
      </w:r>
      <w:r>
        <w:rPr/>
        <w:t xml:space="preserve">, la frazione delle sue finestre che contiene ancora il caso, dichiarata voce per voce. Il Secondo Anello è registrato per dovere di cronaca: nessuna sua voce è affermata dal Registro.</w:t>
      </w:r>
    </w:p>
    <w:p>
      <w:pPr>
        <w:pageBreakBefore/>
        <w:spacing w:before="240" w:after="120" w:line="276" w:lineRule="auto"/>
        <w:jc w:val="left"/>
      </w:pPr>
      <w:r>
        <w:rPr>
          <w:b/>
          <w:sz w:val="28"/>
          <w:szCs w:val="28"/>
        </w:rPr>
        <w:t xml:space="preserve">STRATO ZERO — L’EDIZIONE SECONDA INCORPORATA VERBATIM</w:t>
      </w:r>
    </w:p>
    <w:p>
      <w:pPr>
        <w:spacing w:after="0" w:line="276" w:lineRule="auto"/>
        <w:ind w:firstLine="425"/>
        <w:jc w:val="both"/>
      </w:pPr>
      <w:r>
        <w:rPr/>
        <w:t xml:space="preserve">Segue, riprodotta integralmente e senza alcun intervento per copia diretta del flusso documentale, l’edizione seconda del presente Registro, comprensiva del frontespizio con la dichiarazione di indipendenza delle fonti, dell’edizione prima da essa incorporata e della Parte Undicesima sul Primo Anello di Prossimità. Nulla di quanto segue è stato modificato, abbreviato o riordinato.</w:t>
      </w:r>
    </w:p>
    <w:p>
      <w:pPr>
        <w:spacing w:before="60" w:after="0" w:line="276" w:lineRule="auto"/>
        <w:jc w:val="center"/>
      </w:pPr>
      <w:r>
        <w:rPr>
          <w:b/>
          <w:sz w:val="32"/>
          <w:szCs w:val="32"/>
        </w:rPr>
        <w:t xml:space="preserve">REGISTRO ANALITICO DEL CASO MORO</w:t>
      </w:r>
    </w:p>
    <w:p>
      <w:pPr>
        <w:spacing w:before="60" w:after="0" w:line="276" w:lineRule="auto"/>
        <w:jc w:val="center"/>
      </w:pPr>
      <w:r>
        <w:rPr>
          <w:sz w:val="24"/>
          <w:szCs w:val="24"/>
        </w:rPr>
        <w:t xml:space="preserve">Registro autonomo delle reti informali del sequestro e dell’omicidio di Aldo Moro</w:t>
      </w:r>
    </w:p>
    <w:p>
      <w:pPr>
        <w:spacing w:before="60" w:after="0" w:line="276" w:lineRule="auto"/>
        <w:jc w:val="center"/>
      </w:pPr>
      <w:r>
        <w:rPr>
          <w:b/>
          <w:sz w:val="28"/>
          <w:szCs w:val="28"/>
        </w:rPr>
        <w:t xml:space="preserve">Edizione Seconda — con il Primo Anello di Prossimità</w:t>
      </w:r>
    </w:p>
    <w:p>
      <w:pPr>
        <w:spacing w:before="60" w:after="0" w:line="276" w:lineRule="auto"/>
        <w:jc w:val="center"/>
      </w:pPr>
      <w:r>
        <w:rPr>
          <w:sz w:val="24"/>
          <w:szCs w:val="24"/>
        </w:rPr>
        <w:t xml:space="preserve">Luigi De Michele</w:t>
      </w:r>
    </w:p>
    <w:p>
      <w:pPr>
        <w:spacing w:before="60" w:after="0" w:line="276" w:lineRule="auto"/>
        <w:jc w:val="center"/>
      </w:pPr>
      <w:r>
        <w:rPr>
          <w:sz w:val="24"/>
          <w:szCs w:val="24"/>
        </w:rPr>
        <w:t xml:space="preserve">Due agosto duemilaventisei</w:t>
      </w:r>
    </w:p>
    <w:p>
      <w:pPr>
        <w:spacing w:after="0" w:line="276" w:lineRule="auto"/>
        <w:ind w:firstLine="425"/>
        <w:jc w:val="both"/>
      </w:pPr>
      <w:r>
        <w:rPr>
          <w:b/>
        </w:rPr>
        <w:t xml:space="preserve">Statuto del documento.</w:t>
      </w:r>
      <w:r>
        <w:rPr/>
        <w:t xml:space="preserve"> Il presente Registro è documento autonomo e autosufficiente. Non è sezione, estratto né derivazione del Registro Unico Federato di ITALIA NERA, e non ne presuppone la lettura: metodologia, apparato dei Domini, tipologia degli archi, Pattern analitici e standard probatorio vi sono ripetuti per intero e non per rinvio, affinché il Registro possa essere letto, verificato e falsificato da solo. Esso incorpora verbatim l’edizione prima e vi aggiunge la registrazione del Primo Anello di Prossimità.</w:t>
      </w:r>
    </w:p>
    <w:p>
      <w:pPr>
        <w:spacing w:after="0" w:line="276" w:lineRule="auto"/>
        <w:ind w:firstLine="425"/>
        <w:jc w:val="both"/>
      </w:pPr>
      <w:r>
        <w:rPr>
          <w:b/>
        </w:rPr>
        <w:t xml:space="preserve">Dichiarazione di indipendenza delle fonti.</w:t>
      </w:r>
      <w:r>
        <w:rPr/>
        <w:t xml:space="preserve"> Le fonti del presente Registro sono indipendenti rispetto a quelle del Registro Unico Federato di ITALIA NERA nei sensi che seguono, ciascuno dei quali è verificabile e nessuno dei quali è retorico. Primo, </w:t>
      </w:r>
      <w:r>
        <w:rPr>
          <w:b/>
        </w:rPr>
        <w:t xml:space="preserve">indipendenza di catena probatoria</w:t>
      </w:r>
      <w:r>
        <w:rPr/>
        <w:t xml:space="preserve">: nessuna asserzione, nessuna classificazione e nessun testo del Registro Unico è qui accolto per autorità; ogni livello </w:t>
      </w:r>
      <w:r>
        <w:rPr>
          <w:b/>
        </w:rPr>
        <w:t xml:space="preserve">A</w:t>
      </w:r>
      <w:r>
        <w:rPr/>
        <w:t xml:space="preserve">, </w:t>
      </w:r>
      <w:r>
        <w:rPr>
          <w:b/>
        </w:rPr>
        <w:t xml:space="preserve">B</w:t>
      </w:r>
      <w:r>
        <w:rPr/>
        <w:t xml:space="preserve"> o </w:t>
      </w:r>
      <w:r>
        <w:rPr>
          <w:b/>
        </w:rPr>
        <w:t xml:space="preserve">C</w:t>
      </w:r>
      <w:r>
        <w:rPr/>
        <w:t xml:space="preserve"> è stato riassegnato ex novo risalendo alla fonte primaria, e nessun grado di prova è stato ereditato. Secondo, </w:t>
      </w:r>
      <w:r>
        <w:rPr>
          <w:b/>
        </w:rPr>
        <w:t xml:space="preserve">indipendenza di apparato</w:t>
      </w:r>
      <w:r>
        <w:rPr/>
        <w:t xml:space="preserve">: la Camera Istruttoria, il registro delle lacune, il lessico dei nodi, il calcolo di prossimità e le ipotesi concorrenti di questo Registro sono propri e non derivati; le ipotesi in competizione qui formulate non coincidono con quelle del Registro Unico e hanno un diverso falsificatore di riferimento. Terzo, </w:t>
      </w:r>
      <w:r>
        <w:rPr>
          <w:b/>
        </w:rPr>
        <w:t xml:space="preserve">indipendenza da ogni prodotto dell’opera</w:t>
      </w:r>
      <w:r>
        <w:rPr/>
        <w:t xml:space="preserve">: il corpus di calcolo esclude per terzietà i trentuno prodotti dell’opera presenti in cartella, e si compone unicamente di fonti terze — atti parlamentari, atti giudiziari, inventari archivistici, corpora autografi, monografie e voci di riferimento.</w:t>
      </w:r>
    </w:p>
    <w:p>
      <w:pPr>
        <w:spacing w:after="0" w:line="276" w:lineRule="auto"/>
        <w:ind w:firstLine="425"/>
        <w:jc w:val="both"/>
      </w:pPr>
      <w:r>
        <w:rPr>
          <w:b/>
        </w:rPr>
        <w:t xml:space="preserve">Limite dichiarato dell’indipendenza.</w:t>
      </w:r>
      <w:r>
        <w:rPr/>
        <w:t xml:space="preserve"> Il metodo impone di dichiarare anche ciò che l’indipendenza non è, poiché una convergenza spuria dichiarata autentica sarebbe precisamente l’errore che questo Registro esiste per prevenire. Il sottocorpus qui utilizzato consta di sessantotto fonti selezionate per pertinenza entro un insieme di duecentoquarantuno fonti terze disponibili; di esse quindici hanno il caso Moro come tema dominante e costituiscono il nucleo proprio del Registro, mentre le rimanenti sono fonti generali della materia che il Registro Unico impiega anch’esso per oggetti diversi. </w:t>
      </w:r>
      <w:r>
        <w:rPr>
          <w:b/>
        </w:rPr>
        <w:t xml:space="preserve">La sovrapposizione materiale parziale del corpus è pertanto dichiarata e misurata.</w:t>
      </w:r>
      <w:r>
        <w:rPr/>
        <w:t xml:space="preserve"> Ne discende la regola che questo Registro osserva senza eccezioni: la convergenza fra le conclusioni di questo Registro e quelle del Registro Unico </w:t>
      </w:r>
      <w:r>
        <w:rPr>
          <w:b/>
        </w:rPr>
        <w:t xml:space="preserve">non costituisce conferma reciproca</w:t>
      </w:r>
      <w:r>
        <w:rPr/>
        <w:t xml:space="preserve">, poiché due letture del medesimo documento non sono due fonti indipendenti; vale come conferma soltanto la convergenza di fonti fra loro indipendenti sul medesimo punto, e l’indipendenza è accertata e mai presunta.</w:t>
      </w:r>
    </w:p>
    <w:p>
      <w:pPr>
        <w:spacing w:after="0" w:line="276" w:lineRule="auto"/>
        <w:ind w:firstLine="425"/>
        <w:jc w:val="both"/>
      </w:pPr>
      <w:r>
        <w:rPr>
          <w:b/>
        </w:rPr>
        <w:t xml:space="preserve">Statuto del Primo Anello.</w:t>
      </w:r>
      <w:r>
        <w:rPr/>
        <w:t xml:space="preserve"> La Parte Undicesima registra i nodi documentalmente prossimi ai nodi del caso, ricavati per misura di vicinanza testuale nelle fonti. Tale registrazione è compiuta </w:t>
      </w:r>
      <w:r>
        <w:rPr>
          <w:b/>
        </w:rPr>
        <w:t xml:space="preserve">per dovere di cronaca e non a titolo di asserzione</w:t>
      </w:r>
      <w:r>
        <w:rPr/>
        <w:t xml:space="preserve">: la prossimità di due nomi entro una medesima finestra di testo attesta che una fonte li ha accostati, non che fra i due corra un arco. Ogni voce del Primo Anello è pertanto di </w:t>
      </w:r>
      <w:r>
        <w:rPr>
          <w:b/>
        </w:rPr>
        <w:t xml:space="preserve">Livello C</w:t>
      </w:r>
      <w:r>
        <w:rPr/>
        <w:t xml:space="preserve"> in quanto legame, quale che sia il livello dei singoli nodi che collega, e nessuna di esse è affermata dal Registro. Il Primo Anello è mappa di ciò che è stato scritto, non mappa di ciò che è accaduto: chi lo leggesse come la seconda commetterebbe esattamente l’errore del pollo induttivista di Russell, e il Registro lo dichiara qui in apertura perché nessun lettore possa incorrervi in buona fede.</w:t>
      </w:r>
    </w:p>
    <w:p>
      <w:pPr>
        <w:pageBreakBefore/>
        <w:spacing w:before="240" w:after="120" w:line="276" w:lineRule="auto"/>
        <w:jc w:val="left"/>
      </w:pPr>
      <w:r>
        <w:rPr>
          <w:b/>
          <w:sz w:val="28"/>
          <w:szCs w:val="28"/>
        </w:rPr>
        <w:t xml:space="preserve">STRATO ZERO — L’EDIZIONE PRIMA INCORPORATA VERBATIM</w:t>
      </w:r>
    </w:p>
    <w:p>
      <w:pPr>
        <w:spacing w:after="0" w:line="276" w:lineRule="auto"/>
        <w:ind w:firstLine="425"/>
        <w:jc w:val="both"/>
      </w:pPr>
      <w:r>
        <w:rPr/>
        <w:t xml:space="preserve">Segue, riprodotta integralmente e senza alcun intervento per copia diretta del flusso documentale, l’edizione prima del presente Registro, comprensiva della Nota metodologica, del censimento del corpus, della declinazione dei dieci Domini, della tipologia degli archi, del Registro dei nodi, della cronologia strutturale, dei Pattern applicati, delle ipotesi concorrenti, del registro delle lacune e della Camera Istruttoria. Nulla di quanto segue è stato modificato, abbreviato o riordinato.</w:t>
      </w:r>
    </w:p>
    <w:p>
      <w:pPr>
        <w:spacing w:after="0" w:line="276" w:lineRule="auto" w:before="160"/>
        <w:jc w:val="center"/>
      </w:pPr>
      <w:r>
        <w:rPr>
          <w:rFonts w:ascii="Times New Roman" w:hAnsi="Times New Roman" w:cs="Times New Roman" w:eastAsia="Times New Roman"/>
          <w:rFonts w:ascii="Times New Roman" w:hAnsi="Times New Roman"/>
          <w:b/>
          <w:sz w:val="32"/>
        </w:rPr>
        <w:t>REGISTRO ANALITICO DEL CASO MORO</w:t>
      </w:r>
    </w:p>
    <w:p>
      <w:pPr>
        <w:spacing w:after="0" w:line="276" w:lineRule="auto" w:before="80"/>
        <w:jc w:val="center"/>
      </w:pPr>
      <w:r>
        <w:rPr>
          <w:rFonts w:ascii="Times New Roman" w:hAnsi="Times New Roman" w:cs="Times New Roman" w:eastAsia="Times New Roman"/>
          <w:rFonts w:ascii="Times New Roman" w:hAnsi="Times New Roman"/>
          <w:b w:val="0"/>
          <w:sz w:val="24"/>
        </w:rPr>
        <w:t>Registro autonomo delle reti informali del sequestro e dell’omicidio di Aldo Moro</w:t>
      </w:r>
    </w:p>
    <w:p>
      <w:pPr>
        <w:spacing w:after="0" w:line="276" w:lineRule="auto" w:before="80"/>
        <w:jc w:val="center"/>
      </w:pPr>
      <w:r>
        <w:rPr>
          <w:rFonts w:ascii="Times New Roman" w:hAnsi="Times New Roman" w:cs="Times New Roman" w:eastAsia="Times New Roman"/>
          <w:rFonts w:ascii="Times New Roman" w:hAnsi="Times New Roman"/>
          <w:b w:val="0"/>
          <w:sz w:val="24"/>
        </w:rPr>
        <w:t>Edizione Prima — Integrale</w:t>
      </w:r>
    </w:p>
    <w:p>
      <w:pPr>
        <w:spacing w:after="0" w:line="276" w:lineRule="auto" w:before="80"/>
        <w:jc w:val="center"/>
      </w:pPr>
      <w:r>
        <w:rPr>
          <w:rFonts w:ascii="Times New Roman" w:hAnsi="Times New Roman" w:cs="Times New Roman" w:eastAsia="Times New Roman"/>
          <w:rFonts w:ascii="Times New Roman" w:hAnsi="Times New Roman"/>
          <w:b w:val="0"/>
          <w:sz w:val="24"/>
        </w:rPr>
        <w:t>Luigi De Michele</w:t>
      </w:r>
    </w:p>
    <w:p>
      <w:pPr>
        <w:spacing w:after="0" w:line="276" w:lineRule="auto" w:before="80"/>
        <w:jc w:val="center"/>
      </w:pPr>
      <w:r>
        <w:rPr>
          <w:rFonts w:ascii="Times New Roman" w:hAnsi="Times New Roman" w:cs="Times New Roman" w:eastAsia="Times New Roman"/>
          <w:rFonts w:ascii="Times New Roman" w:hAnsi="Times New Roman"/>
          <w:b w:val="0"/>
          <w:sz w:val="24"/>
        </w:rPr>
        <w:t>Due agosto duemilaventisei</w:t>
      </w:r>
    </w:p>
    <w:p>
      <w:pPr>
        <w:spacing w:after="0" w:line="276" w:lineRule="auto"/>
        <w:ind w:firstLine="425"/>
        <w:jc w:val="both"/>
      </w:pPr>
      <w:r>
        <w:rPr>
          <w:rFonts w:ascii="Times New Roman" w:hAnsi="Times New Roman" w:cs="Times New Roman" w:eastAsia="Times New Roman"/>
          <w:rFonts w:ascii="Times New Roman" w:hAnsi="Times New Roman"/>
          <w:b/>
          <w:sz w:val="24"/>
        </w:rPr>
        <w:t>Statuto del documento.</w:t>
      </w:r>
      <w:r>
        <w:rPr>
          <w:rFonts w:ascii="Times New Roman" w:hAnsi="Times New Roman" w:cs="Times New Roman" w:eastAsia="Times New Roman"/>
          <w:rFonts w:ascii="Times New Roman" w:hAnsi="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PRIMA — NOTA METODOLOGICA</w:t>
      </w:r>
    </w:p>
    <w:p>
      <w:pPr>
        <w:spacing w:after="120" w:line="276" w:lineRule="auto" w:before="320"/>
        <w:jc w:val="left"/>
      </w:pPr>
      <w:r>
        <w:rPr>
          <w:rFonts w:ascii="Times New Roman" w:hAnsi="Times New Roman" w:cs="Times New Roman" w:eastAsia="Times New Roman"/>
          <w:rFonts w:ascii="Times New Roman" w:hAnsi="Times New Roman"/>
          <w:b/>
          <w:sz w:val="24"/>
        </w:rPr>
        <w:t>Premessa epistemologica: perché il Caso Moro è il caso limite del metodo</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rFonts w:ascii="Times New Roman" w:hAnsi="Times New Roman"/>
          <w:b/>
          <w:sz w:val="24"/>
        </w:rPr>
        <w:t>stratificare le asserzioni per grado di sostegno documentale</w:t>
      </w:r>
      <w:r>
        <w:rPr>
          <w:rFonts w:ascii="Times New Roman" w:hAnsi="Times New Roman" w:cs="Times New Roman" w:eastAsia="Times New Roman"/>
          <w:rFonts w:ascii="Times New Roman" w:hAnsi="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after="120" w:line="276" w:lineRule="auto" w:before="320"/>
        <w:jc w:val="left"/>
      </w:pPr>
      <w:r>
        <w:rPr>
          <w:rFonts w:ascii="Times New Roman" w:hAnsi="Times New Roman" w:cs="Times New Roman" w:eastAsia="Times New Roman"/>
          <w:rFonts w:ascii="Times New Roman" w:hAnsi="Times New Roman"/>
          <w:b/>
          <w:sz w:val="24"/>
        </w:rPr>
        <w:t>Il problema dell’induzione e il Pollo di Popper applicato al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after="0" w:line="276" w:lineRule="auto"/>
        <w:ind w:firstLine="425"/>
        <w:jc w:val="both"/>
      </w:pPr>
      <w:r>
        <w:rPr>
          <w:rFonts w:ascii="Times New Roman" w:hAnsi="Times New Roman" w:cs="Times New Roman" w:eastAsia="Times New Roman"/>
          <w:rFonts w:ascii="Times New Roman" w:hAnsi="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rFonts w:ascii="Times New Roman" w:hAnsi="Times New Roman"/>
          <w:b/>
          <w:sz w:val="24"/>
        </w:rPr>
        <w:t>per ogni asserzione si dichiara che cosa la falsificherebbe</w:t>
      </w:r>
      <w:r>
        <w:rPr>
          <w:rFonts w:ascii="Times New Roman" w:hAnsi="Times New Roman" w:cs="Times New Roman" w:eastAsia="Times New Roman"/>
          <w:rFonts w:ascii="Times New Roman" w:hAnsi="Times New Roman"/>
          <w:b w:val="0"/>
          <w:sz w:val="24"/>
        </w:rPr>
        <w:t>. Un’asserzione che non ammette confutazione concepibile non è conoscenza ma professione di fede, e come tale non entra nel Registro se non come oggetto, mai come strumento.</w:t>
      </w:r>
    </w:p>
    <w:p>
      <w:pPr>
        <w:spacing w:after="120" w:line="276" w:lineRule="auto" w:before="320"/>
        <w:jc w:val="left"/>
      </w:pPr>
      <w:r>
        <w:rPr>
          <w:rFonts w:ascii="Times New Roman" w:hAnsi="Times New Roman" w:cs="Times New Roman" w:eastAsia="Times New Roman"/>
          <w:rFonts w:ascii="Times New Roman" w:hAnsi="Times New Roman"/>
          <w:b/>
          <w:sz w:val="24"/>
        </w:rPr>
        <w:t>Il paradigma indiziario e la conoscenza per tracce</w:t>
      </w:r>
    </w:p>
    <w:p>
      <w:pPr>
        <w:spacing w:after="0" w:line="276" w:lineRule="auto"/>
        <w:ind w:firstLine="425"/>
        <w:jc w:val="both"/>
      </w:pPr>
      <w:r>
        <w:rPr>
          <w:rFonts w:ascii="Times New Roman" w:hAnsi="Times New Roman" w:cs="Times New Roman" w:eastAsia="Times New Roman"/>
          <w:rFonts w:ascii="Times New Roman" w:hAnsi="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after="0" w:line="276" w:lineRule="auto"/>
        <w:ind w:firstLine="425"/>
        <w:jc w:val="both"/>
      </w:pPr>
      <w:r>
        <w:rPr>
          <w:rFonts w:ascii="Times New Roman" w:hAnsi="Times New Roman" w:cs="Times New Roman" w:eastAsia="Times New Roman"/>
          <w:rFonts w:ascii="Times New Roman" w:hAnsi="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after="120" w:line="276" w:lineRule="auto" w:before="320"/>
        <w:jc w:val="left"/>
      </w:pPr>
      <w:r>
        <w:rPr>
          <w:rFonts w:ascii="Times New Roman" w:hAnsi="Times New Roman" w:cs="Times New Roman" w:eastAsia="Times New Roman"/>
          <w:rFonts w:ascii="Times New Roman" w:hAnsi="Times New Roman"/>
          <w:b/>
          <w:sz w:val="24"/>
        </w:rPr>
        <w:t>Il quadro sistemico: Luhmann e l’accoppiamento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rFonts w:ascii="Times New Roman" w:hAnsi="Times New Roman"/>
          <w:b/>
          <w:sz w:val="24"/>
        </w:rPr>
        <w:t>accoppiamento strutturale</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concerto</w:t>
      </w:r>
      <w:r>
        <w:rPr>
          <w:rFonts w:ascii="Times New Roman" w:hAnsi="Times New Roman" w:cs="Times New Roman" w:eastAsia="Times New Roman"/>
          <w:rFonts w:ascii="Times New Roman" w:hAnsi="Times New Roman"/>
          <w:b w:val="0"/>
          <w:sz w:val="24"/>
        </w:rPr>
        <w:t xml:space="preserve"> è, nel caso Moro, la distinzione fra analisi e dietrologia.</w:t>
      </w:r>
    </w:p>
    <w:p>
      <w:pPr>
        <w:spacing w:after="120" w:line="276" w:lineRule="auto" w:before="320"/>
        <w:jc w:val="left"/>
      </w:pPr>
      <w:r>
        <w:rPr>
          <w:rFonts w:ascii="Times New Roman" w:hAnsi="Times New Roman" w:cs="Times New Roman" w:eastAsia="Times New Roman"/>
          <w:rFonts w:ascii="Times New Roman" w:hAnsi="Times New Roman"/>
          <w:b/>
          <w:sz w:val="24"/>
        </w:rPr>
        <w:t>Network analysis: nodi, archi, livelli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after="0" w:line="276" w:lineRule="auto"/>
        <w:ind w:firstLine="425"/>
        <w:jc w:val="both"/>
      </w:pPr>
      <w:r>
        <w:rPr>
          <w:rFonts w:ascii="Times New Roman" w:hAnsi="Times New Roman" w:cs="Times New Roman" w:eastAsia="Times New Roman"/>
          <w:rFonts w:ascii="Times New Roman" w:hAnsi="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after="0" w:line="276" w:lineRule="auto"/>
        <w:ind w:firstLine="425"/>
        <w:jc w:val="both"/>
      </w:pPr>
      <w:r>
        <w:rPr>
          <w:rFonts w:ascii="Times New Roman" w:hAnsi="Times New Roman" w:cs="Times New Roman" w:eastAsia="Times New Roman"/>
          <w:rFonts w:ascii="Times New Roman" w:hAnsi="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after="120" w:line="276" w:lineRule="auto" w:before="320"/>
        <w:jc w:val="left"/>
      </w:pPr>
      <w:r>
        <w:rPr>
          <w:rFonts w:ascii="Times New Roman" w:hAnsi="Times New Roman" w:cs="Times New Roman" w:eastAsia="Times New Roman"/>
          <w:rFonts w:ascii="Times New Roman" w:hAnsi="Times New Roman"/>
          <w:b/>
          <w:sz w:val="24"/>
        </w:rPr>
        <w:t>Lo standard probatorio: la classificazione Savona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connessione ipotetica, si fonda su una fonte singola o su una convergenza di indizi circostanziali, ed è ipotesi investigativa esplicitamente marcata come tale, mai affermazione.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mentre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after="120" w:line="276" w:lineRule="auto" w:before="320"/>
        <w:jc w:val="left"/>
      </w:pPr>
      <w:r>
        <w:rPr>
          <w:rFonts w:ascii="Times New Roman" w:hAnsi="Times New Roman" w:cs="Times New Roman" w:eastAsia="Times New Roman"/>
          <w:rFonts w:ascii="Times New Roman" w:hAnsi="Times New Roman"/>
          <w:b/>
          <w:sz w:val="24"/>
        </w:rPr>
        <w:t>Ordo expositionis e ordo probandi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SECONDA — IL CORPUS E IL SUO CENSIMENTO</w:t>
      </w:r>
    </w:p>
    <w:p>
      <w:pPr>
        <w:spacing w:after="120" w:line="276" w:lineRule="auto" w:before="320"/>
        <w:jc w:val="left"/>
      </w:pPr>
      <w:r>
        <w:rPr>
          <w:rFonts w:ascii="Times New Roman" w:hAnsi="Times New Roman" w:cs="Times New Roman" w:eastAsia="Times New Roman"/>
          <w:rFonts w:ascii="Times New Roman" w:hAnsi="Times New Roman"/>
          <w:b/>
          <w:sz w:val="24"/>
        </w:rPr>
        <w:t>Consistenza del sottocorpus</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after="0" w:line="276" w:lineRule="auto"/>
        <w:ind w:firstLine="425"/>
        <w:jc w:val="both"/>
      </w:pPr>
      <w:r>
        <w:rPr>
          <w:rFonts w:ascii="Times New Roman" w:hAnsi="Times New Roman" w:cs="Times New Roman" w:eastAsia="Times New Roman"/>
          <w:rFonts w:ascii="Times New Roman" w:hAnsi="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after="120" w:line="276" w:lineRule="auto" w:before="320"/>
        <w:jc w:val="left"/>
      </w:pPr>
      <w:r>
        <w:rPr>
          <w:rFonts w:ascii="Times New Roman" w:hAnsi="Times New Roman" w:cs="Times New Roman" w:eastAsia="Times New Roman"/>
          <w:rFonts w:ascii="Times New Roman" w:hAnsi="Times New Roman"/>
          <w:b/>
          <w:sz w:val="24"/>
        </w:rPr>
        <w:t>Indice di Contaminazione della Fonte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rFonts w:ascii="Times New Roman" w:hAnsi="Times New Roman"/>
          <w:b/>
          <w:sz w:val="24"/>
        </w:rPr>
        <w:t>terza rispetto ai fatti</w:t>
      </w:r>
      <w:r>
        <w:rPr>
          <w:rFonts w:ascii="Times New Roman" w:hAnsi="Times New Roman" w:cs="Times New Roman" w:eastAsia="Times New Roman"/>
          <w:rFonts w:ascii="Times New Roman" w:hAnsi="Times New Roman"/>
          <w:b w:val="0"/>
          <w:sz w:val="24"/>
        </w:rPr>
        <w:t xml:space="preserve"> che riferisce; ma non è </w:t>
      </w:r>
      <w:r>
        <w:rPr>
          <w:rFonts w:ascii="Times New Roman" w:hAnsi="Times New Roman" w:cs="Times New Roman" w:eastAsia="Times New Roman"/>
          <w:rFonts w:ascii="Times New Roman" w:hAnsi="Times New Roman"/>
          <w:b/>
          <w:sz w:val="24"/>
        </w:rPr>
        <w:t>neutra rispetto alle ipotesi</w:t>
      </w:r>
      <w:r>
        <w:rPr>
          <w:rFonts w:ascii="Times New Roman" w:hAnsi="Times New Roman" w:cs="Times New Roman" w:eastAsia="Times New Roman"/>
          <w:rFonts w:ascii="Times New Roman" w:hAnsi="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quale che sia il tono assertivo dell’originale.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after="120" w:line="276" w:lineRule="auto" w:before="320"/>
        <w:jc w:val="left"/>
      </w:pPr>
      <w:r>
        <w:rPr>
          <w:rFonts w:ascii="Times New Roman" w:hAnsi="Times New Roman" w:cs="Times New Roman" w:eastAsia="Times New Roman"/>
          <w:rFonts w:ascii="Times New Roman" w:hAnsi="Times New Roman"/>
          <w:b/>
          <w:sz w:val="24"/>
        </w:rPr>
        <w:t>La lacuna stenografica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rFonts w:ascii="Times New Roman" w:hAnsi="Times New Roman"/>
          <w:b/>
          <w:sz w:val="24"/>
        </w:rPr>
        <w:t>prima lacuna operativa</w:t>
      </w:r>
      <w:r>
        <w:rPr>
          <w:rFonts w:ascii="Times New Roman" w:hAnsi="Times New Roman" w:cs="Times New Roman" w:eastAsia="Times New Roman"/>
          <w:rFonts w:ascii="Times New Roman" w:hAnsi="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TERZA — I DIECI DOMINI DECLINATI SUL CASO MORO</w:t>
      </w:r>
    </w:p>
    <w:p>
      <w:pPr>
        <w:spacing w:after="0" w:line="276" w:lineRule="auto"/>
        <w:ind w:firstLine="425"/>
        <w:jc w:val="both"/>
      </w:pPr>
      <w:r>
        <w:rPr>
          <w:rFonts w:ascii="Times New Roman" w:hAnsi="Times New Roman" w:cs="Times New Roman" w:eastAsia="Times New Roman"/>
          <w:rFonts w:ascii="Times New Roman" w:hAnsi="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primo, criminalità organizzata.</w:t>
      </w:r>
      <w:r>
        <w:rPr>
          <w:rFonts w:ascii="Times New Roman" w:hAnsi="Times New Roman" w:cs="Times New Roman" w:eastAsia="Times New Roman"/>
          <w:rFonts w:ascii="Times New Roman" w:hAnsi="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secondo, potere politico.</w:t>
      </w:r>
      <w:r>
        <w:rPr>
          <w:rFonts w:ascii="Times New Roman" w:hAnsi="Times New Roman" w:cs="Times New Roman" w:eastAsia="Times New Roman"/>
          <w:rFonts w:ascii="Times New Roman" w:hAnsi="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after="0" w:line="276" w:lineRule="auto"/>
        <w:ind w:firstLine="425"/>
        <w:jc w:val="both"/>
      </w:pPr>
      <w:r>
        <w:rPr>
          <w:rFonts w:ascii="Times New Roman" w:hAnsi="Times New Roman" w:cs="Times New Roman" w:eastAsia="Times New Roman"/>
          <w:rFonts w:ascii="Times New Roman" w:hAnsi="Times New Roman"/>
          <w:b/>
          <w:sz w:val="24"/>
        </w:rPr>
        <w:t>Dominio terzo, intelligence e servizi.</w:t>
      </w:r>
      <w:r>
        <w:rPr>
          <w:rFonts w:ascii="Times New Roman" w:hAnsi="Times New Roman" w:cs="Times New Roman" w:eastAsia="Times New Roman"/>
          <w:rFonts w:ascii="Times New Roman" w:hAnsi="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 insieme quello dove la distinzione fra accoppiamento strutturale e concerto è più difficile e più necessaria.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quarto, massoneria e società segrete.</w:t>
      </w:r>
      <w:r>
        <w:rPr>
          <w:rFonts w:ascii="Times New Roman" w:hAnsi="Times New Roman" w:cs="Times New Roman" w:eastAsia="Times New Roman"/>
          <w:rFonts w:ascii="Times New Roman" w:hAnsi="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alle acquisizioni che riferisce. La risorsa propria è la rete relazionale riservata, che opera per accesso e non per comando.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quinto, istituzioni religiose.</w:t>
      </w:r>
      <w:r>
        <w:rPr>
          <w:rFonts w:ascii="Times New Roman" w:hAnsi="Times New Roman" w:cs="Times New Roman" w:eastAsia="Times New Roman"/>
          <w:rFonts w:ascii="Times New Roman" w:hAnsi="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sesto, economia e finanza.</w:t>
      </w:r>
      <w:r>
        <w:rPr>
          <w:rFonts w:ascii="Times New Roman" w:hAnsi="Times New Roman" w:cs="Times New Roman" w:eastAsia="Times New Roman"/>
          <w:rFonts w:ascii="Times New Roman" w:hAnsi="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sz w:val="24"/>
        </w:rPr>
        <w:t>Dominio settimo, terrorismo e violenza politica.</w:t>
      </w:r>
      <w:r>
        <w:rPr>
          <w:rFonts w:ascii="Times New Roman" w:hAnsi="Times New Roman" w:cs="Times New Roman" w:eastAsia="Times New Roman"/>
          <w:rFonts w:ascii="Times New Roman" w:hAnsi="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ottavo, media e controllo dell’informazione.</w:t>
      </w:r>
      <w:r>
        <w:rPr>
          <w:rFonts w:ascii="Times New Roman" w:hAnsi="Times New Roman" w:cs="Times New Roman" w:eastAsia="Times New Roman"/>
          <w:rFonts w:ascii="Times New Roman" w:hAnsi="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after="0" w:line="276" w:lineRule="auto"/>
        <w:ind w:firstLine="425"/>
        <w:jc w:val="both"/>
      </w:pPr>
      <w:r>
        <w:rPr>
          <w:rFonts w:ascii="Times New Roman" w:hAnsi="Times New Roman" w:cs="Times New Roman" w:eastAsia="Times New Roman"/>
          <w:rFonts w:ascii="Times New Roman" w:hAnsi="Times New Roman"/>
          <w:b/>
          <w:sz w:val="24"/>
        </w:rPr>
        <w:t>Dominio nono, forze armate e apparato militare.</w:t>
      </w:r>
      <w:r>
        <w:rPr>
          <w:rFonts w:ascii="Times New Roman" w:hAnsi="Times New Roman" w:cs="Times New Roman" w:eastAsia="Times New Roman"/>
          <w:rFonts w:ascii="Times New Roman" w:hAnsi="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after="0" w:line="276" w:lineRule="auto"/>
        <w:ind w:firstLine="425"/>
        <w:jc w:val="both"/>
      </w:pPr>
      <w:r>
        <w:rPr>
          <w:rFonts w:ascii="Times New Roman" w:hAnsi="Times New Roman" w:cs="Times New Roman" w:eastAsia="Times New Roman"/>
          <w:rFonts w:ascii="Times New Roman" w:hAnsi="Times New Roman"/>
          <w:b/>
          <w:sz w:val="24"/>
        </w:rPr>
        <w:t>Dominio decimo, magistratura e sistema giudiziario.</w:t>
      </w:r>
      <w:r>
        <w:rPr>
          <w:rFonts w:ascii="Times New Roman" w:hAnsi="Times New Roman" w:cs="Times New Roman" w:eastAsia="Times New Roman"/>
          <w:rFonts w:ascii="Times New Roman" w:hAnsi="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QUARTA — LA TIPOLOGIA DEGLI ARCHI E LE COPPIE INTER-DOMINIO</w:t>
      </w:r>
    </w:p>
    <w:p>
      <w:pPr>
        <w:spacing w:after="0" w:line="276" w:lineRule="auto"/>
        <w:ind w:firstLine="425"/>
        <w:jc w:val="both"/>
      </w:pPr>
      <w:r>
        <w:rPr>
          <w:rFonts w:ascii="Times New Roman" w:hAnsi="Times New Roman" w:cs="Times New Roman" w:eastAsia="Times New Roman"/>
          <w:rFonts w:ascii="Times New Roman" w:hAnsi="Times New Roman"/>
          <w:b w:val="0"/>
          <w:sz w:val="24"/>
        </w:rPr>
        <w:t>Gli archi che collegano nodi di Domini diversi si classificano secondo sei tipi. L’</w:t>
      </w:r>
      <w:r>
        <w:rPr>
          <w:rFonts w:ascii="Times New Roman" w:hAnsi="Times New Roman" w:cs="Times New Roman" w:eastAsia="Times New Roman"/>
          <w:rFonts w:ascii="Times New Roman" w:hAnsi="Times New Roman"/>
          <w:b/>
          <w:sz w:val="24"/>
        </w:rPr>
        <w:t>arco di collusione</w:t>
      </w:r>
      <w:r>
        <w:rPr>
          <w:rFonts w:ascii="Times New Roman" w:hAnsi="Times New Roman" w:cs="Times New Roman" w:eastAsia="Times New Roman"/>
          <w:rFonts w:ascii="Times New Roman" w:hAnsi="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rFonts w:ascii="Times New Roman" w:hAnsi="Times New Roman"/>
          <w:b/>
          <w:sz w:val="24"/>
        </w:rPr>
        <w:t>arco di strumentalizzazione</w:t>
      </w:r>
      <w:r>
        <w:rPr>
          <w:rFonts w:ascii="Times New Roman" w:hAnsi="Times New Roman" w:cs="Times New Roman" w:eastAsia="Times New Roman"/>
          <w:rFonts w:ascii="Times New Roman" w:hAnsi="Times New Roman"/>
          <w:b w:val="0"/>
          <w:sz w:val="24"/>
        </w:rPr>
        <w:t xml:space="preserve"> vede un attore usare l’altro come mezzo, senza che questi ne sia necessariamente consapevole. L’</w:t>
      </w:r>
      <w:r>
        <w:rPr>
          <w:rFonts w:ascii="Times New Roman" w:hAnsi="Times New Roman" w:cs="Times New Roman" w:eastAsia="Times New Roman"/>
          <w:rFonts w:ascii="Times New Roman" w:hAnsi="Times New Roman"/>
          <w:b/>
          <w:sz w:val="24"/>
        </w:rPr>
        <w:t>arco di infiltrazione</w:t>
      </w:r>
      <w:r>
        <w:rPr>
          <w:rFonts w:ascii="Times New Roman" w:hAnsi="Times New Roman" w:cs="Times New Roman" w:eastAsia="Times New Roman"/>
          <w:rFonts w:ascii="Times New Roman" w:hAnsi="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rFonts w:ascii="Times New Roman" w:hAnsi="Times New Roman"/>
          <w:b/>
          <w:sz w:val="24"/>
        </w:rPr>
        <w:t>arco di convergenza</w:t>
      </w:r>
      <w:r>
        <w:rPr>
          <w:rFonts w:ascii="Times New Roman" w:hAnsi="Times New Roman" w:cs="Times New Roman" w:eastAsia="Times New Roman"/>
          <w:rFonts w:ascii="Times New Roman" w:hAnsi="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rFonts w:ascii="Times New Roman" w:hAnsi="Times New Roman"/>
          <w:b/>
          <w:sz w:val="24"/>
        </w:rPr>
        <w:t>arco di transito</w:t>
      </w:r>
      <w:r>
        <w:rPr>
          <w:rFonts w:ascii="Times New Roman" w:hAnsi="Times New Roman" w:cs="Times New Roman" w:eastAsia="Times New Roman"/>
          <w:rFonts w:ascii="Times New Roman" w:hAnsi="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rFonts w:ascii="Times New Roman" w:hAnsi="Times New Roman"/>
          <w:b/>
          <w:sz w:val="24"/>
        </w:rPr>
        <w:t>arco di ospitalità o santuario</w:t>
      </w:r>
      <w:r>
        <w:rPr>
          <w:rFonts w:ascii="Times New Roman" w:hAnsi="Times New Roman" w:cs="Times New Roman" w:eastAsia="Times New Roman"/>
          <w:rFonts w:ascii="Times New Roman" w:hAnsi="Times New Roman"/>
          <w:b w:val="0"/>
          <w:sz w:val="24"/>
        </w:rPr>
        <w:t xml:space="preserve"> descrive la messa a disposizione di uno spazio, materiale o istituzionale, che consente all’altro di operare senza che vi sia necessariamente condivisione di fini.</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QUINTA — REGISTRO DEI NODI</w:t>
      </w:r>
    </w:p>
    <w:p>
      <w:pPr>
        <w:spacing w:after="120" w:line="276" w:lineRule="auto" w:before="320"/>
        <w:jc w:val="left"/>
      </w:pPr>
      <w:r>
        <w:rPr>
          <w:rFonts w:ascii="Times New Roman" w:hAnsi="Times New Roman" w:cs="Times New Roman" w:eastAsia="Times New Roman"/>
          <w:rFonts w:ascii="Times New Roman" w:hAnsi="Times New Roman"/>
          <w:b/>
          <w:sz w:val="24"/>
        </w:rPr>
        <w:t>Nodo centrale</w:t>
      </w:r>
    </w:p>
    <w:p>
      <w:pPr>
        <w:spacing w:after="0" w:line="276" w:lineRule="auto"/>
        <w:ind w:firstLine="425"/>
        <w:jc w:val="both"/>
      </w:pPr>
      <w:r>
        <w:rPr>
          <w:rFonts w:ascii="Times New Roman" w:hAnsi="Times New Roman" w:cs="Times New Roman" w:eastAsia="Times New Roman"/>
          <w:rFonts w:ascii="Times New Roman" w:hAnsi="Times New Roman"/>
          <w:b/>
          <w:sz w:val="24"/>
        </w:rPr>
        <w:t>Aldo Moro.</w:t>
      </w:r>
      <w:r>
        <w:rPr>
          <w:rFonts w:ascii="Times New Roman" w:hAnsi="Times New Roman" w:cs="Times New Roman" w:eastAsia="Times New Roman"/>
          <w:rFonts w:ascii="Times New Roman" w:hAnsi="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settimo — l’organizzazione armata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il nucleo duro attorno al quale ogni ipotesi ulteriore deve costruirsi senza contraddirlo. </w:t>
      </w:r>
      <w:r>
        <w:rPr>
          <w:rFonts w:ascii="Times New Roman" w:hAnsi="Times New Roman" w:cs="Times New Roman" w:eastAsia="Times New Roman"/>
          <w:rFonts w:ascii="Times New Roman" w:hAnsi="Times New Roman"/>
          <w:b/>
          <w:sz w:val="24"/>
        </w:rPr>
        <w:t>Mario Moretti</w:t>
      </w:r>
      <w:r>
        <w:rPr>
          <w:rFonts w:ascii="Times New Roman" w:hAnsi="Times New Roman" w:cs="Times New Roman" w:eastAsia="Times New Roman"/>
          <w:rFonts w:ascii="Times New Roman" w:hAnsi="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Valerio Morucci</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Adriana Faranda</w:t>
      </w:r>
      <w:r>
        <w:rPr>
          <w:rFonts w:ascii="Times New Roman" w:hAnsi="Times New Roman" w:cs="Times New Roman" w:eastAsia="Times New Roman"/>
          <w:rFonts w:ascii="Times New Roman" w:hAnsi="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proveniente da relazione parlamentare circostanziata.</w:t>
      </w:r>
    </w:p>
    <w:p>
      <w:pPr>
        <w:spacing w:after="0" w:line="276" w:lineRule="auto"/>
        <w:ind w:firstLine="425"/>
        <w:jc w:val="both"/>
      </w:pPr>
      <w:r>
        <w:rPr>
          <w:rFonts w:ascii="Times New Roman" w:hAnsi="Times New Roman" w:cs="Times New Roman" w:eastAsia="Times New Roman"/>
          <w:rFonts w:ascii="Times New Roman" w:hAnsi="Times New Roman"/>
          <w:b/>
          <w:sz w:val="24"/>
        </w:rPr>
        <w:t>Prospero Gallinari</w:t>
      </w:r>
      <w:r>
        <w:rPr>
          <w:rFonts w:ascii="Times New Roman" w:hAnsi="Times New Roman" w:cs="Times New Roman" w:eastAsia="Times New Roman"/>
          <w:rFonts w:ascii="Times New Roman" w:hAnsi="Times New Roman"/>
          <w:b w:val="0"/>
          <w:sz w:val="24"/>
        </w:rPr>
        <w:t xml:space="preserve">, ferito e arrestato nel settembre millenovecentosettantanove, e </w:t>
      </w:r>
      <w:r>
        <w:rPr>
          <w:rFonts w:ascii="Times New Roman" w:hAnsi="Times New Roman" w:cs="Times New Roman" w:eastAsia="Times New Roman"/>
          <w:rFonts w:ascii="Times New Roman" w:hAnsi="Times New Roman"/>
          <w:b/>
          <w:sz w:val="24"/>
        </w:rPr>
        <w:t>Anna Laura Braghetti</w:t>
      </w:r>
      <w:r>
        <w:rPr>
          <w:rFonts w:ascii="Times New Roman" w:hAnsi="Times New Roman" w:cs="Times New Roman" w:eastAsia="Times New Roman"/>
          <w:rFonts w:ascii="Times New Roman" w:hAnsi="Times New Roman"/>
          <w:b w:val="0"/>
          <w:sz w:val="24"/>
        </w:rPr>
        <w:t xml:space="preserve">, arrestata nel maggio millenovecentottanta, sono nodi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alla seconda era intestato l’appartamento di via Camillo Montalcini, sede della prigione. </w:t>
      </w:r>
      <w:r>
        <w:rPr>
          <w:rFonts w:ascii="Times New Roman" w:hAnsi="Times New Roman" w:cs="Times New Roman" w:eastAsia="Times New Roman"/>
          <w:rFonts w:ascii="Times New Roman" w:hAnsi="Times New Roman"/>
          <w:b/>
          <w:sz w:val="24"/>
        </w:rPr>
        <w:t>Barbara Balzerani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Corrado Alunni</w:t>
      </w:r>
      <w:r>
        <w:rPr>
          <w:rFonts w:ascii="Times New Roman" w:hAnsi="Times New Roman" w:cs="Times New Roman" w:eastAsia="Times New Roman"/>
          <w:rFonts w:ascii="Times New Roman" w:hAnsi="Times New Roman"/>
          <w:b w:val="0"/>
          <w:sz w:val="24"/>
        </w:rPr>
        <w:t xml:space="preserve">, </w:t>
      </w:r>
      <w:r>
        <w:rPr>
          <w:rFonts w:ascii="Times New Roman" w:hAnsi="Times New Roman" w:cs="Times New Roman" w:eastAsia="Times New Roman"/>
          <w:rFonts w:ascii="Times New Roman" w:hAnsi="Times New Roman"/>
          <w:b/>
          <w:sz w:val="24"/>
        </w:rPr>
        <w:t>Renato Curcio</w:t>
      </w:r>
      <w:r>
        <w:rPr>
          <w:rFonts w:ascii="Times New Roman" w:hAnsi="Times New Roman" w:cs="Times New Roman" w:eastAsia="Times New Roman"/>
          <w:rFonts w:ascii="Times New Roman" w:hAnsi="Times New Roman"/>
          <w:b w:val="0"/>
          <w:sz w:val="24"/>
        </w:rPr>
        <w:t xml:space="preserve"> e </w:t>
      </w:r>
      <w:r>
        <w:rPr>
          <w:rFonts w:ascii="Times New Roman" w:hAnsi="Times New Roman" w:cs="Times New Roman" w:eastAsia="Times New Roman"/>
          <w:rFonts w:ascii="Times New Roman" w:hAnsi="Times New Roman"/>
          <w:b/>
          <w:sz w:val="24"/>
        </w:rPr>
        <w:t>Alberto Franceschini</w:t>
      </w:r>
      <w:r>
        <w:rPr>
          <w:rFonts w:ascii="Times New Roman" w:hAnsi="Times New Roman" w:cs="Times New Roman" w:eastAsia="Times New Roman"/>
          <w:rFonts w:ascii="Times New Roman" w:hAnsi="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after="120" w:line="276" w:lineRule="auto" w:before="320"/>
        <w:jc w:val="left"/>
      </w:pPr>
      <w:r>
        <w:rPr>
          <w:rFonts w:ascii="Times New Roman" w:hAnsi="Times New Roman" w:cs="Times New Roman" w:eastAsia="Times New Roman"/>
          <w:rFonts w:ascii="Times New Roman" w:hAnsi="Times New Roman"/>
          <w:b/>
          <w:sz w:val="24"/>
        </w:rPr>
        <w:t>Dominio terzo — apparati informativi e comitati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comitato di crisi</w:t>
      </w:r>
      <w:r>
        <w:rPr>
          <w:rFonts w:ascii="Times New Roman" w:hAnsi="Times New Roman" w:cs="Times New Roman" w:eastAsia="Times New Roman"/>
          <w:rFonts w:ascii="Times New Roman" w:hAnsi="Times New Roman"/>
          <w:b w:val="0"/>
          <w:sz w:val="24"/>
        </w:rPr>
        <w:t xml:space="preserve"> costituito presso il Ministero dell’interno è nodo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 sua esistenza, composizione e funzionamento. </w:t>
      </w:r>
      <w:r>
        <w:rPr>
          <w:rFonts w:ascii="Times New Roman" w:hAnsi="Times New Roman" w:cs="Times New Roman" w:eastAsia="Times New Roman"/>
          <w:rFonts w:ascii="Times New Roman" w:hAnsi="Times New Roman"/>
          <w:b/>
          <w:sz w:val="24"/>
        </w:rPr>
        <w:t>Steve Pieczenik</w:t>
      </w:r>
      <w:r>
        <w:rPr>
          <w:rFonts w:ascii="Times New Roman" w:hAnsi="Times New Roman" w:cs="Times New Roman" w:eastAsia="Times New Roman"/>
          <w:rFonts w:ascii="Times New Roman" w:hAnsi="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rFonts w:ascii="Times New Roman" w:hAnsi="Times New Roman"/>
          <w:b/>
          <w:sz w:val="24"/>
        </w:rPr>
        <w:t>autodichiarazioni rese a distanza di decenni</w:t>
      </w:r>
      <w:r>
        <w:rPr>
          <w:rFonts w:ascii="Times New Roman" w:hAnsi="Times New Roman" w:cs="Times New Roman" w:eastAsia="Times New Roman"/>
          <w:rFonts w:ascii="Times New Roman" w:hAnsi="Times New Roman"/>
          <w:b w:val="0"/>
          <w:sz w:val="24"/>
        </w:rPr>
        <w:t xml:space="preserve"> e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after="120" w:line="276" w:lineRule="auto" w:before="320"/>
        <w:jc w:val="left"/>
      </w:pPr>
      <w:r>
        <w:rPr>
          <w:rFonts w:ascii="Times New Roman" w:hAnsi="Times New Roman" w:cs="Times New Roman" w:eastAsia="Times New Roman"/>
          <w:rFonts w:ascii="Times New Roman" w:hAnsi="Times New Roman"/>
          <w:b/>
          <w:sz w:val="24"/>
        </w:rPr>
        <w:t>Dominio quinto — la mediazione religiosa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L’iniziativa personale del Pontefice in favore di una soluzione che salvasse la vita del prigioniero è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all’indicazione,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120" w:line="276" w:lineRule="auto" w:before="320"/>
        <w:jc w:val="left"/>
      </w:pPr>
      <w:r>
        <w:rPr>
          <w:rFonts w:ascii="Times New Roman" w:hAnsi="Times New Roman" w:cs="Times New Roman" w:eastAsia="Times New Roman"/>
          <w:rFonts w:ascii="Times New Roman" w:hAnsi="Times New Roman"/>
          <w:b/>
          <w:sz w:val="24"/>
        </w:rPr>
        <w:t>Dominio primo — criminalità organizzata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w:t>
      </w:r>
      <w:r>
        <w:rPr>
          <w:rFonts w:ascii="Times New Roman" w:hAnsi="Times New Roman" w:cs="Times New Roman" w:eastAsia="Times New Roman"/>
          <w:rFonts w:ascii="Times New Roman" w:hAnsi="Times New Roman"/>
          <w:b/>
          <w:sz w:val="24"/>
        </w:rPr>
        <w:t>falso comunicato numero sette</w:t>
      </w:r>
      <w:r>
        <w:rPr>
          <w:rFonts w:ascii="Times New Roman" w:hAnsi="Times New Roman" w:cs="Times New Roman" w:eastAsia="Times New Roman"/>
          <w:rFonts w:ascii="Times New Roman" w:hAnsi="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rFonts w:ascii="Times New Roman" w:hAnsi="Times New Roman"/>
          <w:b/>
          <w:sz w:val="24"/>
        </w:rPr>
        <w:t>dichiarazione singola non riscontrata</w:t>
      </w:r>
      <w:r>
        <w:rPr>
          <w:rFonts w:ascii="Times New Roman" w:hAnsi="Times New Roman" w:cs="Times New Roman" w:eastAsia="Times New Roman"/>
          <w:rFonts w:ascii="Times New Roman" w:hAnsi="Times New Roman"/>
          <w:b w:val="0"/>
          <w:sz w:val="24"/>
        </w:rPr>
        <w:t xml:space="preserve"> e resta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quanto all’identificazione di chiunque,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sussistenza di elementi che hanno indotto una Commissione parlamentare a ritenerla non esclusa.</w:t>
      </w:r>
    </w:p>
    <w:p>
      <w:pPr>
        <w:spacing w:after="120" w:line="276" w:lineRule="auto" w:before="320"/>
        <w:jc w:val="left"/>
      </w:pPr>
      <w:r>
        <w:rPr>
          <w:rFonts w:ascii="Times New Roman" w:hAnsi="Times New Roman" w:cs="Times New Roman" w:eastAsia="Times New Roman"/>
          <w:rFonts w:ascii="Times New Roman" w:hAnsi="Times New Roman"/>
          <w:b/>
          <w:sz w:val="24"/>
        </w:rPr>
        <w:t>Dominio ottavo e Dominio quarto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in quanto fondate su testimonianza resa a magistrato e riportata in relazione parlamentare.</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SESTA — I CINQUANTACINQUE GIORNI: CRONOLOGIA STRUTTURALE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rinviando alle sezioni precedenti per le asserzioni di livello inferiore.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e costituisce, per la sua precisione, un elemento diagnostico che qualunque ipotesi deve saper spiegare.</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quanto al fatto, oggetto di interpretazione quanto al significato.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e costituisce il maggiore problema documentale del caso, poiché ogni ricostruzione fondata sulla prima tranche è stata elaborata nell’ignoranza della seconda.</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SETTIMA — I PATTERN ANALITICI APPLICATI</w:t>
      </w:r>
    </w:p>
    <w:p>
      <w:pPr>
        <w:spacing w:after="0" w:line="276" w:lineRule="auto"/>
        <w:ind w:firstLine="425"/>
        <w:jc w:val="both"/>
      </w:pPr>
      <w:r>
        <w:rPr>
          <w:rFonts w:ascii="Times New Roman" w:hAnsi="Times New Roman" w:cs="Times New Roman" w:eastAsia="Times New Roman"/>
          <w:rFonts w:ascii="Times New Roman" w:hAnsi="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after="0" w:line="276" w:lineRule="auto"/>
        <w:ind w:firstLine="425"/>
        <w:jc w:val="both"/>
      </w:pPr>
      <w:r>
        <w:rPr>
          <w:rFonts w:ascii="Times New Roman" w:hAnsi="Times New Roman" w:cs="Times New Roman" w:eastAsia="Times New Roman"/>
          <w:rFonts w:ascii="Times New Roman" w:hAnsi="Times New Roman"/>
          <w:b/>
          <w:sz w:val="24"/>
        </w:rPr>
        <w:t>Primo Pattern, analisi dei nodi centrali.</w:t>
      </w:r>
      <w:r>
        <w:rPr>
          <w:rFonts w:ascii="Times New Roman" w:hAnsi="Times New Roman" w:cs="Times New Roman" w:eastAsia="Times New Roman"/>
          <w:rFonts w:ascii="Times New Roman" w:hAnsi="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after="0" w:line="276" w:lineRule="auto"/>
        <w:ind w:firstLine="425"/>
        <w:jc w:val="both"/>
      </w:pPr>
      <w:r>
        <w:rPr>
          <w:rFonts w:ascii="Times New Roman" w:hAnsi="Times New Roman" w:cs="Times New Roman" w:eastAsia="Times New Roman"/>
          <w:rFonts w:ascii="Times New Roman" w:hAnsi="Times New Roman"/>
          <w:b/>
          <w:sz w:val="24"/>
        </w:rPr>
        <w:t>Secondo Pattern, identificazione dei cluster.</w:t>
      </w:r>
      <w:r>
        <w:rPr>
          <w:rFonts w:ascii="Times New Roman" w:hAnsi="Times New Roman" w:cs="Times New Roman" w:eastAsia="Times New Roman"/>
          <w:rFonts w:ascii="Times New Roman" w:hAnsi="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ossia comunità statistica e non struttura operativa accertata.</w:t>
      </w:r>
    </w:p>
    <w:p>
      <w:pPr>
        <w:spacing w:after="0" w:line="276" w:lineRule="auto"/>
        <w:ind w:firstLine="425"/>
        <w:jc w:val="both"/>
      </w:pPr>
      <w:r>
        <w:rPr>
          <w:rFonts w:ascii="Times New Roman" w:hAnsi="Times New Roman" w:cs="Times New Roman" w:eastAsia="Times New Roman"/>
          <w:rFonts w:ascii="Times New Roman" w:hAnsi="Times New Roman"/>
          <w:b/>
          <w:sz w:val="24"/>
        </w:rPr>
        <w:t>Terzo Pattern, analisi delle coincidenze temporali.</w:t>
      </w:r>
      <w:r>
        <w:rPr>
          <w:rFonts w:ascii="Times New Roman" w:hAnsi="Times New Roman" w:cs="Times New Roman" w:eastAsia="Times New Roman"/>
          <w:rFonts w:ascii="Times New Roman" w:hAnsi="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after="0" w:line="276" w:lineRule="auto"/>
        <w:ind w:firstLine="425"/>
        <w:jc w:val="both"/>
      </w:pPr>
      <w:r>
        <w:rPr>
          <w:rFonts w:ascii="Times New Roman" w:hAnsi="Times New Roman" w:cs="Times New Roman" w:eastAsia="Times New Roman"/>
          <w:rFonts w:ascii="Times New Roman" w:hAnsi="Times New Roman"/>
          <w:b/>
          <w:sz w:val="24"/>
        </w:rPr>
        <w:t>Quinto Pattern, analisi dei buchi strutturali.</w:t>
      </w:r>
      <w:r>
        <w:rPr>
          <w:rFonts w:ascii="Times New Roman" w:hAnsi="Times New Roman" w:cs="Times New Roman" w:eastAsia="Times New Roman"/>
          <w:rFonts w:ascii="Times New Roman" w:hAnsi="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after="0" w:line="276" w:lineRule="auto"/>
        <w:ind w:firstLine="425"/>
        <w:jc w:val="both"/>
      </w:pPr>
      <w:r>
        <w:rPr>
          <w:rFonts w:ascii="Times New Roman" w:hAnsi="Times New Roman" w:cs="Times New Roman" w:eastAsia="Times New Roman"/>
          <w:rFonts w:ascii="Times New Roman" w:hAnsi="Times New Roman"/>
          <w:b/>
          <w:sz w:val="24"/>
        </w:rPr>
        <w:t>Sesto Pattern, analisi delle ipotesi concorrenti.</w:t>
      </w:r>
      <w:r>
        <w:rPr>
          <w:rFonts w:ascii="Times New Roman" w:hAnsi="Times New Roman" w:cs="Times New Roman" w:eastAsia="Times New Roman"/>
          <w:rFonts w:ascii="Times New Roman" w:hAnsi="Times New Roman"/>
          <w:b w:val="0"/>
          <w:sz w:val="24"/>
        </w:rPr>
        <w:t xml:space="preserve"> È il Pattern che governa la Parte ottava e che nel caso Moro assume rilievo dirimente.</w:t>
      </w:r>
    </w:p>
    <w:p>
      <w:pPr>
        <w:spacing w:after="0" w:line="276" w:lineRule="auto"/>
        <w:ind w:firstLine="425"/>
        <w:jc w:val="both"/>
      </w:pPr>
      <w:r>
        <w:rPr>
          <w:rFonts w:ascii="Times New Roman" w:hAnsi="Times New Roman" w:cs="Times New Roman" w:eastAsia="Times New Roman"/>
          <w:rFonts w:ascii="Times New Roman" w:hAnsi="Times New Roman"/>
          <w:b/>
          <w:sz w:val="24"/>
        </w:rPr>
        <w:t>Ottavo Pattern, analisi dello sfruttamento delle crisi.</w:t>
      </w:r>
      <w:r>
        <w:rPr>
          <w:rFonts w:ascii="Times New Roman" w:hAnsi="Times New Roman" w:cs="Times New Roman" w:eastAsia="Times New Roman"/>
          <w:rFonts w:ascii="Times New Roman" w:hAnsi="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che è compatibile con ipotesi diverse e non ne privilegia alcuna.</w:t>
      </w:r>
    </w:p>
    <w:p>
      <w:pPr>
        <w:spacing w:after="0" w:line="276" w:lineRule="auto"/>
        <w:ind w:firstLine="425"/>
        <w:jc w:val="both"/>
      </w:pPr>
      <w:r>
        <w:rPr>
          <w:rFonts w:ascii="Times New Roman" w:hAnsi="Times New Roman" w:cs="Times New Roman" w:eastAsia="Times New Roman"/>
          <w:rFonts w:ascii="Times New Roman" w:hAnsi="Times New Roman"/>
          <w:b/>
          <w:sz w:val="24"/>
        </w:rPr>
        <w:t>Undicesimo Pattern, isomorfismo strutturale.</w:t>
      </w:r>
      <w:r>
        <w:rPr>
          <w:rFonts w:ascii="Times New Roman" w:hAnsi="Times New Roman" w:cs="Times New Roman" w:eastAsia="Times New Roman"/>
          <w:rFonts w:ascii="Times New Roman" w:hAnsi="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ogni lettura che ne inferisca origine comune.</w:t>
      </w:r>
    </w:p>
    <w:p>
      <w:pPr>
        <w:spacing w:after="0" w:line="276" w:lineRule="auto"/>
        <w:ind w:firstLine="425"/>
        <w:jc w:val="both"/>
      </w:pPr>
      <w:r>
        <w:rPr>
          <w:rFonts w:ascii="Times New Roman" w:hAnsi="Times New Roman" w:cs="Times New Roman" w:eastAsia="Times New Roman"/>
          <w:rFonts w:ascii="Times New Roman" w:hAnsi="Times New Roman"/>
          <w:b/>
          <w:sz w:val="24"/>
        </w:rPr>
        <w:t>Quindicesimo Pattern, parole sentinella.</w:t>
      </w:r>
      <w:r>
        <w:rPr>
          <w:rFonts w:ascii="Times New Roman" w:hAnsi="Times New Roman" w:cs="Times New Roman" w:eastAsia="Times New Roman"/>
          <w:rFonts w:ascii="Times New Roman" w:hAnsi="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rFonts w:ascii="Times New Roman" w:hAnsi="Times New Roman"/>
          <w:b/>
          <w:sz w:val="24"/>
        </w:rPr>
        <w:t>operativo e aperto</w:t>
      </w:r>
      <w:r>
        <w:rPr>
          <w:rFonts w:ascii="Times New Roman" w:hAnsi="Times New Roman" w:cs="Times New Roman" w:eastAsia="Times New Roman"/>
          <w:rFonts w:ascii="Times New Roman" w:hAnsi="Times New Roman"/>
          <w:b w:val="0"/>
          <w:sz w:val="24"/>
        </w:rPr>
        <w:t>: costituisce la linea di ricerca filologica propria di questo Registro.</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OTTAVA — LE IPOTESI CONCORRENTI E I TEST DI FALSIFICAZIONE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after="0" w:line="276" w:lineRule="auto"/>
        <w:ind w:firstLine="425"/>
        <w:jc w:val="both"/>
      </w:pPr>
      <w:r>
        <w:rPr>
          <w:rFonts w:ascii="Times New Roman" w:hAnsi="Times New Roman" w:cs="Times New Roman" w:eastAsia="Times New Roman"/>
          <w:rFonts w:ascii="Times New Roman" w:hAnsi="Times New Roman"/>
          <w:b/>
          <w:sz w:val="24"/>
        </w:rPr>
        <w:t>Ipotesi prima, dell’autosufficienza.</w:t>
      </w:r>
      <w:r>
        <w:rPr>
          <w:rFonts w:ascii="Times New Roman" w:hAnsi="Times New Roman" w:cs="Times New Roman" w:eastAsia="Times New Roman"/>
          <w:rFonts w:ascii="Times New Roman" w:hAnsi="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rFonts w:ascii="Times New Roman" w:hAnsi="Times New Roman"/>
          <w:b/>
          <w:sz w:val="24"/>
        </w:rPr>
        <w:t>l’ipotesi più economica e meglio sostenuta</w:t>
      </w:r>
      <w:r>
        <w:rPr>
          <w:rFonts w:ascii="Times New Roman" w:hAnsi="Times New Roman" w:cs="Times New Roman" w:eastAsia="Times New Roman"/>
          <w:rFonts w:ascii="Times New Roman" w:hAnsi="Times New Roman"/>
          <w:b w:val="0"/>
          <w:sz w:val="24"/>
        </w:rPr>
        <w:t xml:space="preserve">. Il Registro la mantiene permanentemente attiva come </w:t>
      </w:r>
      <w:r>
        <w:rPr>
          <w:rFonts w:ascii="Times New Roman" w:hAnsi="Times New Roman" w:cs="Times New Roman" w:eastAsia="Times New Roman"/>
          <w:rFonts w:ascii="Times New Roman" w:hAnsi="Times New Roman"/>
          <w:b/>
          <w:sz w:val="24"/>
        </w:rPr>
        <w:t>falsificatore più forte</w:t>
      </w:r>
      <w:r>
        <w:rPr>
          <w:rFonts w:ascii="Times New Roman" w:hAnsi="Times New Roman" w:cs="Times New Roman" w:eastAsia="Times New Roman"/>
          <w:rFonts w:ascii="Times New Roman" w:hAnsi="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after="0" w:line="276" w:lineRule="auto"/>
        <w:ind w:firstLine="425"/>
        <w:jc w:val="both"/>
      </w:pPr>
      <w:r>
        <w:rPr>
          <w:rFonts w:ascii="Times New Roman" w:hAnsi="Times New Roman" w:cs="Times New Roman" w:eastAsia="Times New Roman"/>
          <w:rFonts w:ascii="Times New Roman" w:hAnsi="Times New Roman"/>
          <w:b/>
          <w:sz w:val="24"/>
        </w:rPr>
        <w:t>Ipotesi seconda, dell’eterodirezione.</w:t>
      </w:r>
      <w:r>
        <w:rPr>
          <w:rFonts w:ascii="Times New Roman" w:hAnsi="Times New Roman" w:cs="Times New Roman" w:eastAsia="Times New Roman"/>
          <w:rFonts w:ascii="Times New Roman" w:hAnsi="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Nessun elemento del corpus la eleva, e diversi elementi la contraddicono — segnatamente la coerenza interna della catena decisionale ricostruita in sede giudiziaria.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terza, del non impedimento.</w:t>
      </w:r>
      <w:r>
        <w:rPr>
          <w:rFonts w:ascii="Times New Roman" w:hAnsi="Times New Roman" w:cs="Times New Roman" w:eastAsia="Times New Roman"/>
          <w:rFonts w:ascii="Times New Roman" w:hAnsi="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con singoli segmenti che raggiungono il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quarta, della convergenza non coordinata.</w:t>
      </w:r>
      <w:r>
        <w:rPr>
          <w:rFonts w:ascii="Times New Roman" w:hAnsi="Times New Roman" w:cs="Times New Roman" w:eastAsia="Times New Roman"/>
          <w:rFonts w:ascii="Times New Roman" w:hAnsi="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con l’avvertenza che questa ipotesi ha il difetto di essere compatibile con quasi ogni evidenza, e va perciò maneggiata con particolare diffidenza.</w:t>
      </w:r>
    </w:p>
    <w:p>
      <w:pPr>
        <w:spacing w:after="0" w:line="276" w:lineRule="auto"/>
        <w:ind w:firstLine="425"/>
        <w:jc w:val="both"/>
      </w:pPr>
      <w:r>
        <w:rPr>
          <w:rFonts w:ascii="Times New Roman" w:hAnsi="Times New Roman" w:cs="Times New Roman" w:eastAsia="Times New Roman"/>
          <w:rFonts w:ascii="Times New Roman" w:hAnsi="Times New Roman"/>
          <w:b/>
          <w:sz w:val="24"/>
        </w:rPr>
        <w:t>Ipotesi quinta, del primato endogeno.</w:t>
      </w:r>
      <w:r>
        <w:rPr>
          <w:rFonts w:ascii="Times New Roman" w:hAnsi="Times New Roman" w:cs="Times New Roman" w:eastAsia="Times New Roman"/>
          <w:rFonts w:ascii="Times New Roman" w:hAnsi="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quanto alla sufficienza della spiegazione politica interna, che gli atti parlamentari e la documentazione coeva sostengono.</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rFonts w:ascii="Times New Roman" w:hAnsi="Times New Roman"/>
          <w:b/>
          <w:sz w:val="24"/>
        </w:rPr>
        <w:t>Conclusione provvisoria</w:t>
      </w:r>
      <w:r>
        <w:rPr>
          <w:rFonts w:ascii="Times New Roman" w:hAnsi="Times New Roman" w:cs="Times New Roman" w:eastAsia="Times New Roman"/>
          <w:rFonts w:ascii="Times New Roman" w:hAnsi="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NONA — REGISTRO DELLE LACUNE DICHIARATE</w:t>
      </w:r>
    </w:p>
    <w:p>
      <w:pPr>
        <w:spacing w:after="0" w:line="276" w:lineRule="auto"/>
        <w:ind w:firstLine="425"/>
        <w:jc w:val="both"/>
      </w:pPr>
      <w:r>
        <w:rPr>
          <w:rFonts w:ascii="Times New Roman" w:hAnsi="Times New Roman" w:cs="Times New Roman" w:eastAsia="Times New Roman"/>
          <w:rFonts w:ascii="Times New Roman" w:hAnsi="Times New Roman"/>
          <w:b w:val="0"/>
          <w:sz w:val="24"/>
        </w:rPr>
        <w:t>Il Registro dichiara formalmente le proprie lacune e non le silenzia, poiché una lacuna taciuta si trasforma, nel tempo, in affermazione implicita.</w:t>
      </w:r>
    </w:p>
    <w:p>
      <w:pPr>
        <w:spacing w:after="0" w:line="276" w:lineRule="auto"/>
        <w:ind w:firstLine="425"/>
        <w:jc w:val="both"/>
      </w:pPr>
      <w:r>
        <w:rPr>
          <w:rFonts w:ascii="Times New Roman" w:hAnsi="Times New Roman" w:cs="Times New Roman" w:eastAsia="Times New Roman"/>
          <w:rFonts w:ascii="Times New Roman" w:hAnsi="Times New Roman"/>
          <w:b/>
          <w:sz w:val="24"/>
        </w:rPr>
        <w:t>Prima lacuna, stenografica e operativa.</w:t>
      </w:r>
      <w:r>
        <w:rPr>
          <w:rFonts w:ascii="Times New Roman" w:hAnsi="Times New Roman" w:cs="Times New Roman" w:eastAsia="Times New Roman"/>
          <w:rFonts w:ascii="Times New Roman" w:hAnsi="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after="0" w:line="276" w:lineRule="auto"/>
        <w:ind w:firstLine="425"/>
        <w:jc w:val="both"/>
      </w:pPr>
      <w:r>
        <w:rPr>
          <w:rFonts w:ascii="Times New Roman" w:hAnsi="Times New Roman" w:cs="Times New Roman" w:eastAsia="Times New Roman"/>
          <w:rFonts w:ascii="Times New Roman" w:hAnsi="Times New Roman"/>
          <w:b/>
          <w:sz w:val="24"/>
        </w:rPr>
        <w:t>Seconda lacuna, archivistica estera.</w:t>
      </w:r>
      <w:r>
        <w:rPr>
          <w:rFonts w:ascii="Times New Roman" w:hAnsi="Times New Roman" w:cs="Times New Roman" w:eastAsia="Times New Roman"/>
          <w:rFonts w:ascii="Times New Roman" w:hAnsi="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after="0" w:line="276" w:lineRule="auto"/>
        <w:ind w:firstLine="425"/>
        <w:jc w:val="both"/>
      </w:pPr>
      <w:r>
        <w:rPr>
          <w:rFonts w:ascii="Times New Roman" w:hAnsi="Times New Roman" w:cs="Times New Roman" w:eastAsia="Times New Roman"/>
          <w:rFonts w:ascii="Times New Roman" w:hAnsi="Times New Roman"/>
          <w:b/>
          <w:sz w:val="24"/>
        </w:rPr>
        <w:t>Terza lacuna, del documento informativo straniero.</w:t>
      </w:r>
      <w:r>
        <w:rPr>
          <w:rFonts w:ascii="Times New Roman" w:hAnsi="Times New Roman" w:cs="Times New Roman" w:eastAsia="Times New Roman"/>
          <w:rFonts w:ascii="Times New Roman" w:hAnsi="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after="0" w:line="276" w:lineRule="auto"/>
        <w:ind w:firstLine="425"/>
        <w:jc w:val="both"/>
      </w:pPr>
      <w:r>
        <w:rPr>
          <w:rFonts w:ascii="Times New Roman" w:hAnsi="Times New Roman" w:cs="Times New Roman" w:eastAsia="Times New Roman"/>
          <w:rFonts w:ascii="Times New Roman" w:hAnsi="Times New Roman"/>
          <w:b/>
          <w:sz w:val="24"/>
        </w:rPr>
        <w:t>Quarta lacuna, filologica.</w:t>
      </w:r>
      <w:r>
        <w:rPr>
          <w:rFonts w:ascii="Times New Roman" w:hAnsi="Times New Roman" w:cs="Times New Roman" w:eastAsia="Times New Roman"/>
          <w:rFonts w:ascii="Times New Roman" w:hAnsi="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after="0" w:line="276" w:lineRule="auto"/>
        <w:ind w:firstLine="425"/>
        <w:jc w:val="both"/>
      </w:pPr>
      <w:r>
        <w:rPr>
          <w:rFonts w:ascii="Times New Roman" w:hAnsi="Times New Roman" w:cs="Times New Roman" w:eastAsia="Times New Roman"/>
          <w:rFonts w:ascii="Times New Roman" w:hAnsi="Times New Roman"/>
          <w:b/>
          <w:sz w:val="24"/>
        </w:rPr>
        <w:t>Quinta lacuna, giudiziaria.</w:t>
      </w:r>
      <w:r>
        <w:rPr>
          <w:rFonts w:ascii="Times New Roman" w:hAnsi="Times New Roman" w:cs="Times New Roman" w:eastAsia="Times New Roman"/>
          <w:rFonts w:ascii="Times New Roman" w:hAnsi="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numerose asserzioni oggi classificate al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e per verificare la corretta attribuzione dei livelli già assegnati.</w:t>
      </w:r>
    </w:p>
    <w:p>
      <w:pPr>
        <w:pageBreakBefore/>
        <w:spacing w:after="200" w:line="276" w:lineRule="auto" w:before="480"/>
        <w:jc w:val="left"/>
      </w:pPr>
      <w:r>
        <w:rPr>
          <w:rFonts w:ascii="Times New Roman" w:hAnsi="Times New Roman" w:cs="Times New Roman" w:eastAsia="Times New Roman"/>
          <w:rFonts w:ascii="Times New Roman" w:hAnsi="Times New Roman"/>
          <w:b/>
          <w:sz w:val="28"/>
        </w:rPr>
        <w:t>PARTE DECIMA — CAMERA ISTRUTTORIA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after="0" w:line="276" w:lineRule="auto"/>
        <w:ind w:firstLine="425"/>
        <w:jc w:val="both"/>
      </w:pPr>
      <w:r>
        <w:rPr>
          <w:rFonts w:ascii="Times New Roman" w:hAnsi="Times New Roman" w:cs="Times New Roman" w:eastAsia="Times New Roman"/>
          <w:rFonts w:ascii="Times New Roman" w:hAnsi="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w:t>
      </w:r>
    </w:p>
    <w:p>
      <w:pPr>
        <w:spacing w:after="0" w:line="276" w:lineRule="auto"/>
        <w:ind w:firstLine="425"/>
        <w:jc w:val="both"/>
      </w:pPr>
      <w:r>
        <w:rPr>
          <w:rFonts w:ascii="Times New Roman" w:hAnsi="Times New Roman" w:cs="Times New Roman" w:eastAsia="Times New Roman"/>
          <w:rFonts w:ascii="Times New Roman" w:hAnsi="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rFonts w:ascii="Times New Roman" w:hAnsi="Times New Roman"/>
          <w:b/>
          <w:sz w:val="24"/>
        </w:rPr>
        <w:t>Livello A</w:t>
      </w:r>
      <w:r>
        <w:rPr>
          <w:rFonts w:ascii="Times New Roman" w:hAnsi="Times New Roman" w:cs="Times New Roman" w:eastAsia="Times New Roman"/>
          <w:rFonts w:ascii="Times New Roman" w:hAnsi="Times New Roman"/>
          <w:b w:val="0"/>
          <w:sz w:val="24"/>
        </w:rPr>
        <w:t xml:space="preserve"> è ristretto e solidissimo, la fascia di </w:t>
      </w:r>
      <w:r>
        <w:rPr>
          <w:rFonts w:ascii="Times New Roman" w:hAnsi="Times New Roman" w:cs="Times New Roman" w:eastAsia="Times New Roman"/>
          <w:rFonts w:ascii="Times New Roman" w:hAnsi="Times New Roman"/>
          <w:b/>
          <w:sz w:val="24"/>
        </w:rPr>
        <w:t>Livello B</w:t>
      </w:r>
      <w:r>
        <w:rPr>
          <w:rFonts w:ascii="Times New Roman" w:hAnsi="Times New Roman" w:cs="Times New Roman" w:eastAsia="Times New Roman"/>
          <w:rFonts w:ascii="Times New Roman" w:hAnsi="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rFonts w:ascii="Times New Roman" w:hAnsi="Times New Roman"/>
          <w:b/>
          <w:sz w:val="24"/>
        </w:rPr>
        <w:t>Livello C</w:t>
      </w:r>
      <w:r>
        <w:rPr>
          <w:rFonts w:ascii="Times New Roman" w:hAnsi="Times New Roman" w:cs="Times New Roman" w:eastAsia="Times New Roman"/>
          <w:rFonts w:ascii="Times New Roman" w:hAnsi="Times New Roman"/>
          <w:b w:val="0"/>
          <w:sz w:val="24"/>
        </w:rPr>
        <w:t>. Questo non significa che siano false; significa che non sono, allo stato del corpus, dimostrate — ed è compito del Registro, nelle edizioni successive, dimostrarle o confutarle, non ripeterle.</w:t>
      </w:r>
    </w:p>
    <w:p>
      <w:pPr>
        <w:spacing w:after="120" w:line="276" w:lineRule="auto" w:before="320"/>
        <w:jc w:val="left"/>
      </w:pPr>
      <w:r>
        <w:rPr>
          <w:rFonts w:ascii="Times New Roman" w:hAnsi="Times New Roman" w:cs="Times New Roman" w:eastAsia="Times New Roman"/>
          <w:rFonts w:ascii="Times New Roman" w:hAnsi="Times New Roman"/>
          <w:b/>
          <w:sz w:val="24"/>
        </w:rPr>
        <w:t>Colophon</w:t>
      </w:r>
    </w:p>
    <w:p>
      <w:pPr>
        <w:spacing w:after="0" w:line="276" w:lineRule="auto"/>
        <w:ind w:firstLine="425"/>
        <w:jc w:val="both"/>
      </w:pPr>
      <w:r>
        <w:rPr>
          <w:rFonts w:ascii="Times New Roman" w:hAnsi="Times New Roman" w:cs="Times New Roman" w:eastAsia="Times New Roman"/>
          <w:rFonts w:ascii="Times New Roman" w:hAnsi="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UNDICESIMA — IL PRIMO ANELLO DI PROSSIMITÀ</w:t>
      </w:r>
    </w:p>
    <w:p>
      <w:pPr>
        <w:spacing w:before="240" w:after="120" w:line="276" w:lineRule="auto"/>
        <w:jc w:val="left"/>
      </w:pPr>
      <w:r>
        <w:rPr>
          <w:b/>
          <w:sz w:val="24"/>
          <w:szCs w:val="24"/>
        </w:rPr>
        <w:t xml:space="preserve">Metodo dell’estrazione e statuto delle voci</w:t>
      </w:r>
    </w:p>
    <w:p>
      <w:pPr>
        <w:spacing w:after="0" w:line="276" w:lineRule="auto"/>
        <w:ind w:firstLine="425"/>
        <w:jc w:val="both"/>
      </w:pPr>
      <w:r>
        <w:rPr/>
        <w:t xml:space="preserve">Il Primo Anello è l’insieme dei nodi che, nelle fonti del sottocorpus, compaiono entro una finestra testuale di quattrocento caratteri da un nodo del caso. La misura è meccanica e ripetibile: per ciascuno dei trentacinque nodi-seme si sono raccolte tutte le finestre della loro ricorrenza nelle sessantatré fonti leggibili di maggiore consistenza, e in ciascuna finestra si sono rilevate le entità nominali presenti, con esclusione delle forme grammaticali comuni. Sono ammesse al Registro soltanto le entità che ricorrono almeno tre volte e in almeno due fonti distinte, sicché la soglia esclude le contiguità occasionali di una singola pagina.</w:t>
      </w:r>
    </w:p>
    <w:p>
      <w:pPr>
        <w:spacing w:after="0" w:line="276" w:lineRule="auto"/>
        <w:ind w:firstLine="425"/>
        <w:jc w:val="both"/>
      </w:pPr>
      <w:r>
        <w:rPr/>
        <w:t xml:space="preserve">Il valore della misura e insieme il suo limite vanno enunciati con precisione. La prossimità testuale è </w:t>
      </w:r>
      <w:r>
        <w:rPr>
          <w:b/>
        </w:rPr>
        <w:t xml:space="preserve">indizio di tematizzazione congiunta</w:t>
      </w:r>
      <w:r>
        <w:rPr/>
        <w:t xml:space="preserve">: essa dice che almeno due fonti hanno trattato i due elementi nel medesimo respiro argomentativo. Non dice perché lo abbiano fatto. Un nome può essere prossimo a un altro perché i due furono realmente in relazione, oppure perché una fonte li accostò per confutare la relazione, oppure perché entrambi ricorrono in un elenco, oppure per contiguità puramente redazionale — una nota a piè di pagina che cade fra due periodi estranei. Il test di prossimità produce inoltre falsi negativi, poiché connessioni reali possono essere espresse a distanza o con lessico non coincidente. Ne discende che ogni voce del Primo Anello è </w:t>
      </w:r>
      <w:r>
        <w:rPr>
          <w:b/>
        </w:rPr>
        <w:t xml:space="preserve">generatrice di ipotesi e non certificatrice di legami</w:t>
      </w:r>
      <w:r>
        <w:rPr/>
        <w:t xml:space="preserve">, e che soltanto la lettura di pagina può promuoverla. Le voci che tale lettura ha già ricevuto sono segnalate; le altre restano cronaca.</w:t>
      </w:r>
    </w:p>
    <w:p>
      <w:pPr>
        <w:spacing w:before="240" w:after="120" w:line="276" w:lineRule="auto"/>
        <w:jc w:val="left"/>
      </w:pPr>
      <w:r>
        <w:rPr>
          <w:b/>
          <w:sz w:val="24"/>
          <w:szCs w:val="24"/>
        </w:rPr>
        <w:t xml:space="preserve">Anello del nodo centrale</w:t>
      </w:r>
    </w:p>
    <w:p>
      <w:pPr>
        <w:spacing w:after="0" w:line="276" w:lineRule="auto"/>
        <w:ind w:firstLine="425"/>
        <w:jc w:val="both"/>
      </w:pPr>
      <w:r>
        <w:rPr/>
        <w:t xml:space="preserve">Attorno al nome di </w:t>
      </w:r>
      <w:r>
        <w:rPr>
          <w:b/>
        </w:rPr>
        <w:t xml:space="preserve">Aldo Moro</w:t>
      </w:r>
      <w:r>
        <w:rPr/>
        <w:t xml:space="preserve"> il primo anello raccoglie, in ordine di dispersione fra le fonti, l’Italia come contesto ricorrente, Milano, le Brigate Rosse, il nome di Andreotti, il Ministero dell’interno, il Consiglio, via Gradoli, l’Europa, il Parlamento e la denominazione dell’arma da fuoco impiegata nell’omicidio. La composizione dell’anello è, in sé, un dato: il nodo centrale è prossimo tanto alle istituzioni quanto agli esecutori, e la ricorrenza di Milano — città estranea alla dinamica romana del sequestro — si spiega con il ritrovamento degli scritti della prigionia in quella città, circostanza che il Registro ha già iscritto al </w:t>
      </w:r>
      <w:r>
        <w:rPr>
          <w:b/>
        </w:rPr>
        <w:t xml:space="preserve">Livello A</w:t>
      </w:r>
      <w:r>
        <w:rPr/>
        <w:t xml:space="preserve">.</w:t>
      </w:r>
    </w:p>
    <w:p>
      <w:pPr>
        <w:spacing w:after="0" w:line="276" w:lineRule="auto"/>
        <w:ind w:firstLine="425"/>
        <w:jc w:val="both"/>
      </w:pPr>
      <w:r>
        <w:rPr/>
        <w:t xml:space="preserve">Attorno a </w:t>
      </w:r>
      <w:r>
        <w:rPr>
          <w:b/>
        </w:rPr>
        <w:t xml:space="preserve">via Fani</w:t>
      </w:r>
      <w:r>
        <w:rPr/>
        <w:t xml:space="preserve"> il primo anello raccoglie il nome della vittima, le Brigate Rosse, la Polizia, la Questura di Roma, i Servizi, il Ministero e i nomi di Moretti e di via Gradoli. Attorno alle </w:t>
      </w:r>
      <w:r>
        <w:rPr>
          <w:b/>
        </w:rPr>
        <w:t xml:space="preserve">Brigate Rosse</w:t>
      </w:r>
      <w:r>
        <w:rPr/>
        <w:t xml:space="preserve"> l’anello si allarga alle sedi delle colonne — Milano, Torino, Firenze, Genova — e include i nomi di Franceschini, dei Carabinieri e di Feltrinelli, quest’ultimo per la trattazione delle origini dell’organizzazione e non per la vicenda Moro.</w:t>
      </w:r>
    </w:p>
    <w:p>
      <w:pPr>
        <w:spacing w:before="240" w:after="120" w:line="276" w:lineRule="auto"/>
        <w:jc w:val="left"/>
      </w:pPr>
      <w:r>
        <w:rPr>
          <w:b/>
          <w:sz w:val="24"/>
          <w:szCs w:val="24"/>
        </w:rPr>
        <w:t xml:space="preserve">Anello degli esecutori e il nucleo di via Gradoli</w:t>
      </w:r>
    </w:p>
    <w:p>
      <w:pPr>
        <w:spacing w:after="0" w:line="276" w:lineRule="auto"/>
        <w:ind w:firstLine="425"/>
        <w:jc w:val="both"/>
      </w:pPr>
      <w:r>
        <w:rPr/>
        <w:t xml:space="preserve">L’anello di </w:t>
      </w:r>
      <w:r>
        <w:rPr>
          <w:b/>
        </w:rPr>
        <w:t xml:space="preserve">Mario Moretti</w:t>
      </w:r>
      <w:r>
        <w:rPr/>
        <w:t xml:space="preserve"> comprende Curcio, Morucci, Gallinari, via Gradoli, via Montalcini e Franceschini. L’anello di </w:t>
      </w:r>
      <w:r>
        <w:rPr>
          <w:b/>
        </w:rPr>
        <w:t xml:space="preserve">Valerio Morucci</w:t>
      </w:r>
      <w:r>
        <w:rPr/>
        <w:t xml:space="preserve"> e quello di </w:t>
      </w:r>
      <w:r>
        <w:rPr>
          <w:b/>
        </w:rPr>
        <w:t xml:space="preserve">Adriana Faranda</w:t>
      </w:r>
      <w:r>
        <w:rPr/>
        <w:t xml:space="preserve"> condividono un medesimo nucleo di grande interesse: entrambi hanno come vicino di primo grado, con la più alta dispersione fra le fonti, il nome di </w:t>
      </w:r>
      <w:r>
        <w:rPr>
          <w:b/>
        </w:rPr>
        <w:t xml:space="preserve">Giuliana Conforto</w:t>
      </w:r>
      <w:r>
        <w:rPr/>
        <w:t xml:space="preserve">, insieme a viale Giulio Cesare, a Potere Operaio, all’area dell’autonomia e al nome di Piperno. Questa ricorrenza non è un artefatto: la lettura di pagina accerta che Morucci e Faranda furono arrestati il ventinove maggio millenovecentosettantanove nell’appartamento di viale Giulio Cesare intestato a Giuliana Conforto, e che in quell’appartamento fu rinvenuta la mitraglietta con la quale Aldo Moro era stato ucciso — </w:t>
      </w:r>
      <w:r>
        <w:rPr>
          <w:b/>
        </w:rPr>
        <w:t xml:space="preserve">Livello A</w:t>
      </w:r>
      <w:r>
        <w:rPr/>
        <w:t xml:space="preserve">. Il medesimo anello reca il nome di </w:t>
      </w:r>
      <w:r>
        <w:rPr>
          <w:b/>
        </w:rPr>
        <w:t xml:space="preserve">Giorgio Conforto</w:t>
      </w:r>
      <w:r>
        <w:rPr/>
        <w:t xml:space="preserve">, padre della locataria, la cui qualità di soggetto con lungo passato di collaborazione con servizi informativi è riferita nelle fonti; il Registro classifica </w:t>
      </w:r>
      <w:r>
        <w:rPr>
          <w:b/>
        </w:rPr>
        <w:t xml:space="preserve">Livello B</w:t>
      </w:r>
      <w:r>
        <w:rPr/>
        <w:t xml:space="preserve"> la circostanza della relazione familiare e dell’ospitalità, e </w:t>
      </w:r>
      <w:r>
        <w:rPr>
          <w:b/>
        </w:rPr>
        <w:t xml:space="preserve">Livello C</w:t>
      </w:r>
      <w:r>
        <w:rPr/>
        <w:t xml:space="preserve"> ogni inferenza che da essa tragga un ruolo operativo nella vicenda, ivi comprese le valutazioni rese in sede parlamentare da singoli componenti, che sono opinioni di commissari e non accertamenti della Commissione.</w:t>
      </w:r>
    </w:p>
    <w:p>
      <w:pPr>
        <w:spacing w:after="0" w:line="276" w:lineRule="auto"/>
        <w:ind w:firstLine="425"/>
        <w:jc w:val="both"/>
      </w:pPr>
      <w:r>
        <w:rPr/>
        <w:t xml:space="preserve">L’anello di </w:t>
      </w:r>
      <w:r>
        <w:rPr>
          <w:b/>
        </w:rPr>
        <w:t xml:space="preserve">via Gradoli</w:t>
      </w:r>
      <w:r>
        <w:rPr/>
        <w:t xml:space="preserve"> reca, accanto ai nomi già detti, quello di </w:t>
      </w:r>
      <w:r>
        <w:rPr>
          <w:b/>
        </w:rPr>
        <w:t xml:space="preserve">Luciana Bozzi</w:t>
      </w:r>
      <w:r>
        <w:rPr/>
        <w:t xml:space="preserve">, titolare dell’appartamento. La lettura di pagina accerta che una segnalazione della Questura di Genova a quella di Roma del ventinove giugno millenovecentosettantanove riferì il rapporto di conoscenza fra la titolare dell’appartamento di via Gradoli e la locataria di viale Giulio Cesare, maturato in ambito di ricerca scientifica presso un medesimo centro — </w:t>
      </w:r>
      <w:r>
        <w:rPr>
          <w:b/>
        </w:rPr>
        <w:t xml:space="preserve">Livello B</w:t>
      </w:r>
      <w:r>
        <w:rPr/>
        <w:t xml:space="preserve">, trattandosi di atto di polizia riferito in fonte secondaria e non ancora acquisito in originale. Il Registro registra la circostanza e si astiene dall’inferenza: che due appartamenti connessi alla vicenda facessero capo a persone che si conoscevano è dato notevole e da verificare, non conclusione.</w:t>
      </w:r>
    </w:p>
    <w:p>
      <w:pPr>
        <w:spacing w:after="0" w:line="276" w:lineRule="auto"/>
        <w:ind w:firstLine="425"/>
        <w:jc w:val="both"/>
      </w:pPr>
      <w:r>
        <w:rPr/>
        <w:t xml:space="preserve">L’anello di </w:t>
      </w:r>
      <w:r>
        <w:rPr>
          <w:b/>
        </w:rPr>
        <w:t xml:space="preserve">via Montalcini</w:t>
      </w:r>
      <w:r>
        <w:rPr/>
        <w:t xml:space="preserve"> reca i nomi di Braghetti, di Moretti, della Magliana, dell’autovettura utilizzata, di via Caetani, di Monte Nevoso e di </w:t>
      </w:r>
      <w:r>
        <w:rPr>
          <w:b/>
        </w:rPr>
        <w:t xml:space="preserve">Germano Maccari</w:t>
      </w:r>
      <w:r>
        <w:rPr/>
        <w:t xml:space="preserve">, brigatista la cui presenza nell’appartamento fu accertata soltanto in epoca successiva alle prime ricostruzioni — </w:t>
      </w:r>
      <w:r>
        <w:rPr>
          <w:b/>
        </w:rPr>
        <w:t xml:space="preserve">Livello A</w:t>
      </w:r>
      <w:r>
        <w:rPr/>
        <w:t xml:space="preserve"> quanto alla sua partecipazione, e circostanza di rilievo metodologico primario, poiché dimostra che una ricostruzione lungamente ritenuta completa era incompleta su un punto non marginale.</w:t>
      </w:r>
    </w:p>
    <w:p>
      <w:pPr>
        <w:spacing w:before="240" w:after="120" w:line="276" w:lineRule="auto"/>
        <w:jc w:val="left"/>
      </w:pPr>
      <w:r>
        <w:rPr>
          <w:b/>
          <w:sz w:val="24"/>
          <w:szCs w:val="24"/>
        </w:rPr>
        <w:t xml:space="preserve">Anello dei luoghi terminali e la questione dell’appunto telefonico</w:t>
      </w:r>
    </w:p>
    <w:p>
      <w:pPr>
        <w:spacing w:after="0" w:line="276" w:lineRule="auto"/>
        <w:ind w:firstLine="425"/>
        <w:jc w:val="both"/>
      </w:pPr>
      <w:r>
        <w:rPr/>
        <w:t xml:space="preserve">L’anello di </w:t>
      </w:r>
      <w:r>
        <w:rPr>
          <w:b/>
        </w:rPr>
        <w:t xml:space="preserve">via Caetani</w:t>
      </w:r>
      <w:r>
        <w:rPr/>
        <w:t xml:space="preserve"> reca, oltre ai nomi attesi, due voci che il lessico-seme non conteneva: </w:t>
      </w:r>
      <w:r>
        <w:rPr>
          <w:b/>
        </w:rPr>
        <w:t xml:space="preserve">Palazzo Orsini</w:t>
      </w:r>
      <w:r>
        <w:rPr/>
        <w:t xml:space="preserve"> e l’</w:t>
      </w:r>
      <w:r>
        <w:rPr>
          <w:b/>
        </w:rPr>
        <w:t xml:space="preserve">Immobiliare Savellia</w:t>
      </w:r>
      <w:r>
        <w:rPr/>
        <w:t xml:space="preserve">. La lettura di pagina accerta, su fonte parlamentare, che fra il materiale rinvenuto in via Gradoli il diciotto aprile millenovecentosettantotto figurava un appunto manoscritto recante un’utenza telefonica corrispondente a quella di una società immobiliare con sede in un palazzo storico non lontano dal luogo del ritrovamento del corpo — </w:t>
      </w:r>
      <w:r>
        <w:rPr>
          <w:b/>
        </w:rPr>
        <w:t xml:space="preserve">Livello B</w:t>
      </w:r>
      <w:r>
        <w:rPr/>
        <w:t xml:space="preserve">, in quanto asserzione contenuta in elaborato di Commissione parlamentare. La medesima fonte formula, e il Registro riporta qualificandola, la supposizione che l’ultima detenzione possa essersi svolta in quel palazzo: si tratta, nel lessico della fonte stessa, di presupposizione, e resta di </w:t>
      </w:r>
      <w:r>
        <w:rPr>
          <w:b/>
        </w:rPr>
        <w:t xml:space="preserve">Livello C</w:t>
      </w:r>
      <w:r>
        <w:rPr/>
        <w:t xml:space="preserve">. Il Registro osserva che l’appunto è dato documentale forte e la supposizione è inferenza debole, e che la loro contiguità nella medesima pagina non trasferisce la forza del primo alla seconda.</w:t>
      </w:r>
    </w:p>
    <w:p>
      <w:pPr>
        <w:spacing w:after="0" w:line="276" w:lineRule="auto"/>
        <w:ind w:firstLine="425"/>
        <w:jc w:val="both"/>
      </w:pPr>
      <w:r>
        <w:rPr/>
        <w:t xml:space="preserve">L’anello del </w:t>
      </w:r>
      <w:r>
        <w:rPr>
          <w:b/>
        </w:rPr>
        <w:t xml:space="preserve">lago della Duchessa</w:t>
      </w:r>
      <w:r>
        <w:rPr/>
        <w:t xml:space="preserve"> e quello del </w:t>
      </w:r>
      <w:r>
        <w:rPr>
          <w:b/>
        </w:rPr>
        <w:t xml:space="preserve">comunicato apocrifo</w:t>
      </w:r>
      <w:r>
        <w:rPr/>
        <w:t xml:space="preserve"> convergono sul nome di </w:t>
      </w:r>
      <w:r>
        <w:rPr>
          <w:b/>
        </w:rPr>
        <w:t xml:space="preserve">Antonio Chichiarelli</w:t>
      </w:r>
      <w:r>
        <w:rPr/>
        <w:t xml:space="preserve">, falsario, cui la confezione del falso è attribuita — </w:t>
      </w:r>
      <w:r>
        <w:rPr>
          <w:b/>
        </w:rPr>
        <w:t xml:space="preserve">Livello B</w:t>
      </w:r>
      <w:r>
        <w:rPr/>
        <w:t xml:space="preserve">. L’anello del </w:t>
      </w:r>
      <w:r>
        <w:rPr>
          <w:b/>
        </w:rPr>
        <w:t xml:space="preserve">lago</w:t>
      </w:r>
      <w:r>
        <w:rPr/>
        <w:t xml:space="preserve"> reca inoltre i nomi di esponenti della banda della Magliana, e quello della </w:t>
      </w:r>
      <w:r>
        <w:rPr>
          <w:b/>
        </w:rPr>
        <w:t xml:space="preserve">seduta spiritica</w:t>
      </w:r>
      <w:r>
        <w:rPr/>
        <w:t xml:space="preserve"> reca, con la più alta ricorrenza, il nome di via Gradoli, insieme alla località emiliana ove la riunione si tenne. La contiguità fra questi anelli e la coincidenza temporale del diciotto aprile è la maggiore concentrazione di anomalie dell’intera vicenda: il Registro la iscrive come questione aperta e ribadisce che nessuna delle letture concorrenti supera il </w:t>
      </w:r>
      <w:r>
        <w:rPr>
          <w:b/>
        </w:rPr>
        <w:t xml:space="preserve">Livello C</w:t>
      </w:r>
      <w:r>
        <w:rPr/>
        <w:t xml:space="preserve">.</w:t>
      </w:r>
    </w:p>
    <w:p>
      <w:pPr>
        <w:spacing w:before="240" w:after="120" w:line="276" w:lineRule="auto"/>
        <w:jc w:val="left"/>
      </w:pPr>
      <w:r>
        <w:rPr>
          <w:b/>
          <w:sz w:val="24"/>
          <w:szCs w:val="24"/>
        </w:rPr>
        <w:t xml:space="preserve">Anello degli apparati e delle mediazioni</w:t>
      </w:r>
    </w:p>
    <w:p>
      <w:pPr>
        <w:spacing w:after="0" w:line="276" w:lineRule="auto"/>
        <w:ind w:firstLine="425"/>
        <w:jc w:val="both"/>
      </w:pPr>
      <w:r>
        <w:rPr/>
        <w:t xml:space="preserve">L’anello del </w:t>
      </w:r>
      <w:r>
        <w:rPr>
          <w:b/>
        </w:rPr>
        <w:t xml:space="preserve">comitato di crisi</w:t>
      </w:r>
      <w:r>
        <w:rPr/>
        <w:t xml:space="preserve"> è, per numero di vicini, il più povero dell’intera estrazione, e questo è esso stesso un dato: la struttura che avrebbe dovuto essere il centro nervoso della gestione è, nelle fonti, la meno documentata nei suoi rapporti. Il solo vicino che superi la soglia è il nome di </w:t>
      </w:r>
      <w:r>
        <w:rPr>
          <w:b/>
        </w:rPr>
        <w:t xml:space="preserve">Franco Ferracuti</w:t>
      </w:r>
      <w:r>
        <w:rPr/>
        <w:t xml:space="preserve">, criminologo e psichiatra che ne fu consulente e la cui appartenenza alla loggia oggetto della relazione parlamentare è documentata — </w:t>
      </w:r>
      <w:r>
        <w:rPr>
          <w:b/>
        </w:rPr>
        <w:t xml:space="preserve">Livello B</w:t>
      </w:r>
      <w:r>
        <w:rPr/>
        <w:t xml:space="preserve">. La povertà di questo anello va letta insieme al buco strutturale già iscritto nel quinto Pattern, e conferma che la circolazione interna dell’informazione fra struttura di crisi e reparti operativi è, allo stato del corpus, la maggiore zona d’ombra documentale del caso.</w:t>
      </w:r>
    </w:p>
    <w:p>
      <w:pPr>
        <w:spacing w:after="0" w:line="276" w:lineRule="auto"/>
        <w:ind w:firstLine="425"/>
        <w:jc w:val="both"/>
      </w:pPr>
      <w:r>
        <w:rPr/>
        <w:t xml:space="preserve">L’anello del consulente straniero reca i nomi del Ministero, del Viminale, del comitato, di Gelli e di Kissinger. La compresenza di questi nomi entro le medesime finestre non attesta alcuna relazione fra i loro portatori: attesta che le fonti li trattano nel medesimo contesto argomentativo, e la fonte che più contribuisce a questa compresenza è la monografia tesistica già qualificata nell’Indice di Contaminazione. </w:t>
      </w:r>
      <w:r>
        <w:rPr>
          <w:b/>
        </w:rPr>
        <w:t xml:space="preserve">Livello C</w:t>
      </w:r>
      <w:r>
        <w:rPr/>
        <w:t xml:space="preserve"> in quanto legame, senza eccezioni.</w:t>
      </w:r>
    </w:p>
    <w:p>
      <w:pPr>
        <w:spacing w:after="0" w:line="276" w:lineRule="auto"/>
        <w:ind w:firstLine="425"/>
        <w:jc w:val="both"/>
      </w:pPr>
      <w:r>
        <w:rPr/>
        <w:t xml:space="preserve">L’anello del canale ecclesiastico reca i nomi dell’istituto vaticano, della Santa Sede, del segretario particolare del Pontefice e di un ex parlamentare che ne riferì in sede di audizione. Il Registro conferma la classificazione già data: </w:t>
      </w:r>
      <w:r>
        <w:rPr>
          <w:b/>
        </w:rPr>
        <w:t xml:space="preserve">Livello A</w:t>
      </w:r>
      <w:r>
        <w:rPr/>
        <w:t xml:space="preserve"> per l’iniziativa personale del Pontefice, </w:t>
      </w:r>
      <w:r>
        <w:rPr>
          <w:b/>
        </w:rPr>
        <w:t xml:space="preserve">Livello B</w:t>
      </w:r>
      <w:r>
        <w:rPr/>
        <w:t xml:space="preserve"> per l’esistenza del canale, </w:t>
      </w:r>
      <w:r>
        <w:rPr>
          <w:b/>
        </w:rPr>
        <w:t xml:space="preserve">Livello C</w:t>
      </w:r>
      <w:r>
        <w:rPr/>
        <w:t xml:space="preserve"> per la sua estensione e i suoi contenuti.</w:t>
      </w:r>
    </w:p>
    <w:p>
      <w:pPr>
        <w:spacing w:before="240" w:after="120" w:line="276" w:lineRule="auto"/>
        <w:jc w:val="left"/>
      </w:pPr>
      <w:r>
        <w:rPr>
          <w:b/>
          <w:sz w:val="24"/>
          <w:szCs w:val="24"/>
        </w:rPr>
        <w:t xml:space="preserve">Anello della criminalità organizzata e del canale calabrese</w:t>
      </w:r>
    </w:p>
    <w:p>
      <w:pPr>
        <w:spacing w:after="0" w:line="276" w:lineRule="auto"/>
        <w:ind w:firstLine="425"/>
        <w:jc w:val="both"/>
      </w:pPr>
      <w:r>
        <w:rPr/>
        <w:t xml:space="preserve">L’anello della </w:t>
      </w:r>
      <w:r>
        <w:rPr>
          <w:b/>
        </w:rPr>
        <w:t xml:space="preserve">banda della Magliana</w:t>
      </w:r>
      <w:r>
        <w:rPr/>
        <w:t xml:space="preserve"> è il più popolato dell’intera estrazione dopo quelli dei nodi centrali, e reca i nomi dei suoi esponenti storici, del falsario, del giornalista poi ucciso e di via Montalcini. La ricorrenza di quest’ultima è la voce da sottoporre a istruttoria prioritaria, poiché una prossimità fra la sede della prigione e il gruppo criminale romano, se documentata da atto e non da ricostruzione, muterebbe il quadro di più asserzioni; allo stato è </w:t>
      </w:r>
      <w:r>
        <w:rPr>
          <w:b/>
        </w:rPr>
        <w:t xml:space="preserve">Livello C</w:t>
      </w:r>
      <w:r>
        <w:rPr/>
        <w:t xml:space="preserve">.</w:t>
      </w:r>
    </w:p>
    <w:p>
      <w:pPr>
        <w:spacing w:after="0" w:line="276" w:lineRule="auto"/>
        <w:ind w:firstLine="425"/>
        <w:jc w:val="both"/>
      </w:pPr>
      <w:r>
        <w:rPr/>
        <w:t xml:space="preserve">L’anello del nodo calabrese reca il nome del collaboratore che rese la dichiarazione accusatoria, quello di un ufficiale dei carabinieri operante in quell’area, e i nomi di un collaboratore politico della vittima e di un parlamentare calabrese. La lettura di pagina accerta, su fonte parlamentare, l’esistenza agli atti di una registrazione e della relativa trascrizione di una conversazione telefonica fra i due ultimi, e la circostanza che una fotografia scattata in via Fani la mattina del sequestro non risulti negli atti dell’istruttoria — </w:t>
      </w:r>
      <w:r>
        <w:rPr>
          <w:b/>
        </w:rPr>
        <w:t xml:space="preserve">Livello B</w:t>
      </w:r>
      <w:r>
        <w:rPr/>
        <w:t xml:space="preserve"> entrambe, in quanto contenute in elaborato di Commissione. La medesima fonte qualifica però la pista della presenza costante della malavita come contraddittoria e confusa e dichiara di doversi limitare alla citazione delle circostanze di fatto: il Registro recepisce integralmente questa cautela e la fa propria.</w:t>
      </w:r>
    </w:p>
    <w:p>
      <w:pPr>
        <w:spacing w:before="240" w:after="120" w:line="276" w:lineRule="auto"/>
        <w:jc w:val="left"/>
      </w:pPr>
      <w:r>
        <w:rPr>
          <w:b/>
          <w:sz w:val="24"/>
          <w:szCs w:val="24"/>
        </w:rPr>
        <w:t xml:space="preserve">Anello di Hyperion e della rete parigina</w:t>
      </w:r>
    </w:p>
    <w:p>
      <w:pPr>
        <w:spacing w:after="0" w:line="276" w:lineRule="auto"/>
        <w:ind w:firstLine="425"/>
        <w:jc w:val="both"/>
      </w:pPr>
      <w:r>
        <w:rPr/>
        <w:t xml:space="preserve">L’anello dell’istituto parigino reca i nomi di Parigi, del gruppo che ne costituì il precedente, della Francia, dei tre fondatori, di magistrati che ne trattarono e di Moretti. La lettura di pagina accerta che i fondatori furono auditi in sede parlamentare e che magistrati sostennero l’esistenza di una gravitazione dell’istituto in ambiti non meramente culturali — </w:t>
      </w:r>
      <w:r>
        <w:rPr>
          <w:b/>
        </w:rPr>
        <w:t xml:space="preserve">Livello B</w:t>
      </w:r>
      <w:r>
        <w:rPr/>
        <w:t xml:space="preserve"> quanto all’esistenza dell’istituto, alla sua fondazione e alle audizioni; </w:t>
      </w:r>
      <w:r>
        <w:rPr>
          <w:b/>
        </w:rPr>
        <w:t xml:space="preserve">Livello C</w:t>
      </w:r>
      <w:r>
        <w:rPr/>
        <w:t xml:space="preserve"> quanto alla qualificazione dell’istituto come centrale operativa e quanto a ogni catena di comando che ne discenda. Il Registro segnala che la fonte più assertiva su questo punto è la monografia tesistica, e che le sue affermazioni in materia — ivi compresa l’attribuzione a uno dei fondatori della qualità di capo effettivo di un dirigente dell’organizzazione armata — non trovano nel corpus riscontro di livello superiore.</w:t>
      </w:r>
    </w:p>
    <w:p>
      <w:pPr>
        <w:spacing w:before="240" w:after="120" w:line="276" w:lineRule="auto"/>
        <w:jc w:val="left"/>
      </w:pPr>
      <w:r>
        <w:rPr>
          <w:b/>
          <w:sz w:val="24"/>
          <w:szCs w:val="24"/>
        </w:rPr>
        <w:t xml:space="preserve">Una serie da non costruire: avvertenza sul ragionamento per elenco</w:t>
      </w:r>
    </w:p>
    <w:p>
      <w:pPr>
        <w:spacing w:after="0" w:line="276" w:lineRule="auto"/>
        <w:ind w:firstLine="425"/>
        <w:jc w:val="both"/>
      </w:pPr>
      <w:r>
        <w:rPr/>
        <w:t xml:space="preserve">Il Primo Anello fa emergere, in più fonti, una costruzione narrativa che il Registro deve isolare e qualificare perché costituisce l’esempio più istruttivo di fallacia presente nel corpus: l’elenco di coloro che, avendo avuto accesso alle carte rinvenute a Milano, sarebbero stati successivamente uccisi o sarebbero morti in circostanze anomale. L’elenco accosta un giornalista ucciso nel millenovecentosettantanove, un ufficiale ucciso nello stesso anno, un avvocato ucciso pochi giorni dopo, un generale ucciso nel millenovecentottanta, un generale ucciso nel millenovecentottantadue, un falsario ucciso, e altri.</w:t>
      </w:r>
    </w:p>
    <w:p>
      <w:pPr>
        <w:spacing w:after="0" w:line="276" w:lineRule="auto"/>
        <w:ind w:firstLine="425"/>
        <w:jc w:val="both"/>
      </w:pPr>
      <w:r>
        <w:rPr/>
        <w:t xml:space="preserve">La costruzione va respinta nella sua forma di elenco, e per ragioni che appartengono al metodo e non all’opinione. Primo: essa è </w:t>
      </w:r>
      <w:r>
        <w:rPr>
          <w:b/>
        </w:rPr>
        <w:t xml:space="preserve">costruita retrospettivamente selezionando i morti e omettendo i vivi</w:t>
      </w:r>
      <w:r>
        <w:rPr/>
        <w:t xml:space="preserve">, ossia praticando esattamente l’inferenza che Popper e Russell dichiarano illecita — si contano le conferme e non si contano le smentite, mentre il numero di persone che ebbero accesso a quelle carte e non subirono alcunché non è mai enunciato. Secondo: essa </w:t>
      </w:r>
      <w:r>
        <w:rPr>
          <w:b/>
        </w:rPr>
        <w:t xml:space="preserve">presuppone la causa nel raggruppamento</w:t>
      </w:r>
      <w:r>
        <w:rPr/>
        <w:t xml:space="preserve">, poiché almeno una delle uccisioni elencate ha una causale accertata e del tutto estranea alla vicenda, essendo riconducibile alla liquidazione di un istituto bancario, e la sua inclusione nell’elenco è possibile solo ignorando l’accertamento che la riguarda. Terzo: essa </w:t>
      </w:r>
      <w:r>
        <w:rPr>
          <w:b/>
        </w:rPr>
        <w:t xml:space="preserve">confonde la contiguità di elenco con il nesso</w:t>
      </w:r>
      <w:r>
        <w:rPr/>
        <w:t xml:space="preserve">, che è la definizione stessa dell’artefatto.</w:t>
      </w:r>
    </w:p>
    <w:p>
      <w:pPr>
        <w:spacing w:after="0" w:line="276" w:lineRule="auto"/>
        <w:ind w:firstLine="425"/>
        <w:jc w:val="both"/>
      </w:pPr>
      <w:r>
        <w:rPr/>
        <w:t xml:space="preserve">Il Registro non nega che singole morti fra quelle elencate presentino aspetti irrisolti, e alcune ne presentano; afferma che la loro </w:t>
      </w:r>
      <w:r>
        <w:rPr>
          <w:b/>
        </w:rPr>
        <w:t xml:space="preserve">serializzazione</w:t>
      </w:r>
      <w:r>
        <w:rPr/>
        <w:t xml:space="preserve"> non è un argomento, e che ciascuna va istruita separatamente, con la propria causale e il proprio livello. La voce entra dunque nel Primo Anello come cronaca di ciò che le fonti scrivono, con la qualificazione di </w:t>
      </w:r>
      <w:r>
        <w:rPr>
          <w:b/>
        </w:rPr>
        <w:t xml:space="preserve">inferenza non ammessa</w:t>
      </w:r>
      <w:r>
        <w:rPr/>
        <w:t xml:space="preserve">, e nessun elemento di essa è impiegato dal Registro a sostegno di alcuna ipotesi.</w:t>
      </w:r>
    </w:p>
    <w:p>
      <w:pPr>
        <w:spacing w:before="240" w:after="120" w:line="276" w:lineRule="auto"/>
        <w:jc w:val="left"/>
      </w:pPr>
      <w:r>
        <w:rPr>
          <w:b/>
          <w:sz w:val="24"/>
          <w:szCs w:val="24"/>
        </w:rPr>
        <w:t xml:space="preserve">Nodi nuovi ammessi al Registro dei nodi</w:t>
      </w:r>
    </w:p>
    <w:p>
      <w:pPr>
        <w:spacing w:after="0" w:line="276" w:lineRule="auto"/>
        <w:ind w:firstLine="425"/>
        <w:jc w:val="both"/>
      </w:pPr>
      <w:r>
        <w:rPr/>
        <w:t xml:space="preserve">Dall’estrazione del Primo Anello sono ammessi al Registro dei nodi, con i livelli qui indicati e con la riserva di istruttoria di pagina per quelli non ancora letti, i seguenti: Giuliana Conforto e l’appartamento di viale Giulio Cesare, </w:t>
      </w:r>
      <w:r>
        <w:rPr>
          <w:b/>
        </w:rPr>
        <w:t xml:space="preserve">Livello A</w:t>
      </w:r>
      <w:r>
        <w:rPr/>
        <w:t xml:space="preserve"> quanto all’arresto e al rinvenimento dell’arma; Giorgio Conforto, </w:t>
      </w:r>
      <w:r>
        <w:rPr>
          <w:b/>
        </w:rPr>
        <w:t xml:space="preserve">Livello B</w:t>
      </w:r>
      <w:r>
        <w:rPr/>
        <w:t xml:space="preserve"> quanto alla relazione e all’ospitalità, </w:t>
      </w:r>
      <w:r>
        <w:rPr>
          <w:b/>
        </w:rPr>
        <w:t xml:space="preserve">Livello C</w:t>
      </w:r>
      <w:r>
        <w:rPr/>
        <w:t xml:space="preserve"> quanto al ruolo; Luciana Bozzi e la titolarità dell’appartamento di via Gradoli, </w:t>
      </w:r>
      <w:r>
        <w:rPr>
          <w:b/>
        </w:rPr>
        <w:t xml:space="preserve">Livello B</w:t>
      </w:r>
      <w:r>
        <w:rPr/>
        <w:t xml:space="preserve">; Germano Maccari, </w:t>
      </w:r>
      <w:r>
        <w:rPr>
          <w:b/>
        </w:rPr>
        <w:t xml:space="preserve">Livello A</w:t>
      </w:r>
      <w:r>
        <w:rPr/>
        <w:t xml:space="preserve">; l’appunto telefonico rinvenuto in via Gradoli e la società immobiliare cui l’utenza faceva capo, </w:t>
      </w:r>
      <w:r>
        <w:rPr>
          <w:b/>
        </w:rPr>
        <w:t xml:space="preserve">Livello B</w:t>
      </w:r>
      <w:r>
        <w:rPr/>
        <w:t xml:space="preserve">; il falsario cui è attribuito il comunicato apocrifo, </w:t>
      </w:r>
      <w:r>
        <w:rPr>
          <w:b/>
        </w:rPr>
        <w:t xml:space="preserve">Livello B</w:t>
      </w:r>
      <w:r>
        <w:rPr/>
        <w:t xml:space="preserve">; il criminologo consulente della struttura di crisi, </w:t>
      </w:r>
      <w:r>
        <w:rPr>
          <w:b/>
        </w:rPr>
        <w:t xml:space="preserve">Livello B</w:t>
      </w:r>
      <w:r>
        <w:rPr/>
        <w:t xml:space="preserve">; il collaboratore politico della vittima e il parlamentare calabrese, con la conversazione telefonica agli atti, </w:t>
      </w:r>
      <w:r>
        <w:rPr>
          <w:b/>
        </w:rPr>
        <w:t xml:space="preserve">Livello B</w:t>
      </w:r>
      <w:r>
        <w:rPr/>
        <w:t xml:space="preserve">; i tre fondatori dell’istituto parigino, </w:t>
      </w:r>
      <w:r>
        <w:rPr>
          <w:b/>
        </w:rPr>
        <w:t xml:space="preserve">Livello B</w:t>
      </w:r>
      <w:r>
        <w:rPr/>
        <w:t xml:space="preserve"> quanto alla fondazione e alle audizioni; gli esponenti della banda della Magliana ricorrenti negli anelli, </w:t>
      </w:r>
      <w:r>
        <w:rPr>
          <w:b/>
        </w:rPr>
        <w:t xml:space="preserve">Livello B</w:t>
      </w:r>
      <w:r>
        <w:rPr/>
        <w:t xml:space="preserve"> quanto all’esistenza e ai profili, </w:t>
      </w:r>
      <w:r>
        <w:rPr>
          <w:b/>
        </w:rPr>
        <w:t xml:space="preserve">Livello C</w:t>
      </w:r>
      <w:r>
        <w:rPr/>
        <w:t xml:space="preserve"> quanto a ogni loro rapporto con la vicenda; l’arma impiegata nell’omicidio e il suo rinvenimento, </w:t>
      </w:r>
      <w:r>
        <w:rPr>
          <w:b/>
        </w:rPr>
        <w:t xml:space="preserve">Livello A</w:t>
      </w:r>
      <w:r>
        <w:rPr/>
        <w:t xml:space="preserv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 Primo Anello discendono per la Camera Istruttoria le seguenti assegnazioni, in ordine di priorità. Prima: la prossimità fra via Montalcini e il gruppo criminale romano, da risolvere per atto o da espungere. Seconda: l’appunto telefonico di via Gradoli, da risalire all’atto di sequestro e da separare nettamente dalla supposizione che vi è stata accostata. Terza: la relazione fra le titolari dei due appartamenti, da acquisire nell’atto di polizia originale. Quarta: la posizione dei fondatori dell’istituto parigino, da leggere nei verbali di audizione una volta convertito il materiale stenografico. Quinta: la verifica sistematica di ogni asserzione che nel Primo Anello poggi unicamente sulla monografia tesistica. Sesta: l’istruttoria separata di ciascuna delle morti indebitamente serializzate, con divieto di trattarle come serie.</w:t>
      </w:r>
    </w:p>
    <w:p>
      <w:pPr>
        <w:pageBreakBefore/>
        <w:spacing w:before="240" w:after="120" w:line="276" w:lineRule="auto"/>
        <w:jc w:val="left"/>
      </w:pPr>
      <w:r>
        <w:rPr>
          <w:b/>
          <w:sz w:val="28"/>
          <w:szCs w:val="28"/>
        </w:rPr>
        <w:t xml:space="preserve">COLOPHON DELL’EDIZIONE SECONDA</w:t>
      </w:r>
    </w:p>
    <w:p>
      <w:pPr>
        <w:spacing w:after="0" w:line="276" w:lineRule="auto"/>
        <w:ind w:firstLine="425"/>
        <w:jc w:val="both"/>
      </w:pPr>
      <w:r>
        <w:rPr/>
        <w:t xml:space="preserve">REGISTRO ANALITICO DEL CASO MORO, edizione seconda, con il Primo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e misurata del limite di tale indipendenza sul piano materiale del corpus. Incorpora verbatim l’edizione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DODICESIMA — IL SECONDO ANELLO DI PROSSIMITÀ</w:t>
      </w:r>
    </w:p>
    <w:p>
      <w:pPr>
        <w:spacing w:before="240" w:after="120" w:line="276" w:lineRule="auto"/>
        <w:jc w:val="left"/>
      </w:pPr>
      <w:r>
        <w:rPr>
          <w:b/>
          <w:sz w:val="24"/>
          <w:szCs w:val="24"/>
        </w:rPr>
        <w:t xml:space="preserve">Metodo dell’espansione e misura della deriva</w:t>
      </w:r>
    </w:p>
    <w:p>
      <w:pPr>
        <w:spacing w:after="0" w:line="276" w:lineRule="auto"/>
        <w:ind w:firstLine="425"/>
        <w:jc w:val="both"/>
      </w:pPr>
      <w:r>
        <w:rPr/>
        <w:t xml:space="preserve">Cinquanta nodi emersi nel Primo Anello sono stati assunti come semi di secondo grado, con esclusione dei termini geografici e istituzionali generici il cui anello misurerebbe soltanto la lingua delle fonti. Di essi quarantanove risultano attivi nel corpus. Per ciascuno si sono raccolte tutte le finestre di quattrocento caratteri e se ne sono estratti i vicini con le medesime soglie dell’anello primo — almeno tre ricorrenze in almeno due fonti — computando insieme, per ogni seme, la frazione delle finestre che contiene ancora un termine del caso. Questa frazione, dichiarata voce per voce, è la misura della deriva: essa distingue i semi che nelle fonti vivono dentro il caso da quelli che vi compaiono di passaggio, appartenendo ad altre vicende.</w:t>
      </w:r>
    </w:p>
    <w:p>
      <w:pPr>
        <w:spacing w:after="0" w:line="276" w:lineRule="auto"/>
        <w:ind w:firstLine="425"/>
        <w:jc w:val="both"/>
      </w:pPr>
      <w:r>
        <w:rPr/>
        <w:t xml:space="preserve">Il gradiente misurato è il primo risultato dell’espansione, e va enunciato prima di ogni contenuto. All’estremo superiore, con affinità piena o quasi piena, stanno i nodi materiali del sequestro: il quarto uomo della prigione, l’appunto immobiliare, il canale calabrese, il contratto di via Gradoli, il canale ecclesiastico, il borsista straniero. All’estremo inferiore, con affinità inferiore a un quinto, stanno la banda romana considerata in sé, le origini dell’organizzazione armata, i vertici degli apparati, il banchiere vaticano, i depistaggi successivi: mondi che toccano il caso ma non vi appartengono, e che il Secondo Anello registra come contesto e non come caso. Fra i due estremi corre la fascia intermedia, dove si concentrano le istruttorie più delicate. La lettura che segue procede per fasce di affinità decrescente, perché questo ordine — e non quello della suggestione — è l’ordine del metodo.</w:t>
      </w:r>
    </w:p>
    <w:p>
      <w:pPr>
        <w:spacing w:before="240" w:after="120" w:line="276" w:lineRule="auto"/>
        <w:jc w:val="left"/>
      </w:pPr>
      <w:r>
        <w:rPr>
          <w:b/>
          <w:sz w:val="24"/>
          <w:szCs w:val="24"/>
        </w:rPr>
        <w:t xml:space="preserve">Fascia superiore: i nodi che vivono dentro il caso</w:t>
      </w:r>
    </w:p>
    <w:p>
      <w:pPr>
        <w:spacing w:after="0" w:line="276" w:lineRule="auto"/>
        <w:ind w:firstLine="425"/>
        <w:jc w:val="both"/>
      </w:pPr>
      <w:r>
        <w:rPr>
          <w:b/>
        </w:rPr>
        <w:t xml:space="preserve">Il quarto uomo e il quinto nome.</w:t>
      </w:r>
      <w:r>
        <w:rPr/>
        <w:t xml:space="preserve"> L’anello di Germano Maccari, ad affinità piena, reca accanto ai nomi attesi quello di </w:t>
      </w:r>
      <w:r>
        <w:rPr>
          <w:b/>
        </w:rPr>
        <w:t xml:space="preserve">Raimondo Etro</w:t>
      </w:r>
      <w:r>
        <w:rPr/>
        <w:t xml:space="preserve">, brigatista, che il corpus documenta audito dalla seconda Commissione nel gennaio duemiladiciassette — </w:t>
      </w:r>
      <w:r>
        <w:rPr>
          <w:b/>
        </w:rPr>
        <w:t xml:space="preserve">Livello A</w:t>
      </w:r>
      <w:r>
        <w:rPr/>
        <w:t xml:space="preserve"> quanto alla qualità e all’audizione. La coppia Maccari–Etro ha un significato metodologico che eccede i due nomi: entrambe le partecipazioni furono accertate in epoca successiva alle ricostruzioni a lungo ritenute complete, e la loro emersione nel medesimo anello conferma dall’interno ciò che il Registro ha già iscritto — che il perimetro degli esecutori è stato un insieme aperto assai più a lungo di quanto il racconto canonico ammettesse, e che ogni argomento fondato sulla completezza di quel perimetro va maneggiato come provvisorio.</w:t>
      </w:r>
    </w:p>
    <w:p>
      <w:pPr>
        <w:spacing w:after="0" w:line="276" w:lineRule="auto"/>
        <w:ind w:firstLine="425"/>
        <w:jc w:val="both"/>
      </w:pPr>
      <w:r>
        <w:rPr>
          <w:b/>
        </w:rPr>
        <w:t xml:space="preserve">Il musicista e il nome del vicolo.</w:t>
      </w:r>
      <w:r>
        <w:rPr/>
        <w:t xml:space="preserve"> L’anello di Igor Markevitch, ad affinità piena, si risolve alla lettura di pagina in un caso esemplare di fonte che si autoqualifica, e il Registro lo tratta come modello. L’elaborato parlamentare sulla dimensione sovranazionale ne fissa i dati biografici — musicista di origine ucraina, già sposato con la nobildonna </w:t>
      </w:r>
      <w:r>
        <w:rPr>
          <w:b/>
        </w:rPr>
        <w:t xml:space="preserve">Topazia Caetani di Sermoneta</w:t>
      </w:r>
      <w:r>
        <w:rPr/>
        <w:t xml:space="preserve"> — e questi sono </w:t>
      </w:r>
      <w:r>
        <w:rPr>
          <w:b/>
        </w:rPr>
        <w:t xml:space="preserve">Livello B</w:t>
      </w:r>
      <w:r>
        <w:rPr/>
        <w:t xml:space="preserve"> in quanto attestati da fonte parlamentare. La medesima fonte riferisce che il personaggio è ritenuto da alcuni elemento di primo piano nella struttura verticistica dell’organizzazione, e che, stando a ulteriori riletture che la fonte stessa definisce </w:t>
      </w:r>
      <w:r>
        <w:rPr>
          <w:b/>
        </w:rPr>
        <w:t xml:space="preserve">suggestive</w:t>
      </w:r>
      <w:r>
        <w:rPr/>
        <w:t xml:space="preserve">, avrebbe predisposto e gestito gli interrogatori del prigioniero: la fonte, cioè, marca da sé la distanza fra il dato e la lettura. Il Registro recepisce integralmente questa marcatura: il matrimonio è un fatto; la coincidenza fra il cognome della consorte e il nome della via del ritrovamento è un ponte onomastico che spiega perché il nodo sia stato più volte tirato in ballo; la lettura che ne fa il regista degli interrogatori resta </w:t>
      </w:r>
      <w:r>
        <w:rPr>
          <w:b/>
        </w:rPr>
        <w:t xml:space="preserve">Livello C</w:t>
      </w:r>
      <w:r>
        <w:rPr/>
        <w:t xml:space="preserve">, e vi resterebbe anche se dieci fonti la ripetessero, poiché la ripetizione di una suggestione non è una seconda fonte.</w:t>
      </w:r>
    </w:p>
    <w:p>
      <w:pPr>
        <w:spacing w:after="0" w:line="276" w:lineRule="auto"/>
        <w:ind w:firstLine="425"/>
        <w:jc w:val="both"/>
      </w:pPr>
      <w:r>
        <w:rPr>
          <w:b/>
        </w:rPr>
        <w:t xml:space="preserve">L’appunto immobiliare e il giudice.</w:t>
      </w:r>
      <w:r>
        <w:rPr/>
        <w:t xml:space="preserve"> L’anello di secondo grado dell’Immobiliare Savellia e di Palazzo Orsini precisa i termini già iscritti — l’utenza corrispondente all’appunto manoscritto rinvenuto in via Gradoli, la sede in via di Monte Savello, la marchesa il cui acronimo figurava nell’appunto — tutti di </w:t>
      </w:r>
      <w:r>
        <w:rPr>
          <w:b/>
        </w:rPr>
        <w:t xml:space="preserve">Livello B</w:t>
      </w:r>
      <w:r>
        <w:rPr/>
        <w:t xml:space="preserve"> in quanto contenuti in elaborato parlamentare. Vi emerge inoltre il nome di </w:t>
      </w:r>
      <w:r>
        <w:rPr>
          <w:b/>
        </w:rPr>
        <w:t xml:space="preserve">Ernesto Cudillo</w:t>
      </w:r>
      <w:r>
        <w:rPr/>
        <w:t xml:space="preserve">, che la lettura di pagina restituisce, su fonte diversa, quale consigliere istruttore della sentenza-ordinanza del marzo millenovecentottantatré che prosciolse con ampia formula gli imputati del procedimento sulla loggia, sentenza che la relazione parlamentare sottopone a critica espressa — </w:t>
      </w:r>
      <w:r>
        <w:rPr>
          <w:b/>
        </w:rPr>
        <w:t xml:space="preserve">Livello A</w:t>
      </w:r>
      <w:r>
        <w:rPr/>
        <w:t xml:space="preserve"> quanto all’atto e alla critica. La ragione della prossimità fra questo nome e il palazzo non è stata ancora letta in pagina: il Registro la assegna alla Camera Istruttoria e non la anticipa, limitandosi a rilevare che il medesimo nome ricorre in due luoghi sensibili del corpus per ragioni che potrebbero essere due, e indipendenti.</w:t>
      </w:r>
    </w:p>
    <w:p>
      <w:pPr>
        <w:spacing w:after="0" w:line="276" w:lineRule="auto"/>
        <w:ind w:firstLine="425"/>
        <w:jc w:val="both"/>
      </w:pPr>
      <w:r>
        <w:rPr>
          <w:b/>
        </w:rPr>
        <w:t xml:space="preserve">Il canale calabrese al secondo grado.</w:t>
      </w:r>
      <w:r>
        <w:rPr/>
        <w:t xml:space="preserve"> Gli anelli di Benito Cazora e di Sereno Freato, ad altissima affinità, portano il canale già iscritto a una precisione superiore. La lettura di pagina accerta, su fonte parlamentare, la dichiarazione di </w:t>
      </w:r>
      <w:r>
        <w:rPr>
          <w:b/>
        </w:rPr>
        <w:t xml:space="preserve">Giuseppe Messina</w:t>
      </w:r>
      <w:r>
        <w:rPr/>
        <w:t xml:space="preserve"> di avere ricevuto da </w:t>
      </w:r>
      <w:r>
        <w:rPr>
          <w:b/>
        </w:rPr>
        <w:t xml:space="preserve">Flavio Carboni</w:t>
      </w:r>
      <w:r>
        <w:rPr/>
        <w:t xml:space="preserve"> l’invito a incontrare, insieme al parlamentare calabrese, uno dei capi della mafia siciliana, e la circostanza che come luogo dell’incontro fu indicato come possibile </w:t>
      </w:r>
      <w:r>
        <w:rPr>
          <w:b/>
        </w:rPr>
        <w:t xml:space="preserve">un ufficio della Procura generale presso la Corte d’appello di Roma</w:t>
      </w:r>
      <w:r>
        <w:rPr/>
        <w:t xml:space="preserve"> — </w:t>
      </w:r>
      <w:r>
        <w:rPr>
          <w:b/>
        </w:rPr>
        <w:t xml:space="preserve">Livello B</w:t>
      </w:r>
      <w:r>
        <w:rPr/>
        <w:t xml:space="preserve"> quanto alla dichiarazione riferita in elaborato parlamentare, </w:t>
      </w:r>
      <w:r>
        <w:rPr>
          <w:b/>
        </w:rPr>
        <w:t xml:space="preserve">Livello C</w:t>
      </w:r>
      <w:r>
        <w:rPr/>
        <w:t xml:space="preserve"> quanto alla effettività dell’incontro. Il Registro rileva che questa singola finestra congiunge in un solo periodo il primo, il secondo, il sesto e il decimo Dominio, e che precisamente per questo va maneggiata con il massimo rigore: essa resta una dichiarazione, e la sua forza suggestiva non ne muta il livello. Nell’anello di Freato ricorre inoltre il nome di una società di trasporto valori che rimanda a vicende del decennio successivo: la ragione della prossimità non è stata letta e resta assegnata alla Camera.</w:t>
      </w:r>
    </w:p>
    <w:p>
      <w:pPr>
        <w:spacing w:after="0" w:line="276" w:lineRule="auto"/>
        <w:ind w:firstLine="425"/>
        <w:jc w:val="both"/>
      </w:pPr>
      <w:r>
        <w:rPr>
          <w:b/>
        </w:rPr>
        <w:t xml:space="preserve">Il borsista e l’assistente.</w:t>
      </w:r>
      <w:r>
        <w:rPr/>
        <w:t xml:space="preserve"> L’anello del nome Sokolov si risolve alla lettura nella testimonianza del professor </w:t>
      </w:r>
      <w:r>
        <w:rPr>
          <w:b/>
        </w:rPr>
        <w:t xml:space="preserve">Franco Tritto</w:t>
      </w:r>
      <w:r>
        <w:rPr/>
        <w:t xml:space="preserve">, assistente universitario della vittima e poi titolare della sua cattedra, il quale — riferisce l’elaborato parlamentare sull’ombra dei servizi orientali — notò nelle settimane precedenti il sequestro un borsista che volle conoscere il professore e si informò dei suoi spostamenti e della composizione della scorta, tornando in Italia anni dopo. La fonte qualifica essa stessa la circostanza come curiosa coincidenza generatrice di sospetti, e il Registro ne recepisce la misura: </w:t>
      </w:r>
      <w:r>
        <w:rPr>
          <w:b/>
        </w:rPr>
        <w:t xml:space="preserve">Livello B</w:t>
      </w:r>
      <w:r>
        <w:rPr/>
        <w:t xml:space="preserve"> quanto alla testimonianza e alla circostanza riferita, </w:t>
      </w:r>
      <w:r>
        <w:rPr>
          <w:b/>
        </w:rPr>
        <w:t xml:space="preserve">Livello C</w:t>
      </w:r>
      <w:r>
        <w:rPr/>
        <w:t xml:space="preserve"> quanto a ogni inferenza sul ruolo, con la nota che questa voce appartiene alla medesima classe della precedente — il dato è solido, la lettura è aperta, e la fonte ha avuto la probità di dirlo.</w:t>
      </w:r>
    </w:p>
    <w:p>
      <w:pPr>
        <w:spacing w:after="0" w:line="276" w:lineRule="auto"/>
        <w:ind w:firstLine="425"/>
        <w:jc w:val="both"/>
      </w:pPr>
      <w:r>
        <w:rPr>
          <w:b/>
        </w:rPr>
        <w:t xml:space="preserve">Gli anelli minori della fascia alta.</w:t>
      </w:r>
      <w:r>
        <w:rPr/>
        <w:t xml:space="preserve"> L’anello di via Fracchia restituisce i nomi dei quattro militanti uccisi nell’irruzione del marzo millenovecentottanta e quello di Guido Rossa — </w:t>
      </w:r>
      <w:r>
        <w:rPr>
          <w:b/>
        </w:rPr>
        <w:t xml:space="preserve">Livello A</w:t>
      </w:r>
      <w:r>
        <w:rPr/>
        <w:t xml:space="preserve"> i fatti, estranei al caso ma contigui alla sua eredità documentale, poiché in quell’appartamento fu rinvenuta copia di materiale della prigionia. L’anello del contratto di via Gradoli reca il nome del contraente formale, di </w:t>
      </w:r>
      <w:r>
        <w:rPr>
          <w:b/>
        </w:rPr>
        <w:t xml:space="preserve">Livello C</w:t>
      </w:r>
      <w:r>
        <w:rPr/>
        <w:t xml:space="preserve"> in quanto attestato allo stato dalla sola monografia tesistica. L’anello del canale ecclesiastico al secondo grado — il segretario particolare del Pontefice, il cappellano, il parlamentare che ne riferì — conferma i livelli già assegnati senza elevarli.</w:t>
      </w:r>
    </w:p>
    <w:p>
      <w:pPr>
        <w:spacing w:before="240" w:after="120" w:line="276" w:lineRule="auto"/>
        <w:jc w:val="left"/>
      </w:pPr>
      <w:r>
        <w:rPr>
          <w:b/>
          <w:sz w:val="24"/>
          <w:szCs w:val="24"/>
        </w:rPr>
        <w:t xml:space="preserve">Fascia intermedia: le istruttorie delicate</w:t>
      </w:r>
    </w:p>
    <w:p>
      <w:pPr>
        <w:spacing w:after="0" w:line="276" w:lineRule="auto"/>
        <w:ind w:firstLine="425"/>
        <w:jc w:val="both"/>
      </w:pPr>
      <w:r>
        <w:rPr>
          <w:b/>
        </w:rPr>
        <w:t xml:space="preserve">La catena del falsario.</w:t>
      </w:r>
      <w:r>
        <w:rPr/>
        <w:t xml:space="preserve"> L’anello di secondo grado di Antonio Chichiarelli produce l’accertamento più rilevante dell’intera espansione. La lettura di pagina, su elaborato parlamentare che cita testualmente l’ordinanza del giudice istruttore, stabilisce che </w:t>
      </w:r>
      <w:r>
        <w:rPr>
          <w:b/>
        </w:rPr>
        <w:t xml:space="preserve">Luciano Dal Bello</w:t>
      </w:r>
      <w:r>
        <w:rPr/>
        <w:t xml:space="preserve">, qualificato dalla fonte come confidente anche a significativi livelli e insieme comprimario nelle trame del falsario, era in contatto con il </w:t>
      </w:r>
      <w:r>
        <w:rPr>
          <w:b/>
        </w:rPr>
        <w:t xml:space="preserve">maresciallo Solinas</w:t>
      </w:r>
      <w:r>
        <w:rPr/>
        <w:t xml:space="preserve">, in forza al Nucleo di polizia giudiziaria dei carabinieri di Roma; che nel marzo millenovecentosettantanove Dal Bello informò il maresciallo di un progetto di attentato contro una personalità politica; e che il falsario, undici giorni dopo la morte del prigioniero, confezionò un ulteriore comunicato in codice contenente riferimenti alle operazioni di polizia condotte in via Gradoli — </w:t>
      </w:r>
      <w:r>
        <w:rPr>
          <w:b/>
        </w:rPr>
        <w:t xml:space="preserve">Livello B</w:t>
      </w:r>
      <w:r>
        <w:rPr/>
        <w:t xml:space="preserve"> l’intera catena, in quanto fondata su ordinanza istruttoria riportata in elaborato parlamentare. Il Registro ne trae, senza eccederla, la sola conclusione che il livello consente: l’autore del più celebre depistaggio dei cinquantacinque giorni disponeva, tramite il proprio sodale, di un canale verso un reparto investigativo, e mostrava di conoscere le operazioni in corso. Quale uso quel canale abbia avuto, e in quale direzione l’informazione corresse, il corpus non lo dice, e il Registro non lo afferma.</w:t>
      </w:r>
    </w:p>
    <w:p>
      <w:pPr>
        <w:spacing w:after="0" w:line="276" w:lineRule="auto"/>
        <w:ind w:firstLine="425"/>
        <w:jc w:val="both"/>
      </w:pPr>
      <w:r>
        <w:rPr>
          <w:b/>
        </w:rPr>
        <w:t xml:space="preserve">Il contatto tedesco.</w:t>
      </w:r>
      <w:r>
        <w:rPr/>
        <w:t xml:space="preserve"> L’anello di Patrizio Peci porta nel Registro l’arco internazionale meglio documentato del corpus: il terrorista della Rote Armee Fraktion </w:t>
      </w:r>
      <w:r>
        <w:rPr>
          <w:b/>
        </w:rPr>
        <w:t xml:space="preserve">Willy Peter Stoll</w:t>
      </w:r>
      <w:r>
        <w:rPr/>
        <w:t xml:space="preserve">, indicato dal collaboratore come colui che veniva in Italia prima del sequestro per incontrare Mario Moretti, ucciso a Düsseldorf con addosso documenti attestanti i contatti fra le due organizzazioni, e nominato fra i componenti del commando del sequestro dell’industriale tedesco dell’autunno precedente — </w:t>
      </w:r>
      <w:r>
        <w:rPr>
          <w:b/>
        </w:rPr>
        <w:t xml:space="preserve">Livello B</w:t>
      </w:r>
      <w:r>
        <w:rPr/>
        <w:t xml:space="preserve">, per convergenza fra dichiarazione del collaboratore e riscontri riferiti dall’elaborato sulla dimensione sovranazionale. Il parallelo fra i due sequestri, che la pubblicistica ha trattato per analogia, entra così nel Registro per la via corretta: non come somiglianza di forma ma come contatto documentato fra gli esecutori, con l’avvertenza che il contatto attesta la relazione fra le organizzazioni e non trasferisce all’una le determinazioni dell’altra.</w:t>
      </w:r>
    </w:p>
    <w:p>
      <w:pPr>
        <w:spacing w:after="0" w:line="276" w:lineRule="auto"/>
        <w:ind w:firstLine="425"/>
        <w:jc w:val="both"/>
      </w:pPr>
      <w:r>
        <w:rPr>
          <w:b/>
        </w:rPr>
        <w:t xml:space="preserve">La casa di viale Giulio Cesare al secondo grado.</w:t>
      </w:r>
      <w:r>
        <w:rPr/>
        <w:t xml:space="preserve"> L’anello di Giuliana Conforto conferma i livelli già iscritti e vi aggiunge il rinvenimento dell’arma — </w:t>
      </w:r>
      <w:r>
        <w:rPr>
          <w:b/>
        </w:rPr>
        <w:t xml:space="preserve">Livello A</w:t>
      </w:r>
      <w:r>
        <w:rPr/>
        <w:t xml:space="preserve"> — quale vicino più disperso; quello di Giorgio Conforto, ad affinità assai più bassa, mostra che il padre della locataria vive nelle fonti prevalentemente entro il tema dei rapporti con l’Unione Sovietica e non entro il caso: la deriva misurata coincide qui con la distinzione già scolpita fra la relazione familiare, documentata, e il ruolo operativo, mai documentato. L’anello della seduta spiritica al secondo grado attesta la presenza nel corpus dei nomi dei partecipanti accademici alla riunione bolognese — </w:t>
      </w:r>
      <w:r>
        <w:rPr>
          <w:b/>
        </w:rPr>
        <w:t xml:space="preserve">Livello B</w:t>
      </w:r>
      <w:r>
        <w:rPr/>
        <w:t xml:space="preserve"> quanto al fatto che dalla riunione emerse l’indicazione toponomastica poi riferita alle autorità, con la qualificazione, che il Registro mantiene, di circostanza mai spiegata in modo soddisfacente da alcuna delle letture concorrenti.</w:t>
      </w:r>
    </w:p>
    <w:p>
      <w:pPr>
        <w:spacing w:after="0" w:line="276" w:lineRule="auto"/>
        <w:ind w:firstLine="425"/>
        <w:jc w:val="both"/>
      </w:pPr>
      <w:r>
        <w:rPr>
          <w:b/>
        </w:rPr>
        <w:t xml:space="preserve">Le derive di fascia intermedia.</w:t>
      </w:r>
      <w:r>
        <w:rPr/>
        <w:t xml:space="preserve"> L’anello di Francesco Delfino scivola verso l’istruttoria bresciana — i nomi del giudice Arcai, del condannato Buzzi, di Delle Chiaie — e appartiene a quel caso, non a questo; l’anello di Giustino De Vuono si riduce al luogo di detenzione e a una prossimità con il nome di Moretti che resta da leggere; l’anello del Superclan e dei fondatori dell’istituto parigino aggiunge i nomi del difensore e del magistrato istruttore veneziano — </w:t>
      </w:r>
      <w:r>
        <w:rPr>
          <w:b/>
        </w:rPr>
        <w:t xml:space="preserve">Livello B</w:t>
      </w:r>
      <w:r>
        <w:rPr/>
        <w:t xml:space="preserve"> quanto alle audizioni e alle istruttorie, fermi i livelli già assegnati alla qualificazione dell’istituto.</w:t>
      </w:r>
    </w:p>
    <w:p>
      <w:pPr>
        <w:spacing w:before="240" w:after="120" w:line="276" w:lineRule="auto"/>
        <w:jc w:val="left"/>
      </w:pPr>
      <w:r>
        <w:rPr>
          <w:b/>
          <w:sz w:val="24"/>
          <w:szCs w:val="24"/>
        </w:rPr>
        <w:t xml:space="preserve">Fascia inferiore: la mappa del contesto</w:t>
      </w:r>
    </w:p>
    <w:p>
      <w:pPr>
        <w:spacing w:after="0" w:line="276" w:lineRule="auto"/>
        <w:ind w:firstLine="425"/>
        <w:jc w:val="both"/>
      </w:pPr>
      <w:r>
        <w:rPr>
          <w:b/>
        </w:rPr>
        <w:t xml:space="preserve">La banda considerata in sé.</w:t>
      </w:r>
      <w:r>
        <w:rPr/>
        <w:t xml:space="preserve"> Gli anelli degli esponenti della banda romana — con affinità fra l’otto e il diciannove per cento — restituiscono la banda e non il caso: i capi delle batterie, le zone, i collaboratori che ne ricostruirono la struttura, e la saldatura con l’eversione nera attraverso i rapporti, che le fonti attestano, fra taluni suoi esponenti e militanti dell’area armata di destra. Questa saldatura è dato rilevante per la materia generale e resta, per questo Registro, contesto: nessuna delle finestre lette la congiunge al sequestro, e la sua registrazione qui vale come confine dichiarato, non come pista.</w:t>
      </w:r>
    </w:p>
    <w:p>
      <w:pPr>
        <w:spacing w:after="0" w:line="276" w:lineRule="auto"/>
        <w:ind w:firstLine="425"/>
        <w:jc w:val="both"/>
      </w:pPr>
      <w:r>
        <w:rPr>
          <w:b/>
        </w:rPr>
        <w:t xml:space="preserve">I vertici degli apparati e la trappola dei due organigrammi.</w:t>
      </w:r>
      <w:r>
        <w:rPr/>
        <w:t xml:space="preserve"> L’anello di Walter Pelosi restituisce il quadro dei vertici — i direttori dei due servizi, i comandanti delle armi, il segretario del comitato esecutivo — ma la lettura di pagina impone una distinzione che il calcolo non vede e che il Registro scolpisce: l’organigramma che la fonte elenca in blocco è quello del giugno millenovecentottanta, riferito ad altra tragedia, e </w:t>
      </w:r>
      <w:r>
        <w:rPr>
          <w:b/>
        </w:rPr>
        <w:t xml:space="preserve">non può essere trasferito al marzo del settantotto</w:t>
      </w:r>
      <w:r>
        <w:rPr/>
        <w:t xml:space="preserve">. Per i cinquantacinque giorni valgono, su fonte parlamentare di prima grandezza, le funzioni effettivamente coeve: la direzione di un servizio dal novembre millenovecentosettantasette e dell’altro dal gennaio millenovecentosettantotto da parte di ufficiali i cui nomi figurano negli elenchi della loggia rinvenuti nel marzo millenovecentottantuno — </w:t>
      </w:r>
      <w:r>
        <w:rPr>
          <w:b/>
        </w:rPr>
        <w:t xml:space="preserve">Livello A</w:t>
      </w:r>
      <w:r>
        <w:rPr/>
        <w:t xml:space="preserve"> quanto alle funzioni, alle date e alla presenza negli elenchi, per attestazione della relazione parlamentare dedicata. Il dato coevo è dunque più circoscritto e insieme più solido di quello che l’anello suggeriva: durante il sequestro, i vertici di entrambi gli organismi informativi appartenevano agli elenchi di una associazione segreta, e questo è un fatto; ogni inferenza dal fatto alla condotta resta materia delle ipotesi concorrenti già formulate, e ai livelli già assegnati.</w:t>
      </w:r>
    </w:p>
    <w:p>
      <w:pPr>
        <w:spacing w:after="0" w:line="276" w:lineRule="auto"/>
        <w:ind w:firstLine="425"/>
        <w:jc w:val="both"/>
      </w:pPr>
      <w:r>
        <w:rPr>
          <w:b/>
        </w:rPr>
        <w:t xml:space="preserve">Le derive dichiarate.</w:t>
      </w:r>
      <w:r>
        <w:rPr/>
        <w:t xml:space="preserve"> L’anello del banchiere vaticano scivola verso il crack bancario, i nomi degli anni ottanta e la scomparsa della cittadina vaticana — vicende altrui, che il Registro nomina solo per dichiarare la deriva; l’inventario archivistico della Presidenza attesta peraltro, quale sottoprodotto dell’espansione, l’identità del generale già emerso senza nome nel Primo Anello, consigliere per l’ordine democratico e la sicurezza — </w:t>
      </w:r>
      <w:r>
        <w:rPr>
          <w:b/>
        </w:rPr>
        <w:t xml:space="preserve">Livello A</w:t>
      </w:r>
      <w:r>
        <w:rPr/>
        <w:t xml:space="preserve"> quanto alla funzione, per fonte inventariale. L’anello del fondatore dei comitati di resistenza scivola verso la stagione precedente; quello dell’ufficiale condannato per i depistaggi scivola verso la stagione successiva e verso una sigla eversiva meridionale del millenovecentottanta. Sono i confini del caso, e il Secondo Anello ha avuto, fra le sue funzioni, quella di disegnarli.</w:t>
      </w:r>
    </w:p>
    <w:p>
      <w:pPr>
        <w:spacing w:before="240" w:after="120" w:line="276" w:lineRule="auto"/>
        <w:jc w:val="left"/>
      </w:pPr>
      <w:r>
        <w:rPr>
          <w:b/>
          <w:sz w:val="24"/>
          <w:szCs w:val="24"/>
        </w:rPr>
        <w:t xml:space="preserve">L’effetto di piccolo mondo constatato</w:t>
      </w:r>
    </w:p>
    <w:p>
      <w:pPr>
        <w:spacing w:after="0" w:line="276" w:lineRule="auto"/>
        <w:ind w:firstLine="425"/>
        <w:jc w:val="both"/>
      </w:pPr>
      <w:r>
        <w:rPr/>
        <w:t xml:space="preserve">A due passi dal sequestro, la rete documentale tocca la strage di piazza Fontana, quella di Brescia, i depistaggi di Bologna, la tragedia del cielo di Ustica, il crollo di due imperi bancari, la scomparsa di una cittadina vaticana, il terrorismo tedesco e l’intera vicenda della loggia: ossia, per l’essenziale, la materia intera dell’opera maggiore. Questo esito era prevedibile in astratto ed è ora </w:t>
      </w:r>
      <w:r>
        <w:rPr>
          <w:b/>
        </w:rPr>
        <w:t xml:space="preserve">misurato in concreto</w:t>
      </w:r>
      <w:r>
        <w:rPr/>
        <w:t xml:space="preserve">, e il Registro ne fissa il significato con una distinzione finale che è la ragione stessa della Parte Dodicesima. La constatazione che il caso Moro non è isolabile dal sistema documentale che lo circonda è un risultato: essa smentisce ogni lettura che lo tratti come episodio chiuso, e giustifica l’esistenza di un Registro che ne segua le diramazioni. Ma la prossimità documentale </w:t>
      </w:r>
      <w:r>
        <w:rPr>
          <w:b/>
        </w:rPr>
        <w:t xml:space="preserve">non è connessione causale</w:t>
      </w:r>
      <w:r>
        <w:rPr/>
        <w:t xml:space="preserve">: che le fonti trattino insieme ciò che accadde insieme, o vicino, è un fatto della letteratura, non della storia. Il Secondo Anello consegna dunque alla Camera Istruttoria una mappa di frontiere, non un atlante di prove; e chi lo leggesse come il secondo avrebbe percorso, in due passi, l’intera parabola del pollo di Russell.</w:t>
      </w:r>
    </w:p>
    <w:p>
      <w:pPr>
        <w:spacing w:before="240" w:after="120" w:line="276" w:lineRule="auto"/>
        <w:jc w:val="left"/>
      </w:pPr>
      <w:r>
        <w:rPr>
          <w:b/>
          <w:sz w:val="24"/>
          <w:szCs w:val="24"/>
        </w:rPr>
        <w:t xml:space="preserve">Avvertenze specifiche: omonimie e falsi vicini</w:t>
      </w:r>
    </w:p>
    <w:p>
      <w:pPr>
        <w:spacing w:after="0" w:line="276" w:lineRule="auto"/>
        <w:ind w:firstLine="425"/>
        <w:jc w:val="both"/>
      </w:pPr>
      <w:r>
        <w:rPr/>
        <w:t xml:space="preserve">L’espansione ha prodotto due casi di scuola che il Registro iscrive come avvertenze permanenti. Il primo è l’omonimia interna: negli anelli della banda romana ricorre il cognome Moretti riferito a una esponente della banda, </w:t>
      </w:r>
      <w:r>
        <w:rPr>
          <w:b/>
        </w:rPr>
        <w:t xml:space="preserve">Fabiola Moretti</w:t>
      </w:r>
      <w:r>
        <w:rPr/>
        <w:t xml:space="preserve">, priva di qualunque rapporto con l’omonimo dirigente dell’organizzazione armata; il calcolo, cieco ai nomi propri, li conflerebbe, e la sola lettura li separa. Il secondo è il falso vicino per omonimia esterna: il cognome Varone, emerso nell’anello del parlamentare calabrese, conduce alla lettura verso omonimi condannati in tutt’altro procedimento e in tutt’altra materia; la voce originaria resta da istruire e quella letta è espunta come artefatto. Le due avvertenze si aggiungono al registro degli artefatti e valgono come regola: </w:t>
      </w:r>
      <w:r>
        <w:rPr>
          <w:b/>
        </w:rPr>
        <w:t xml:space="preserve">nessun cognome è un nodo</w:t>
      </w:r>
      <w:r>
        <w:rPr/>
        <w:t xml:space="preserve"> — il nodo è la persona, e la persona esiste solo dopo la lettura.</w:t>
      </w:r>
    </w:p>
    <w:p>
      <w:pPr>
        <w:spacing w:before="240" w:after="120" w:line="276" w:lineRule="auto"/>
        <w:jc w:val="left"/>
      </w:pPr>
      <w:r>
        <w:rPr>
          <w:b/>
          <w:sz w:val="24"/>
          <w:szCs w:val="24"/>
        </w:rPr>
        <w:t xml:space="preserve">Nodi ammessi al Registro dei nodi dalla Parte Dodicesima</w:t>
      </w:r>
    </w:p>
    <w:p>
      <w:pPr>
        <w:spacing w:after="0" w:line="276" w:lineRule="auto"/>
        <w:ind w:firstLine="425"/>
        <w:jc w:val="both"/>
      </w:pPr>
      <w:r>
        <w:rPr/>
        <w:t xml:space="preserve">Sono ammessi, con i livelli indicati: Raimondo Etro, </w:t>
      </w:r>
      <w:r>
        <w:rPr>
          <w:b/>
        </w:rPr>
        <w:t xml:space="preserve">Livello A</w:t>
      </w:r>
      <w:r>
        <w:rPr/>
        <w:t xml:space="preserve"> quanto alla qualità di brigatista e all’audizione; Topazia Caetani di Sermoneta, </w:t>
      </w:r>
      <w:r>
        <w:rPr>
          <w:b/>
        </w:rPr>
        <w:t xml:space="preserve">Livello B</w:t>
      </w:r>
      <w:r>
        <w:rPr/>
        <w:t xml:space="preserve"> quanto al matrimonio, con la qualificazione espressa che ogni lettura ulteriore del coniuge resta </w:t>
      </w:r>
      <w:r>
        <w:rPr>
          <w:b/>
        </w:rPr>
        <w:t xml:space="preserve">Livello C</w:t>
      </w:r>
      <w:r>
        <w:rPr/>
        <w:t xml:space="preserve">; Ernesto Cudillo, </w:t>
      </w:r>
      <w:r>
        <w:rPr>
          <w:b/>
        </w:rPr>
        <w:t xml:space="preserve">Livello A</w:t>
      </w:r>
      <w:r>
        <w:rPr/>
        <w:t xml:space="preserve"> quanto alla sentenza-ordinanza del millenovecentottantatré e alla critica parlamentare di essa, con riserva d’istruttoria sulla prossimità al palazzo; Giuseppe Messina e la dichiarazione sull’invito di Flavio Carboni, </w:t>
      </w:r>
      <w:r>
        <w:rPr>
          <w:b/>
        </w:rPr>
        <w:t xml:space="preserve">Livello B</w:t>
      </w:r>
      <w:r>
        <w:rPr/>
        <w:t xml:space="preserve"> la dichiarazione, </w:t>
      </w:r>
      <w:r>
        <w:rPr>
          <w:b/>
        </w:rPr>
        <w:t xml:space="preserve">Livello C</w:t>
      </w:r>
      <w:r>
        <w:rPr/>
        <w:t xml:space="preserve"> l’effettività; Flavio Carboni, </w:t>
      </w:r>
      <w:r>
        <w:rPr>
          <w:b/>
        </w:rPr>
        <w:t xml:space="preserve">Livello B</w:t>
      </w:r>
      <w:r>
        <w:rPr/>
        <w:t xml:space="preserve"> quanto al ruolo di tramite dichiarato; Franco Tritto, </w:t>
      </w:r>
      <w:r>
        <w:rPr>
          <w:b/>
        </w:rPr>
        <w:t xml:space="preserve">Livello B</w:t>
      </w:r>
      <w:r>
        <w:rPr/>
        <w:t xml:space="preserve"> quanto alla testimonianza sul borsista; Luciano Dal Bello e il maresciallo Solinas, </w:t>
      </w:r>
      <w:r>
        <w:rPr>
          <w:b/>
        </w:rPr>
        <w:t xml:space="preserve">Livello B</w:t>
      </w:r>
      <w:r>
        <w:rPr/>
        <w:t xml:space="preserve"> l’intera catena informativa, su ordinanza istruttoria riportata in fonte parlamentare; Willy Peter Stoll, </w:t>
      </w:r>
      <w:r>
        <w:rPr>
          <w:b/>
        </w:rPr>
        <w:t xml:space="preserve">Livello B</w:t>
      </w:r>
      <w:r>
        <w:rPr/>
        <w:t xml:space="preserve"> quanto ai contatti con Moretti e ai riscontri documentali; i quattro militanti di via Fracchia e Guido Rossa, </w:t>
      </w:r>
      <w:r>
        <w:rPr>
          <w:b/>
        </w:rPr>
        <w:t xml:space="preserve">Livello A</w:t>
      </w:r>
      <w:r>
        <w:rPr/>
        <w:t xml:space="preserve"> i fatti, quale contesto dichiarato; i vertici coevi dei due servizi con le date di direzione e la presenza negli elenchi della loggia, </w:t>
      </w:r>
      <w:r>
        <w:rPr>
          <w:b/>
        </w:rPr>
        <w:t xml:space="preserve">Livello A</w:t>
      </w:r>
      <w:r>
        <w:rPr/>
        <w:t xml:space="preserve"> su relazione parlamentare; il generale consigliere per l’ordine democratico e la sicurezza, </w:t>
      </w:r>
      <w:r>
        <w:rPr>
          <w:b/>
        </w:rPr>
        <w:t xml:space="preserve">Livello A</w:t>
      </w:r>
      <w:r>
        <w:rPr/>
        <w:t xml:space="preserve"> quanto alla funzione, per fonte inventariale.</w:t>
      </w:r>
    </w:p>
    <w:p>
      <w:pPr>
        <w:spacing w:before="240" w:after="120" w:line="276" w:lineRule="auto"/>
        <w:jc w:val="left"/>
      </w:pPr>
      <w:r>
        <w:rPr>
          <w:b/>
          <w:sz w:val="24"/>
          <w:szCs w:val="24"/>
        </w:rPr>
        <w:t xml:space="preserve">Assegnazioni alla Camera Istruttoria</w:t>
      </w:r>
    </w:p>
    <w:p>
      <w:pPr>
        <w:spacing w:after="0" w:line="276" w:lineRule="auto"/>
        <w:ind w:firstLine="425"/>
        <w:jc w:val="both"/>
      </w:pPr>
      <w:r>
        <w:rPr/>
        <w:t xml:space="preserve">Dalla Parte Dodicesima discendono, in ordine di priorità: prima, la lettura di pagina della prossimità fra il nome del consigliere istruttore e il palazzo, da risolvere o da espungere; seconda, l’istruttoria sulla ricorrenza della società di trasporto valori nell’anello del collaboratore politico della vittima, con divieto di anticipazione; terza, la verifica sistematica dell’organigramma coevo dei cinquantacinque giorni, funzione per funzione, contro la trappola dei due organigrammi; quarta, la lettura della prossimità fra il nome del detenuto calabrese e quello del dirigente dell’organizzazione; quinta, la risalita alla fonte primaria di ogni voce del Secondo Anello che poggi unicamente sulla monografia tesistica; sesta, la registrazione nel registro degli artefatti dell’omonimia Varone e dell’avvertenza Fabiola Moretti. Resta ferma, sovraordinata a tutte, la conversione del blocco stenografico, che di molte fra queste istruttorie è la condizione.</w:t>
      </w:r>
    </w:p>
    <w:p>
      <w:pPr>
        <w:pageBreakBefore/>
        <w:spacing w:before="240" w:after="120" w:line="276" w:lineRule="auto"/>
        <w:jc w:val="left"/>
      </w:pPr>
      <w:r>
        <w:rPr>
          <w:b/>
          <w:sz w:val="28"/>
          <w:szCs w:val="28"/>
        </w:rPr>
        <w:t xml:space="preserve">COLOPHON DELL’EDIZIONE TERZA</w:t>
      </w:r>
    </w:p>
    <w:p>
      <w:pPr>
        <w:spacing w:after="0" w:line="276" w:lineRule="auto"/>
        <w:ind w:firstLine="425"/>
        <w:jc w:val="both"/>
      </w:pPr>
      <w:r>
        <w:rPr/>
        <w:t xml:space="preserve">REGISTRO ANALITICO DEL CASO MORO, edizione terza, con il Secondo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Incorpora verbatim l’edizione seconda e, per suo tramite, la prima; ogni edizione successiva conterrà verbatim la presente. Resta sovrana la Regola di Ferro: dove la fonte documenta, l’opera certifica; dove la fonte tace, l’opera indaga e non afferma. Autore e direttore dell’opera: Luigi De Michele.</w:t>
      </w:r>
    </w:p>
    <w:p>
      <w:pPr>
        <w:pageBreakBefore/>
        <w:spacing w:before="240" w:after="120" w:line="276" w:lineRule="auto"/>
        <w:jc w:val="left"/>
      </w:pPr>
      <w:r>
        <w:rPr>
          <w:b/>
          <w:sz w:val="28"/>
          <w:szCs w:val="28"/>
        </w:rPr>
        <w:t xml:space="preserve">PARTE TREDICESIMA — LA METODOLOGIA DEL SALTO DELLA QUAGLIA</w:t>
      </w:r>
    </w:p>
    <w:p>
      <w:pPr>
        <w:spacing w:before="60" w:after="0" w:line="276" w:lineRule="auto"/>
        <w:jc w:val="center"/>
      </w:pPr>
      <w:r>
        <w:rPr>
          <w:sz w:val="24"/>
          <w:szCs w:val="24"/>
        </w:rPr>
        <w:t xml:space="preserve">Metodologia di Luigi De Michele</w:t>
      </w:r>
    </w:p>
    <w:p>
      <w:pPr>
        <w:spacing w:before="240" w:after="120" w:line="276" w:lineRule="auto"/>
        <w:jc w:val="left"/>
      </w:pPr>
      <w:r>
        <w:rPr>
          <w:b/>
          <w:sz w:val="24"/>
          <w:szCs w:val="24"/>
        </w:rPr>
        <w:t xml:space="preserve">Definizione e ragione del nome</w:t>
      </w:r>
    </w:p>
    <w:p>
      <w:pPr>
        <w:spacing w:after="0" w:line="276" w:lineRule="auto"/>
        <w:ind w:firstLine="425"/>
        <w:jc w:val="both"/>
      </w:pPr>
      <w:r>
        <w:rPr/>
        <w:t xml:space="preserve">La Metodologia del Salto della Quaglia, elaborata dall’autore del presente Registro e qui formalizzata come strumento permanente dell’apparato, risponde a un problema che l’analisi di rete conosce bene e risolve male: il </w:t>
      </w:r>
      <w:r>
        <w:rPr>
          <w:b/>
        </w:rPr>
        <w:t xml:space="preserve">buco strutturale</w:t>
      </w:r>
      <w:r>
        <w:rPr/>
        <w:t xml:space="preserve">, la coppia di nodi che dovrebbero essere connessi e che nel grafo operativo non lo sono. L’analisi convenzionale, davanti al buco, ha due sole mosse — dichiararlo compartimentazione o dichiararlo lacuna — e in entrambi i casi si arresta. La metodologia qui formalizzata prescrive una terza mossa: cercare il legame </w:t>
      </w:r>
      <w:r>
        <w:rPr>
          <w:b/>
        </w:rPr>
        <w:t xml:space="preserve">su un piano diverso</w:t>
      </w:r>
      <w:r>
        <w:rPr/>
        <w:t xml:space="preserve"> da quello in cui il buco appare. Il nome è una risemantizzazione deliberata: nella lingua parlamentare dell’Ottocento il salto della quaglia designava il trasformismo, il passaggio d’un uomo da uno schieramento all’altro; nella presente metodologia designa il modo di volo dell’animale, che non procede in linea retta e in quota, dove il tiratore lo attende, ma per </w:t>
      </w:r>
      <w:r>
        <w:rPr>
          <w:b/>
        </w:rPr>
        <w:t xml:space="preserve">salti bassi, brevi e laterali, sotto la linea di tiro</w:t>
      </w:r>
      <w:r>
        <w:rPr/>
        <w:t xml:space="preserve">. Il potere informale si muove così: quasi mai lungo l’arco diretto fra due nodi operativi — che è l’arco sorvegliato, intercettabile, processabile — ma per salti su nodi terzi che appartengono a piani relazionali che nessuno sorveglia, perché nessuno li considera rete.</w:t>
      </w:r>
    </w:p>
    <w:p>
      <w:pPr>
        <w:spacing w:after="0" w:line="276" w:lineRule="auto"/>
        <w:ind w:firstLine="425"/>
        <w:jc w:val="both"/>
      </w:pPr>
      <w:r>
        <w:rPr/>
        <w:t xml:space="preserve">I piani del salto sono cinque, e la loro enumerazione è il cuore operativo della metodologia. Il piano </w:t>
      </w:r>
      <w:r>
        <w:rPr>
          <w:b/>
        </w:rPr>
        <w:t xml:space="preserve">rituale e di parentela cerimoniale</w:t>
      </w:r>
      <w:r>
        <w:rPr/>
        <w:t xml:space="preserve">: i testimoni di nozze, i padrini di battesimo e di cresima, il comparatico, i matrimoni di componimento — istituti che la criminologia delle mafie conosce come tecnologia di alleanza, e che saldano famiglie, cosche e domini con atti pubblici che nessuno legge come atti di rete. Il piano </w:t>
      </w:r>
      <w:r>
        <w:rPr>
          <w:b/>
        </w:rPr>
        <w:t xml:space="preserve">patrimoniale e notarile</w:t>
      </w:r>
      <w:r>
        <w:rPr/>
        <w:t xml:space="preserve">: le intestazioni, i contratti registrati e non registrati, le società, le compravendite, i lasciti — dove il rapporto corre fra i nomi che firmano, non fra quelli che contano. Il piano </w:t>
      </w:r>
      <w:r>
        <w:rPr>
          <w:b/>
        </w:rPr>
        <w:t xml:space="preserve">professionale</w:t>
      </w:r>
      <w:r>
        <w:rPr/>
        <w:t xml:space="preserve">: le consulenze, le perizie, le cattedre, gli studi condivisi — dove un medesimo tecnico serve domini che non si parlano, e li fa parlare. Il piano </w:t>
      </w:r>
      <w:r>
        <w:rPr>
          <w:b/>
        </w:rPr>
        <w:t xml:space="preserve">conviviale</w:t>
      </w:r>
      <w:r>
        <w:rPr/>
        <w:t xml:space="preserve">: le cene, i circoli, i salotti, i palchi — la prossimità fisica ricorrente che precede e accompagna ogni accordo. Il piano </w:t>
      </w:r>
      <w:r>
        <w:rPr>
          <w:b/>
        </w:rPr>
        <w:t xml:space="preserve">confidenziale</w:t>
      </w:r>
      <w:r>
        <w:rPr/>
        <w:t xml:space="preserve">: gli informatori, i confidenti, i canali di ritorno — dove l’informazione attraversa la frontiera fra i domini portata da chi appartiene a entrambi senza appartenere a nessuno.</w:t>
      </w:r>
    </w:p>
    <w:p>
      <w:pPr>
        <w:spacing w:before="240" w:after="120" w:line="276" w:lineRule="auto"/>
        <w:jc w:val="left"/>
      </w:pPr>
      <w:r>
        <w:rPr>
          <w:b/>
          <w:sz w:val="24"/>
          <w:szCs w:val="24"/>
        </w:rPr>
        <w:t xml:space="preserve">Fondamento teorico</w:t>
      </w:r>
    </w:p>
    <w:p>
      <w:pPr>
        <w:spacing w:after="0" w:line="276" w:lineRule="auto"/>
        <w:ind w:firstLine="425"/>
        <w:jc w:val="both"/>
      </w:pPr>
      <w:r>
        <w:rPr/>
        <w:t xml:space="preserve">La metodologia non nasce nel vuoto e dichiara le proprie ascendenze, che appartengono per intero al canone dell’opera. Da Granovetter assume il teorema della forza dei legami deboli: l’informazione e l’opportunità non viaggiano sui legami forti, ridondanti e sorvegliati, ma sui legami deboli e laterali, che sono precisamente i legami dei cinque piani. Dall’analisi dei buchi strutturali di Burt assume la nozione del vantaggio di posizione di chi cavalca la discontinuità — e la rovescia in strumento di ricerca: dove Burt cerca il broker, il Salto della Quaglia cerca il piano su cui il broker opera. Da Luhmann assume l’accoppiamento strutturale fra sistemi a codice diverso: il nodo di salto è l’operatore materiale dell’accoppiamento, colui nel quale due codici — l’operativo e il rituale, il criminale e il notarile — coesistono senza confondersi. Dalla criminologia delle organizzazioni mafiose assume infine il dato, documentato da un secolo di atti, che i matrimoni, i comparatici e le testimonianze di nozze sono la contabilità pubblica delle alleanze private, tenuta in registri — parrocchiali, di stato civile, notarili — che l’analista quasi mai apre.</w:t>
      </w:r>
    </w:p>
    <w:p>
      <w:pPr>
        <w:spacing w:before="240" w:after="120" w:line="276" w:lineRule="auto"/>
        <w:jc w:val="left"/>
      </w:pPr>
      <w:r>
        <w:rPr>
          <w:b/>
          <w:sz w:val="24"/>
          <w:szCs w:val="24"/>
        </w:rPr>
        <w:t xml:space="preserve">Le cinque regole</w:t>
      </w:r>
    </w:p>
    <w:p>
      <w:pPr>
        <w:spacing w:after="0" w:line="276" w:lineRule="auto"/>
        <w:ind w:firstLine="425"/>
        <w:jc w:val="both"/>
      </w:pPr>
      <w:r>
        <w:rPr/>
        <w:t xml:space="preserve">Prima regola, </w:t>
      </w:r>
      <w:r>
        <w:rPr>
          <w:b/>
        </w:rPr>
        <w:t xml:space="preserve">dell’eterogeneità del piano</w:t>
      </w:r>
      <w:r>
        <w:rPr/>
        <w:t xml:space="preserve">: il nodo di salto va cercato su un piano di natura diversa da quella dei nodi che collega; se il buco è fra due nodi operativi, il salto è rituale, patrimoniale, professionale, conviviale o confidenziale, mai operativo — un salto sullo stesso piano non è un salto, è un arco mancato. Seconda regola, </w:t>
      </w:r>
      <w:r>
        <w:rPr>
          <w:b/>
        </w:rPr>
        <w:t xml:space="preserve">dell’atto</w:t>
      </w:r>
      <w:r>
        <w:rPr/>
        <w:t xml:space="preserve">: ogni salto ipotizzato è di </w:t>
      </w:r>
      <w:r>
        <w:rPr>
          <w:b/>
        </w:rPr>
        <w:t xml:space="preserve">Livello C</w:t>
      </w:r>
      <w:r>
        <w:rPr/>
        <w:t xml:space="preserve"> finché l’atto che lo incarna non è prodotto — l’atto di matrimonio con la lista dei testimoni, il registro parrocchiale, l’atto notarile, la visura, il contratto, il verbale di confidenza — e la produzione dell’atto lo eleva al livello che l’atto consente, mai oltre. Terza regola, </w:t>
      </w:r>
      <w:r>
        <w:rPr>
          <w:b/>
        </w:rPr>
        <w:t xml:space="preserve">del canale e dell’uso</w:t>
      </w:r>
      <w:r>
        <w:rPr/>
        <w:t xml:space="preserve">: il salto documentato attesta un </w:t>
      </w:r>
      <w:r>
        <w:rPr>
          <w:b/>
        </w:rPr>
        <w:t xml:space="preserve">canale di possibilità</w:t>
      </w:r>
      <w:r>
        <w:rPr/>
        <w:t xml:space="preserve">, non la sua attivazione; che il canale sia stato percorso, quando, da che cosa e in quale direzione, è oggetto di prova separata, e la responsabilità — di chiunque — comincia soltanto dove l’uso è provato. Quarta regola, </w:t>
      </w:r>
      <w:r>
        <w:rPr>
          <w:b/>
        </w:rPr>
        <w:t xml:space="preserve">della falsificazione</w:t>
      </w:r>
      <w:r>
        <w:rPr/>
        <w:t xml:space="preserve">: ogni salto reca le proprie condizioni di confutazione, e ne sono tipiche due — l’estraneità accertata del nodo terzo e la posteriorità dell’arco rituale o patrimoniale rispetto ai fatti che dovrebbe spiegare, poiché un canale aperto dopo non spiega un flusso avvenuto prima. Quinta regola, </w:t>
      </w:r>
      <w:r>
        <w:rPr>
          <w:b/>
        </w:rPr>
        <w:t xml:space="preserve">del salto dell’analista</w:t>
      </w:r>
      <w:r>
        <w:rPr/>
        <w:t xml:space="preserve">: la quaglia impone il proprio modo di volo anche a chi la insegue — l’analista che cerca il salto deve cambiare classe di fonti, uscire dagli atti giudiziari e parlamentari ed entrare negli archivi di stato civile, nei registri parrocchiali, nei repertori notarili, nelle visure camerali, nelle liste dei testimoni e dei padrini; chi cerca il piano rituale nelle carte processuali cerca la quaglia in quota, dove la quaglia non vola.</w:t>
      </w:r>
    </w:p>
    <w:p>
      <w:pPr>
        <w:spacing w:before="240" w:after="120" w:line="276" w:lineRule="auto"/>
        <w:jc w:val="left"/>
      </w:pPr>
      <w:r>
        <w:rPr>
          <w:b/>
          <w:sz w:val="24"/>
          <w:szCs w:val="24"/>
        </w:rPr>
        <w:t xml:space="preserve">I casi già documentati nel corpus</w:t>
      </w:r>
    </w:p>
    <w:p>
      <w:pPr>
        <w:spacing w:after="0" w:line="276" w:lineRule="auto"/>
        <w:ind w:firstLine="425"/>
        <w:jc w:val="both"/>
      </w:pPr>
      <w:r>
        <w:rPr/>
        <w:t xml:space="preserve">La metodologia non è, nel corpus, una proposta: è una pratica già attestata, e il Registro ne fissa i casi. Il primo, e il più puro, è di fonte parlamentare: l’elaborato sulla dimensione sovranazionale, tracciando l’azionariato di una società, annota che una delle azioniste compare, nel gennaio millenovecentonovantadue, come </w:t>
      </w:r>
      <w:r>
        <w:rPr>
          <w:b/>
        </w:rPr>
        <w:t xml:space="preserve">testimone di nozze</w:t>
      </w:r>
      <w:r>
        <w:rPr/>
        <w:t xml:space="preserve"> nel matrimonio del figlio di Bettino Craxi, e che testimoni dello sposo erano l’azionista di maggioranza — che risulterà latitante in Nicaragua — e l’allora segretario generale aggiunto della maggiore confederazione sindacale — </w:t>
      </w:r>
      <w:r>
        <w:rPr>
          <w:b/>
        </w:rPr>
        <w:t xml:space="preserve">Livello B</w:t>
      </w:r>
      <w:r>
        <w:rPr/>
        <w:t xml:space="preserve">, in quanto attestazione parlamentare. La fonte, cioè, pratica essa stessa il tracciamento per testimoni di nozze come tecnica di rete: usa la lista dei testimoni come visura delle alleanze. Il Registro assume questo precedente come legittimazione documentale della metodologia: ciò che qui si formalizza, gli atti già lo facevano.</w:t>
      </w:r>
    </w:p>
    <w:p>
      <w:pPr>
        <w:spacing w:after="0" w:line="276" w:lineRule="auto"/>
        <w:ind w:firstLine="425"/>
        <w:jc w:val="both"/>
      </w:pPr>
      <w:r>
        <w:rPr/>
        <w:t xml:space="preserve">Il secondo caso è il matrimonio fra il musicista ucraino e la nobildonna della casata il cui nome è quello della via del ritrovamento: il salto è onomastico-sociale, dall’ambiente artistico all’aristocrazia romana proprietaria dei palazzi, ed è stato già iscritto ai suoi livelli — il matrimonio </w:t>
      </w:r>
      <w:r>
        <w:rPr>
          <w:b/>
        </w:rPr>
        <w:t xml:space="preserve">Livello B</w:t>
      </w:r>
      <w:r>
        <w:rPr/>
        <w:t xml:space="preserve">, ogni lettura ulteriore </w:t>
      </w:r>
      <w:r>
        <w:rPr>
          <w:b/>
        </w:rPr>
        <w:t xml:space="preserve">Livello C</w:t>
      </w:r>
      <w:r>
        <w:rPr/>
        <w:t xml:space="preserve">. Il terzo è l’arco professionale fra le titolari dei due appartamenti del caso, maturato in un medesimo centro di ricerca: due luoghi operativamente cruciali risultano collegati non sul piano operativo ma su quello professionale delle proprietarie — </w:t>
      </w:r>
      <w:r>
        <w:rPr>
          <w:b/>
        </w:rPr>
        <w:t xml:space="preserve">Livello B</w:t>
      </w:r>
      <w:r>
        <w:rPr/>
        <w:t xml:space="preserve"> la segnalazione di polizia che lo attesta — ed è il salto già assegnato a istruttoria. Il quarto è la </w:t>
      </w:r>
      <w:r>
        <w:rPr>
          <w:b/>
        </w:rPr>
        <w:t xml:space="preserve">simmetria dei due criminologi</w:t>
      </w:r>
      <w:r>
        <w:rPr/>
        <w:t xml:space="preserve">: un professore, consulente della struttura di crisi ministeriale, il cui nome figura negli elenchi della loggia; un altro professore della medesima disciplina, consulente — riferiscono le fonti — del sodalizio criminale romano e in rapporto con l’eversione di destra, parimenti indicato negli elenchi. Due nodi che non si toccano nel grafo operativo e che coincidono su tre piani — professionale, associativo, peritale — configurando il caso di scuola del salto per piano professionale: la perizia forense come corridoio fra i domini. La simmetria è </w:t>
      </w:r>
      <w:r>
        <w:rPr>
          <w:b/>
        </w:rPr>
        <w:t xml:space="preserve">Livello C</w:t>
      </w:r>
      <w:r>
        <w:rPr/>
        <w:t xml:space="preserve"> in quanto lettura, i singoli profili ai livelli propri, e l’istruttoria è aperta. Il quinto è il piano confidenziale già accertato: la catena fra il falsario, il suo sodale confidente e il maresciallo del nucleo di polizia giudiziaria — </w:t>
      </w:r>
      <w:r>
        <w:rPr>
          <w:b/>
        </w:rPr>
        <w:t xml:space="preserve">Livello B</w:t>
      </w:r>
      <w:r>
        <w:rPr/>
        <w:t xml:space="preserve"> — che è un salto documentato dal piano criminale al piano investigativo. Il sesto, infine, è il piano notarile del caso: l’intestazione dell’appartamento della prigione, il contratto non registrato di via Gradoli, l’utenza della società immobiliare nell’appunto manoscritto — tre atti, o assenze d’atto, che sono altrettante porte del piano patrimoniale.</w:t>
      </w:r>
    </w:p>
    <w:p>
      <w:pPr>
        <w:spacing w:after="0" w:line="276" w:lineRule="auto"/>
        <w:ind w:firstLine="425"/>
        <w:jc w:val="both"/>
      </w:pPr>
      <w:r>
        <w:rPr/>
        <w:t xml:space="preserve">A questi si aggiunge la segnalazione investigativa che il Salto della Quaglia genera per prima applicazione propria, e che il Registro formula al livello che le compete. Nell’anello del sacerdote indicato come canale di ritorno compaiono, per prossimità, l’istituto finanziario vaticano e una banca del gruppo poi travolto dal crack: se — e il Registro sottolinea il se — fra il religioso e la dirigenza dell’istituto sussistesse un legame di </w:t>
      </w:r>
      <w:r>
        <w:rPr>
          <w:b/>
        </w:rPr>
        <w:t xml:space="preserve">parentela diretta</w:t>
      </w:r>
      <w:r>
        <w:rPr/>
        <w:t xml:space="preserve">, il canale spirituale della trattativa e il canale finanziario vaticano risulterebbero collegati sul piano familiare, che è il piano di salto per eccellenza. Allo stato del corpus questa è </w:t>
      </w:r>
      <w:r>
        <w:rPr>
          <w:b/>
        </w:rPr>
        <w:t xml:space="preserve">ipotesi di Livello C generata da prossimità</w:t>
      </w:r>
      <w:r>
        <w:rPr/>
        <w:t xml:space="preserve">: il Registro non la afferma, la assegna alla Camera Istruttoria come istruttoria nominata — la verifica anagrafica del legame — con le condizioni di falsificazione della quarta regola, e la iscrive qui come dimostrazione del funzionamento della metodologia: il salto si ipotizza dal calcolo, si verifica nell’anagrafe, e soltanto l’atto lo promuove.</w:t>
      </w:r>
    </w:p>
    <w:p>
      <w:pPr>
        <w:pageBreakBefore/>
        <w:spacing w:before="240" w:after="120" w:line="276" w:lineRule="auto"/>
        <w:jc w:val="left"/>
      </w:pPr>
      <w:r>
        <w:rPr>
          <w:b/>
          <w:sz w:val="28"/>
          <w:szCs w:val="28"/>
        </w:rPr>
        <w:t xml:space="preserve">PARTE QUATTORDICESIMA — CENSIMENTO INTEGRALE E DEFINITIVO DEI NODI DEGLI ANELLI</w:t>
      </w:r>
    </w:p>
    <w:p>
      <w:pPr>
        <w:spacing w:after="0" w:line="276" w:lineRule="auto"/>
        <w:ind w:firstLine="425"/>
        <w:jc w:val="both"/>
      </w:pPr>
      <w:r>
        <w:rPr/>
        <w:t xml:space="preserve">Il presente censimento chiude, in via definitiva quanto alla completezza, l’iscrizione dei nodi emersi dai due Anelli e non ancora iscritti nelle Parti precedenti. Esso è organizzato per Domini; ogni nodo reca inline il proprio livello; le voci prive di lettura di pagina sono iscritte con riserva d’istruttoria espressa, poiché la certificazione riguarda il censimento e mai il legame. I nomi ricorrenti negli anelli come mero rumore grammaticale o come frammenti di estrazione sono stati espunti a monte e non compaiono; le espunzioni motivate e gli artefatti sono raccolti in coda.</w:t>
      </w:r>
    </w:p>
    <w:p>
      <w:pPr>
        <w:spacing w:after="0" w:line="276" w:lineRule="auto"/>
        <w:ind w:firstLine="425"/>
        <w:jc w:val="both"/>
      </w:pPr>
      <w:r>
        <w:rPr>
          <w:b/>
        </w:rPr>
        <w:t xml:space="preserve">Dominio settimo, l’organizzazione armata e la sua area.</w:t>
      </w:r>
      <w:r>
        <w:rPr/>
        <w:t xml:space="preserve"> Sono iscritti: Bruno Seghetti e Salvatore Ricciardi, militanti della colonna romana, </w:t>
      </w:r>
      <w:r>
        <w:rPr>
          <w:b/>
        </w:rPr>
        <w:t xml:space="preserve">Livello A</w:t>
      </w:r>
      <w:r>
        <w:rPr/>
        <w:t xml:space="preserve"> quanto alle qualità, emersi nell’anello dell’intestataria della prigione; Antonio Savasta e Mara Nanni, </w:t>
      </w:r>
      <w:r>
        <w:rPr>
          <w:b/>
        </w:rPr>
        <w:t xml:space="preserve">Livello B</w:t>
      </w:r>
      <w:r>
        <w:rPr/>
        <w:t xml:space="preserve">, per le posizioni processuali riferite dalle fonti; Lorenzo Betassa, Piero Panciarelli, Riccardo Dura e Lorenzo Micaletto, i militanti uccisi o coinvolti nell’irruzione genovese del marzo millenovecentottanta, </w:t>
      </w:r>
      <w:r>
        <w:rPr>
          <w:b/>
        </w:rPr>
        <w:t xml:space="preserve">Livello A</w:t>
      </w:r>
      <w:r>
        <w:rPr/>
        <w:t xml:space="preserve"> i fatti, già iscritti come gruppo e qui nominati singolarmente; Roberto Peci, fratello del collaboratore, sequestrato e ucciso nell’ottantuno per rappresaglia, </w:t>
      </w:r>
      <w:r>
        <w:rPr>
          <w:b/>
        </w:rPr>
        <w:t xml:space="preserve">Livello A</w:t>
      </w:r>
      <w:r>
        <w:rPr/>
        <w:t xml:space="preserve">, quale terminale della vicenda del collaboratore; Giovanni Senzani, </w:t>
      </w:r>
      <w:r>
        <w:rPr>
          <w:b/>
        </w:rPr>
        <w:t xml:space="preserve">Livello B</w:t>
      </w:r>
      <w:r>
        <w:rPr/>
        <w:t xml:space="preserve"> quanto al ruolo nella stagione successiva, con la dichiarazione di estraneità al sequestro da lui resa e riferita dalle fonti, che resta dichiarazione; la rivista Controinformazione, </w:t>
      </w:r>
      <w:r>
        <w:rPr>
          <w:b/>
        </w:rPr>
        <w:t xml:space="preserve">Livello B</w:t>
      </w:r>
      <w:r>
        <w:rPr/>
        <w:t xml:space="preserve"> quanto alla sua esistenza e area, quale organo di frontiera fra il settimo e l’ottavo Dominio; l’area dell’autonomia con Potere Operaio e il nome di Franco Piperno, </w:t>
      </w:r>
      <w:r>
        <w:rPr>
          <w:b/>
        </w:rPr>
        <w:t xml:space="preserve">Livello B</w:t>
      </w:r>
      <w:r>
        <w:rPr/>
        <w:t xml:space="preserve"> le appartenenze, </w:t>
      </w:r>
      <w:r>
        <w:rPr>
          <w:b/>
        </w:rPr>
        <w:t xml:space="preserve">Livello C</w:t>
      </w:r>
      <w:r>
        <w:rPr/>
        <w:t xml:space="preserve"> ogni ruolo nella vicenda, ferma l’istruttoria sulla mediazione tentata nei cinquantacinque giorni; Lotta Continua quale contesto d’area, </w:t>
      </w:r>
      <w:r>
        <w:rPr>
          <w:b/>
        </w:rPr>
        <w:t xml:space="preserve">Livello A</w:t>
      </w:r>
      <w:r>
        <w:rPr/>
        <w:t xml:space="preserve"> l’esistenza.</w:t>
      </w:r>
    </w:p>
    <w:p>
      <w:pPr>
        <w:spacing w:after="0" w:line="276" w:lineRule="auto"/>
        <w:ind w:firstLine="425"/>
        <w:jc w:val="both"/>
      </w:pPr>
      <w:r>
        <w:rPr>
          <w:b/>
        </w:rPr>
        <w:t xml:space="preserve">Dominio primo, la criminalità.</w:t>
      </w:r>
      <w:r>
        <w:rPr/>
        <w:t xml:space="preserve"> Sono iscritti, dagli anelli della banda romana e con la fonte enciclopedica quale supporto prevalente e quindi con </w:t>
      </w:r>
      <w:r>
        <w:rPr>
          <w:b/>
        </w:rPr>
        <w:t xml:space="preserve">Livello C</w:t>
      </w:r>
      <w:r>
        <w:rPr/>
        <w:t xml:space="preserve"> d’ordinanza salvo diversa indicazione: Maurizio Abbatino e Antonio Mancini, quali collaboratori le cui ricostruzioni fondano la conoscenza della banda, </w:t>
      </w:r>
      <w:r>
        <w:rPr>
          <w:b/>
        </w:rPr>
        <w:t xml:space="preserve">Livello B</w:t>
      </w:r>
      <w:r>
        <w:rPr/>
        <w:t xml:space="preserve"> in quanto dichiaranti processuali; Enrico De Pedis, Edoardo Toscano, Domenico Balducci, Amleto Fabiani, Giorgio Paradisi, quali esponenti, </w:t>
      </w:r>
      <w:r>
        <w:rPr>
          <w:b/>
        </w:rPr>
        <w:t xml:space="preserve">Livello C</w:t>
      </w:r>
      <w:r>
        <w:rPr/>
        <w:t xml:space="preserve"> nel corpus, con l’avvertenza che il primo è l’assone documentale verso la vicenda della cittadina vaticana, già dichiarata deriva e confine; Raffaele Cutolo e la Nuova Camorra Organizzata, </w:t>
      </w:r>
      <w:r>
        <w:rPr>
          <w:b/>
        </w:rPr>
        <w:t xml:space="preserve">Livello B</w:t>
      </w:r>
      <w:r>
        <w:rPr/>
        <w:t xml:space="preserve"> quanto all’esistenza e al rapporto con l’esponente della banda attestato dalle fonti, e quale ponte verso l’assone campano; Massimo Sparti, </w:t>
      </w:r>
      <w:r>
        <w:rPr>
          <w:b/>
        </w:rPr>
        <w:t xml:space="preserve">Livello C</w:t>
      </w:r>
      <w:r>
        <w:rPr/>
        <w:t xml:space="preserve"> nel corpus, quale giunzione dichiarata fra la banda e l’area armata di destra; il professor Aldo Semerari, </w:t>
      </w:r>
      <w:r>
        <w:rPr>
          <w:b/>
        </w:rPr>
        <w:t xml:space="preserve">Livello B</w:t>
      </w:r>
      <w:r>
        <w:rPr/>
        <w:t xml:space="preserve"> quanto ai profili che le fonti gli attribuiscono — psichiatra forense, presenza negli elenchi della loggia, consulenza per il sodalizio, rapporti con l’eversione di destra — e nodo della simmetria peritale iscritta nella Parte Tredicesima; Toni Chichiarelli quale variante onomastica del falsario già iscritto, unificata d’ufficio.</w:t>
      </w:r>
    </w:p>
    <w:p>
      <w:pPr>
        <w:spacing w:after="0" w:line="276" w:lineRule="auto"/>
        <w:ind w:firstLine="425"/>
        <w:jc w:val="both"/>
      </w:pPr>
      <w:r>
        <w:rPr>
          <w:b/>
        </w:rPr>
        <w:t xml:space="preserve">Dominio secondo, la politica.</w:t>
      </w:r>
      <w:r>
        <w:rPr/>
        <w:t xml:space="preserve"> Sono iscritti: Pietro Ingrao, </w:t>
      </w:r>
      <w:r>
        <w:rPr>
          <w:b/>
        </w:rPr>
        <w:t xml:space="preserve">Livello B</w:t>
      </w:r>
      <w:r>
        <w:rPr/>
        <w:t xml:space="preserve">, quale bersaglio del progetto di attentato contenuto nel borsello dell’aprile millenovecentosettantanove, su ordinanza istruttoria riportata in fonte parlamentare — iscrizione che muta la natura del nodo: non contesto, ma obiettivo designato in un documento della medesima officina del depistaggio; Paolo Emilio Taviani, </w:t>
      </w:r>
      <w:r>
        <w:rPr>
          <w:b/>
        </w:rPr>
        <w:t xml:space="preserve">Livello B</w:t>
      </w:r>
      <w:r>
        <w:rPr/>
        <w:t xml:space="preserve">, per le ricorrenze negli anelli degli apparati e delle audizioni; Flaminio Piccoli e Arnaldo Forlani, </w:t>
      </w:r>
      <w:r>
        <w:rPr>
          <w:b/>
        </w:rPr>
        <w:t xml:space="preserve">Livello B</w:t>
      </w:r>
      <w:r>
        <w:rPr/>
        <w:t xml:space="preserve"> le funzioni; Enrico Berlinguer, </w:t>
      </w:r>
      <w:r>
        <w:rPr>
          <w:b/>
        </w:rPr>
        <w:t xml:space="preserve">Livello A</w:t>
      </w:r>
      <w:r>
        <w:rPr/>
        <w:t xml:space="preserve"> la funzione e il disegno politico cui il sequestro si abbatté; Giovanni Galloni, </w:t>
      </w:r>
      <w:r>
        <w:rPr>
          <w:b/>
        </w:rPr>
        <w:t xml:space="preserve">Livello B</w:t>
      </w:r>
      <w:r>
        <w:rPr/>
        <w:t xml:space="preserve"> la collocazione correntizia, attestata — circostanza di rilievo autonomo — in un documento d’analisi dell’intelligence statunitense sulle correnti democristiane presente nel corpus, la cui esistenza è </w:t>
      </w:r>
      <w:r>
        <w:rPr>
          <w:b/>
        </w:rPr>
        <w:t xml:space="preserve">Livello A</w:t>
      </w:r>
      <w:r>
        <w:rPr/>
        <w:t xml:space="preserve">; Claudio Vitalone, </w:t>
      </w:r>
      <w:r>
        <w:rPr>
          <w:b/>
        </w:rPr>
        <w:t xml:space="preserve">Livello B</w:t>
      </w:r>
      <w:r>
        <w:rPr/>
        <w:t xml:space="preserve">, quale magistrato poi parlamentare ricorrente nelle finestre della prima ora e nel canale dell’invito; i luoghi Piazza del Gesù e Palazzo Chigi quali toponimi di funzione, </w:t>
      </w:r>
      <w:r>
        <w:rPr>
          <w:b/>
        </w:rPr>
        <w:t xml:space="preserve">Livello A</w:t>
      </w:r>
      <w:r>
        <w:rPr/>
        <w:t xml:space="preserve">.</w:t>
      </w:r>
    </w:p>
    <w:p>
      <w:pPr>
        <w:spacing w:after="0" w:line="276" w:lineRule="auto"/>
        <w:ind w:firstLine="425"/>
        <w:jc w:val="both"/>
      </w:pPr>
      <w:r>
        <w:rPr>
          <w:b/>
        </w:rPr>
        <w:t xml:space="preserve">Dominio terzo, gli apparati informativi.</w:t>
      </w:r>
      <w:r>
        <w:rPr/>
        <w:t xml:space="preserve"> Sono iscritti: Federico Umberto D’Amato, </w:t>
      </w:r>
      <w:r>
        <w:rPr>
          <w:b/>
        </w:rPr>
        <w:t xml:space="preserve">Livello B</w:t>
      </w:r>
      <w:r>
        <w:rPr/>
        <w:t xml:space="preserve">, quale direttore dell’ufficio riservato ricorrente negli anelli; Francesco Pazienza, </w:t>
      </w:r>
      <w:r>
        <w:rPr>
          <w:b/>
        </w:rPr>
        <w:t xml:space="preserve">Livello B</w:t>
      </w:r>
      <w:r>
        <w:rPr/>
        <w:t xml:space="preserve">, per il rapporto con il direttore di un servizio attestato dalla relazione parlamentare sulla loggia; la voce Stay Behind e il Reparto Antieversione quali strutture nominate, </w:t>
      </w:r>
      <w:r>
        <w:rPr>
          <w:b/>
        </w:rPr>
        <w:t xml:space="preserve">Livello B</w:t>
      </w:r>
      <w:r>
        <w:rPr/>
        <w:t xml:space="preserve"> le esistenze; con l’avvertenza, permanente, che questo Dominio resta quello a più alta densità di </w:t>
      </w:r>
      <w:r>
        <w:rPr>
          <w:b/>
        </w:rPr>
        <w:t xml:space="preserve">Livello C</w:t>
      </w:r>
      <w:r>
        <w:rPr/>
        <w:t xml:space="preserve"> dell’intero Registro.</w:t>
      </w:r>
    </w:p>
    <w:p>
      <w:pPr>
        <w:spacing w:after="0" w:line="276" w:lineRule="auto"/>
        <w:ind w:firstLine="425"/>
        <w:jc w:val="both"/>
      </w:pPr>
      <w:r>
        <w:rPr>
          <w:b/>
        </w:rPr>
        <w:t xml:space="preserve">Dominio nono e Dominio decimo, le armi e la giurisdizione.</w:t>
      </w:r>
      <w:r>
        <w:rPr/>
        <w:t xml:space="preserve"> Sono iscritti: il colonnello Antonio Varisco, </w:t>
      </w:r>
      <w:r>
        <w:rPr>
          <w:b/>
        </w:rPr>
        <w:t xml:space="preserve">Livello A</w:t>
      </w:r>
      <w:r>
        <w:rPr/>
        <w:t xml:space="preserve"> quanto alla funzione presso il tribunale e all’uccisione del luglio millenovecentosettantanove, iscritto quale nodo singolo e non quale voce di serie, essendo la serie già respinta; il generale Umberto Cappuzzo e il prefetto Giovanni Rinaldo Coronas, </w:t>
      </w:r>
      <w:r>
        <w:rPr>
          <w:b/>
        </w:rPr>
        <w:t xml:space="preserve">Livello A</w:t>
      </w:r>
      <w:r>
        <w:rPr/>
        <w:t xml:space="preserve"> le funzioni alle date che le fonti attestano, con l’avvertenza della trappola dei due organigrammi già scolpita; il colonnello Cornacchia, iscritto con riserva d’istruttoria, non essendo la finestra stata letta. Per la giurisdizione: Francesco Monastero, </w:t>
      </w:r>
      <w:r>
        <w:rPr>
          <w:b/>
        </w:rPr>
        <w:t xml:space="preserve">Livello A</w:t>
      </w:r>
      <w:r>
        <w:rPr/>
        <w:t xml:space="preserve">, quale giudice istruttore autore dell’ordinanza che fonda la catena del falsario; Ernesto Cudillo, già iscritto; i magistrati della prima ora — De Matteo, Sica, Infelisi — e quelli della lunga istruttoria — Imposimato, Priore, Caselli, Turone, Baglione — </w:t>
      </w:r>
      <w:r>
        <w:rPr>
          <w:b/>
        </w:rPr>
        <w:t xml:space="preserve">Livello A</w:t>
      </w:r>
      <w:r>
        <w:rPr/>
        <w:t xml:space="preserve"> le funzioni, iscritti quali nodi di giurisdizione; la Corte di Cassazione quale sede, </w:t>
      </w:r>
      <w:r>
        <w:rPr>
          <w:b/>
        </w:rPr>
        <w:t xml:space="preserve">Livello A</w:t>
      </w:r>
      <w:r>
        <w:rPr/>
        <w:t xml:space="preserve">.</w:t>
      </w:r>
    </w:p>
    <w:p>
      <w:pPr>
        <w:spacing w:after="0" w:line="276" w:lineRule="auto"/>
        <w:ind w:firstLine="425"/>
        <w:jc w:val="both"/>
      </w:pPr>
      <w:r>
        <w:rPr>
          <w:b/>
        </w:rPr>
        <w:t xml:space="preserve">Dominio quinto e Dominio sesto, la mediazione e il denaro.</w:t>
      </w:r>
      <w:r>
        <w:rPr/>
        <w:t xml:space="preserve"> Sono iscritti: il padre Morlion, </w:t>
      </w:r>
      <w:r>
        <w:rPr>
          <w:b/>
        </w:rPr>
        <w:t xml:space="preserve">Livello C</w:t>
      </w:r>
      <w:r>
        <w:rPr/>
        <w:t xml:space="preserve">, la cui carta intestata le fonti collocano fra i materiali dell’appartamento di viale Giulio Cesare, con riserva di risalita alla fonte primaria; l’Istituto per le Opere di Religione e la Banca Unione quali enti emersi nell’anello del canale ecclesiastico, </w:t>
      </w:r>
      <w:r>
        <w:rPr>
          <w:b/>
        </w:rPr>
        <w:t xml:space="preserve">Livello B</w:t>
      </w:r>
      <w:r>
        <w:rPr/>
        <w:t xml:space="preserve"> le esistenze e le vicende, </w:t>
      </w:r>
      <w:r>
        <w:rPr>
          <w:b/>
        </w:rPr>
        <w:t xml:space="preserve">Livello C</w:t>
      </w:r>
      <w:r>
        <w:rPr/>
        <w:t xml:space="preserve"> ogni legame con il caso, ferma la segnalazione di salto familiare formulata nella Parte Tredicesima e assegnata alla Camera; il Banco Ambrosiano e Roberto Calvi, </w:t>
      </w:r>
      <w:r>
        <w:rPr>
          <w:b/>
        </w:rPr>
        <w:t xml:space="preserve">Livello A</w:t>
      </w:r>
      <w:r>
        <w:rPr/>
        <w:t xml:space="preserve"> le vicende proprie, iscritti quali derive dichiarate; la società di vigilanza e trasporto valori ricorrente negli anelli del falsario e del collaboratore politico, </w:t>
      </w:r>
      <w:r>
        <w:rPr>
          <w:b/>
        </w:rPr>
        <w:t xml:space="preserve">Livello C</w:t>
      </w:r>
      <w:r>
        <w:rPr/>
        <w:t xml:space="preserve">, con istruttoria già assegnata.</w:t>
      </w:r>
    </w:p>
    <w:p>
      <w:pPr>
        <w:spacing w:after="0" w:line="276" w:lineRule="auto"/>
        <w:ind w:firstLine="425"/>
        <w:jc w:val="both"/>
      </w:pPr>
      <w:r>
        <w:rPr>
          <w:b/>
        </w:rPr>
        <w:t xml:space="preserve">Dominio ottavo, l’informazione.</w:t>
      </w:r>
      <w:r>
        <w:rPr/>
        <w:t xml:space="preserve"> Sono iscritti: Corrado Guerzoni, </w:t>
      </w:r>
      <w:r>
        <w:rPr>
          <w:b/>
        </w:rPr>
        <w:t xml:space="preserve">Livello B</w:t>
      </w:r>
      <w:r>
        <w:rPr/>
        <w:t xml:space="preserve">, portavoce della vittima e fonte di dichiarazioni ricorrenti; Luca Villoresi, </w:t>
      </w:r>
      <w:r>
        <w:rPr>
          <w:b/>
        </w:rPr>
        <w:t xml:space="preserve">Livello C</w:t>
      </w:r>
      <w:r>
        <w:rPr/>
        <w:t xml:space="preserve">, giornalista ricorrente nell’anello della prigione; il settimanale straniero e il quotidiano ticinese emersi negli anelli delle origini e dei depistaggi, </w:t>
      </w:r>
      <w:r>
        <w:rPr>
          <w:b/>
        </w:rPr>
        <w:t xml:space="preserve">Livello B</w:t>
      </w:r>
      <w:r>
        <w:rPr/>
        <w:t xml:space="preserve"> le esistenze, quali canali di pubblicazione di materiali d’apparato — funzione che li iscrive alla frontiera fra l’ottavo e il terzo Dominio.</w:t>
      </w:r>
    </w:p>
    <w:p>
      <w:pPr>
        <w:spacing w:after="0" w:line="276" w:lineRule="auto"/>
        <w:ind w:firstLine="425"/>
        <w:jc w:val="both"/>
      </w:pPr>
      <w:r>
        <w:rPr>
          <w:b/>
        </w:rPr>
        <w:t xml:space="preserve">Eventi e vicende di confine.</w:t>
      </w:r>
      <w:r>
        <w:rPr/>
        <w:t xml:space="preserve"> Sono iscritti: la strage dell’Italicus dell’agosto millenovecentosettantaquattro, con la circostanza — riferita dalle fonti al </w:t>
      </w:r>
      <w:r>
        <w:rPr>
          <w:b/>
        </w:rPr>
        <w:t xml:space="preserve">Livello C</w:t>
      </w:r>
      <w:r>
        <w:rPr/>
        <w:t xml:space="preserve">, in quanto poggiante sulla monografia e su testimonianze di cerchia — che la vittima del sequestro si trovasse a bordo del treno e ne fosse scesa poco prima della partenza per ragioni d’ufficio: circostanza che, ove elevata da atto, retrodaterebbe di quattro anni l’esposizione del bersaglio, e che è perciò assegnata a istruttoria nominata; il sequestro dell’assessore campano del millenovecentottantuno, </w:t>
      </w:r>
      <w:r>
        <w:rPr>
          <w:b/>
        </w:rPr>
        <w:t xml:space="preserve">Livello B</w:t>
      </w:r>
      <w:r>
        <w:rPr/>
        <w:t xml:space="preserve"> su fonte che riporta la commissione parlamentare antimafia, iscritto quale </w:t>
      </w:r>
      <w:r>
        <w:rPr>
          <w:b/>
        </w:rPr>
        <w:t xml:space="preserve">termine di confronto strutturale</w:t>
      </w:r>
      <w:r>
        <w:rPr/>
        <w:t xml:space="preserve">: la trattativa che nel settantotto fu negata risulta, tre anni dopo, condotta — e l’asimmetria delle due gestioni è un dato che ogni ipotesi sulla fermezza deve spiegare, nell’uno e nell’altro senso; il commissario Luigi Calabresi e la vicenda di piazza Fontana quali contesto d’origine, </w:t>
      </w:r>
      <w:r>
        <w:rPr>
          <w:b/>
        </w:rPr>
        <w:t xml:space="preserve">Livello A</w:t>
      </w:r>
      <w:r>
        <w:rPr/>
        <w:t xml:space="preserve"> i fatti propri; la sigla eversiva meridionale e l’appunto sull’incontro con l’organizzazione straniera del millenovecentottanta, </w:t>
      </w:r>
      <w:r>
        <w:rPr>
          <w:b/>
        </w:rPr>
        <w:t xml:space="preserve">Livello B</w:t>
      </w:r>
      <w:r>
        <w:rPr/>
        <w:t xml:space="preserve"> l’appunto, quale confine della stagione successiva; la voce Falange, iscritta con riserva d’istruttoria integrale, non essendo stata letta.</w:t>
      </w:r>
    </w:p>
    <w:p>
      <w:pPr>
        <w:spacing w:after="0" w:line="276" w:lineRule="auto"/>
        <w:ind w:firstLine="425"/>
        <w:jc w:val="both"/>
      </w:pPr>
      <w:r>
        <w:rPr>
          <w:b/>
        </w:rPr>
        <w:t xml:space="preserve">Espunzioni e artefatti della Parte Quattordicesima.</w:t>
      </w:r>
      <w:r>
        <w:rPr/>
        <w:t xml:space="preserve"> Sono espunti, con la solennità che il metodo prescrive: la voce Igor Caetani, artefatto di estrazione generato dall’adiacenza tipografica fra il nome del musicista e il cognome della consorte, che non designa persona alcuna nel corpus; gli omonimi Varone di procedimento campano, già espunti, restando aperta l’istruttoria sul Francesco Varone dell’anello calabrese; le voci grammaticali e i frammenti — fra cui un participio scambiato per cognome nell’anello della riunione bolognese — espunti d’ufficio; resta iscritta, quale avvertenza permanente, l’omonimia interna della banda già scolpita. Con queste espunzioni, il censimento dei due Anelli è chiuso: </w:t>
      </w:r>
      <w:r>
        <w:rPr>
          <w:b/>
        </w:rPr>
        <w:t xml:space="preserve">ogni voce sopra soglia è iscritta, espunta o assegnata</w:t>
      </w:r>
      <w:r>
        <w:rPr/>
        <w:t xml:space="preserve">, e la completezza è certificata.</w:t>
      </w:r>
    </w:p>
    <w:p>
      <w:pPr>
        <w:pageBreakBefore/>
        <w:spacing w:before="240" w:after="120" w:line="276" w:lineRule="auto"/>
        <w:jc w:val="left"/>
      </w:pPr>
      <w:r>
        <w:rPr>
          <w:b/>
          <w:sz w:val="28"/>
          <w:szCs w:val="28"/>
        </w:rPr>
        <w:t xml:space="preserve">PARTE QUINDICESIMA — GLI ASSONI PERIFERICI: DOVE PUNTA LA RETE VERSO L’ESTERNO</w:t>
      </w:r>
    </w:p>
    <w:p>
      <w:pPr>
        <w:spacing w:after="0" w:line="276" w:lineRule="auto"/>
        <w:ind w:firstLine="425"/>
        <w:jc w:val="both"/>
      </w:pPr>
      <w:r>
        <w:rPr/>
        <w:t xml:space="preserve">Il Registro chiama assoni le terminazioni periferiche del Secondo Anello: le direttrici lungo le quali la rete del caso, giunta al proprio margine, punta verso l’esterno — verso altri Paesi, altri casi, altri decenni. La registrazione degli assoni ha, nel nuovo statuto, funzione investigativa precisa: ciascun assone è una </w:t>
      </w:r>
      <w:r>
        <w:rPr>
          <w:b/>
        </w:rPr>
        <w:t xml:space="preserve">direzione di istruttoria</w:t>
      </w:r>
      <w:r>
        <w:rPr/>
        <w:t xml:space="preserve">, non una connessione; indica dove la Camera dovrà guardare, non che cosa troverà. Ogni assone è descritto con il nodo di uscita, la direzione e il livello del supporto.</w:t>
      </w:r>
    </w:p>
    <w:p>
      <w:pPr>
        <w:spacing w:after="0" w:line="276" w:lineRule="auto"/>
        <w:ind w:firstLine="425"/>
        <w:jc w:val="both"/>
      </w:pPr>
      <w:r>
        <w:rPr>
          <w:b/>
        </w:rPr>
        <w:t xml:space="preserve">Assone germanico.</w:t>
      </w:r>
      <w:r>
        <w:rPr/>
        <w:t xml:space="preserve"> Nodo di uscita: Mario Moretti; direzione: la Rote Armee Fraktion e il sequestro dell’industriale tedesco dell’autunno settantasette; supporto: le dichiarazioni del collaboratore sui viaggi del terrorista tedesco poi ucciso con addosso i documenti dei contatti — </w:t>
      </w:r>
      <w:r>
        <w:rPr>
          <w:b/>
        </w:rPr>
        <w:t xml:space="preserve">Livello B</w:t>
      </w:r>
      <w:r>
        <w:rPr/>
        <w:t xml:space="preserve">. È l’assone meglio documentato, e la sua istruttoria naturale è la comparazione strutturale fra i due sequestri, da condursi come isomorfismo e non come analogia.</w:t>
      </w:r>
    </w:p>
    <w:p>
      <w:pPr>
        <w:spacing w:after="0" w:line="276" w:lineRule="auto"/>
        <w:ind w:firstLine="425"/>
        <w:jc w:val="both"/>
      </w:pPr>
      <w:r>
        <w:rPr>
          <w:b/>
        </w:rPr>
        <w:t xml:space="preserve">Assone francese.</w:t>
      </w:r>
      <w:r>
        <w:rPr/>
        <w:t xml:space="preserve"> Nodi di uscita: i fondatori dell’istituto parigino e, per altra via, la latitanza parigina di militanti; direzione: la capitale francese quale retrovia dichiarata dalle fonti; supporto: </w:t>
      </w:r>
      <w:r>
        <w:rPr>
          <w:b/>
        </w:rPr>
        <w:t xml:space="preserve">Livello B</w:t>
      </w:r>
      <w:r>
        <w:rPr/>
        <w:t xml:space="preserve"> le esistenze e le istruttorie, </w:t>
      </w:r>
      <w:r>
        <w:rPr>
          <w:b/>
        </w:rPr>
        <w:t xml:space="preserve">Livello C</w:t>
      </w:r>
      <w:r>
        <w:rPr/>
        <w:t xml:space="preserve"> ogni funzione direttiva. Vi afferisce, per il suo margine, anche il documento informativo francese della conoscenza anticipata, già iscritto quale terza lacuna.</w:t>
      </w:r>
    </w:p>
    <w:p>
      <w:pPr>
        <w:spacing w:after="0" w:line="276" w:lineRule="auto"/>
        <w:ind w:firstLine="425"/>
        <w:jc w:val="both"/>
      </w:pPr>
      <w:r>
        <w:rPr>
          <w:b/>
        </w:rPr>
        <w:t xml:space="preserve">Assone orientale.</w:t>
      </w:r>
      <w:r>
        <w:rPr/>
        <w:t xml:space="preserve"> Nodi di uscita: il borsista segnalato dall’assistente della vittima, il padre della locataria di viale Giulio Cesare, e — sul piano materiale — l’arma dell’omicidio, di fabbricazione cecoslovacca; direzione: gli apparati d’oltrecortina; supporto: </w:t>
      </w:r>
      <w:r>
        <w:rPr>
          <w:b/>
        </w:rPr>
        <w:t xml:space="preserve">Livello B</w:t>
      </w:r>
      <w:r>
        <w:rPr/>
        <w:t xml:space="preserve"> le circostanze riferite da fonte parlamentare, </w:t>
      </w:r>
      <w:r>
        <w:rPr>
          <w:b/>
        </w:rPr>
        <w:t xml:space="preserve">Livello A</w:t>
      </w:r>
      <w:r>
        <w:rPr/>
        <w:t xml:space="preserve"> il dato tecnico dell’arma, </w:t>
      </w:r>
      <w:r>
        <w:rPr>
          <w:b/>
        </w:rPr>
        <w:t xml:space="preserve">Livello C</w:t>
      </w:r>
      <w:r>
        <w:rPr/>
        <w:t xml:space="preserve"> ogni inferenza di direzione. L’assone tocca inoltre, per il tramite delle origini dell’editore milanese, la Cecoslovacchia degli anni precedenti, quale contesto e non quale caso.</w:t>
      </w:r>
    </w:p>
    <w:p>
      <w:pPr>
        <w:spacing w:after="0" w:line="276" w:lineRule="auto"/>
        <w:ind w:firstLine="425"/>
        <w:jc w:val="both"/>
      </w:pPr>
      <w:r>
        <w:rPr>
          <w:b/>
        </w:rPr>
        <w:t xml:space="preserve">Assone atlantico.</w:t>
      </w:r>
      <w:r>
        <w:rPr/>
        <w:t xml:space="preserve"> Nodi di uscita: il consulente statunitense della struttura di crisi, la carta intestata del religioso statunitense fra i materiali dell’appartamento, il documento d’analisi sulle correnti democristiane; direzione: gli apparati e gli ambienti nordamericani; supporto: </w:t>
      </w:r>
      <w:r>
        <w:rPr>
          <w:b/>
        </w:rPr>
        <w:t xml:space="preserve">Livello B</w:t>
      </w:r>
      <w:r>
        <w:rPr/>
        <w:t xml:space="preserve"> la presenza e il ruolo consultivo, </w:t>
      </w:r>
      <w:r>
        <w:rPr>
          <w:b/>
        </w:rPr>
        <w:t xml:space="preserve">Livello A</w:t>
      </w:r>
      <w:r>
        <w:rPr/>
        <w:t xml:space="preserve"> l’esistenza del documento d’analisi, </w:t>
      </w:r>
      <w:r>
        <w:rPr>
          <w:b/>
        </w:rPr>
        <w:t xml:space="preserve">Livello C</w:t>
      </w:r>
      <w:r>
        <w:rPr/>
        <w:t xml:space="preserve"> le autodichiarazioni tarde e ogni carta non risalita. È l’assone dove più netta è la forbice fra la solidità dei fatti minori e la fragilità delle affermazioni maggiori, e il vaglio investigativo deve tenerla aperta.</w:t>
      </w:r>
    </w:p>
    <w:p>
      <w:pPr>
        <w:spacing w:after="0" w:line="276" w:lineRule="auto"/>
        <w:ind w:firstLine="425"/>
        <w:jc w:val="both"/>
      </w:pPr>
      <w:r>
        <w:rPr>
          <w:b/>
        </w:rPr>
        <w:t xml:space="preserve">Assone vaticano-finanziario.</w:t>
      </w:r>
      <w:r>
        <w:rPr/>
        <w:t xml:space="preserve"> Nodi di uscita: il canale ecclesiastico di ritorno e l’anello che lo circonda; direzione: l’istituto finanziario della Santa Sede e il sistema bancario che vi si intrecciò; supporto: </w:t>
      </w:r>
      <w:r>
        <w:rPr>
          <w:b/>
        </w:rPr>
        <w:t xml:space="preserve">Livello B</w:t>
      </w:r>
      <w:r>
        <w:rPr/>
        <w:t xml:space="preserve"> il canale, </w:t>
      </w:r>
      <w:r>
        <w:rPr>
          <w:b/>
        </w:rPr>
        <w:t xml:space="preserve">Livello C</w:t>
      </w:r>
      <w:r>
        <w:rPr/>
        <w:t xml:space="preserve"> il salto familiare ipotizzato nella Parte Tredicesima, che di questo assone è l’istruttoria nominata. Le vicende bancarie degli anni successivi restano derive dichiarate.</w:t>
      </w:r>
    </w:p>
    <w:p>
      <w:pPr>
        <w:spacing w:after="0" w:line="276" w:lineRule="auto"/>
        <w:ind w:firstLine="425"/>
        <w:jc w:val="both"/>
      </w:pPr>
      <w:r>
        <w:rPr>
          <w:b/>
        </w:rPr>
        <w:t xml:space="preserve">Assone calabrese.</w:t>
      </w:r>
      <w:r>
        <w:rPr/>
        <w:t xml:space="preserve"> Nodi di uscita: il boss accusato da un collaboratore, il collaboratore medesimo, il detenuto già della legione straniera; direzione: la ’ndrangheta del versante ionico e le sue proiezioni; supporto: </w:t>
      </w:r>
      <w:r>
        <w:rPr>
          <w:b/>
        </w:rPr>
        <w:t xml:space="preserve">Livello C</w:t>
      </w:r>
      <w:r>
        <w:rPr/>
        <w:t xml:space="preserve"> le presenze in via Fani, </w:t>
      </w:r>
      <w:r>
        <w:rPr>
          <w:b/>
        </w:rPr>
        <w:t xml:space="preserve">Livello B</w:t>
      </w:r>
      <w:r>
        <w:rPr/>
        <w:t xml:space="preserve"> la catena parlamentare della telefonata e della fotografia mancante. Vi appartiene, sul piano rituale, la tradizione dei matrimoni di componimento delle faide, che è materia propria del Salto della Quaglia e la cui istruttoria richiede il salto di fonte verso i registri.</w:t>
      </w:r>
    </w:p>
    <w:p>
      <w:pPr>
        <w:spacing w:after="0" w:line="276" w:lineRule="auto"/>
        <w:ind w:firstLine="425"/>
        <w:jc w:val="both"/>
      </w:pPr>
      <w:r>
        <w:rPr>
          <w:b/>
        </w:rPr>
        <w:t xml:space="preserve">Assone siciliano.</w:t>
      </w:r>
      <w:r>
        <w:rPr/>
        <w:t xml:space="preserve"> Nodo di uscita: la dichiarazione sull’invito a incontrare uno dei capi; direzione: Cosa Nostra e i suoi tramiti d’affari; supporto: </w:t>
      </w:r>
      <w:r>
        <w:rPr>
          <w:b/>
        </w:rPr>
        <w:t xml:space="preserve">Livello B</w:t>
      </w:r>
      <w:r>
        <w:rPr/>
        <w:t xml:space="preserve"> la dichiarazione, </w:t>
      </w:r>
      <w:r>
        <w:rPr>
          <w:b/>
        </w:rPr>
        <w:t xml:space="preserve">Livello C</w:t>
      </w:r>
      <w:r>
        <w:rPr/>
        <w:t xml:space="preserve"> l’effettività. L’indicazione del luogo possibile — un ufficio della giurisdizione — fa di questo assone il più delicato sul piano istituzionale, e la sua istruttoria esige il massimo rigore della terza regola: canale di possibilità, non uso provato.</w:t>
      </w:r>
    </w:p>
    <w:p>
      <w:pPr>
        <w:spacing w:after="0" w:line="276" w:lineRule="auto"/>
        <w:ind w:firstLine="425"/>
        <w:jc w:val="both"/>
      </w:pPr>
      <w:r>
        <w:rPr>
          <w:b/>
        </w:rPr>
        <w:t xml:space="preserve">Assone campano.</w:t>
      </w:r>
      <w:r>
        <w:rPr/>
        <w:t xml:space="preserve"> Nodi di uscita: il capo della nuova organizzazione carceraria e il suo rapporto con l’esponente della banda romana; direzione: il sequestro dell’assessore del millenovecentottantuno e la trattativa che vi fu condotta; supporto: </w:t>
      </w:r>
      <w:r>
        <w:rPr>
          <w:b/>
        </w:rPr>
        <w:t xml:space="preserve">Livello B</w:t>
      </w:r>
      <w:r>
        <w:rPr/>
        <w:t xml:space="preserve">. È l’assone del confronto strutturale, e la sua istruttoria è già formulata: spiegare l’asimmetria fra le due gestioni.</w:t>
      </w:r>
    </w:p>
    <w:p>
      <w:pPr>
        <w:spacing w:after="0" w:line="276" w:lineRule="auto"/>
        <w:ind w:firstLine="425"/>
        <w:jc w:val="both"/>
      </w:pPr>
      <w:r>
        <w:rPr>
          <w:b/>
        </w:rPr>
        <w:t xml:space="preserve">Assone nero.</w:t>
      </w:r>
      <w:r>
        <w:rPr/>
        <w:t xml:space="preserve"> Nodi di uscita: la giunzione fra la banda e l’area armata di destra, la simmetria peritale, l’appunto sull’incontro del millenovecentottanta; direzione: le stragi della stagione — da piazza Fontana a Brescia alla stazione — e i loro depistaggi; supporto: </w:t>
      </w:r>
      <w:r>
        <w:rPr>
          <w:b/>
        </w:rPr>
        <w:t xml:space="preserve">Livello B</w:t>
      </w:r>
      <w:r>
        <w:rPr/>
        <w:t xml:space="preserve"> le giunzioni attestate, </w:t>
      </w:r>
      <w:r>
        <w:rPr>
          <w:b/>
        </w:rPr>
        <w:t xml:space="preserve">Livello C</w:t>
      </w:r>
      <w:r>
        <w:rPr/>
        <w:t xml:space="preserve"> ogni estensione. È l’assone che più direttamente si giunge con la materia dell’opera maggiore, e proprio qui il Registro ribadisce che la giunzione documentale non è conferma reciproca.</w:t>
      </w:r>
    </w:p>
    <w:p>
      <w:pPr>
        <w:spacing w:after="0" w:line="276" w:lineRule="auto"/>
        <w:ind w:firstLine="425"/>
        <w:jc w:val="both"/>
      </w:pPr>
      <w:r>
        <w:rPr>
          <w:b/>
        </w:rPr>
        <w:t xml:space="preserve">Assone mediorientale.</w:t>
      </w:r>
      <w:r>
        <w:rPr/>
        <w:t xml:space="preserve"> Nodi di uscita: l’accordo di non belligeranza noto con il nome della vittima, i nomi dei dirigenti dell’organizzazione palestinese ricorrenti negli anelli; direzione: il Mediterraneo orientale e i traffici che l’accordo governava; supporto: </w:t>
      </w:r>
      <w:r>
        <w:rPr>
          <w:b/>
        </w:rPr>
        <w:t xml:space="preserve">Livello C</w:t>
      </w:r>
      <w:r>
        <w:rPr/>
        <w:t xml:space="preserve"> allo stato del corpus, con la conversione del blocco stenografico quale condizione dichiarata dell’istruttoria.</w:t>
      </w:r>
    </w:p>
    <w:p>
      <w:pPr>
        <w:spacing w:after="0" w:line="276" w:lineRule="auto"/>
        <w:ind w:firstLine="425"/>
        <w:jc w:val="both"/>
      </w:pPr>
      <w:r>
        <w:rPr>
          <w:b/>
        </w:rPr>
        <w:t xml:space="preserve">Assone elvetico e assone della cittadina vaticana.</w:t>
      </w:r>
      <w:r>
        <w:rPr/>
        <w:t xml:space="preserve"> Il primo raccoglie le ricorrenze svizzere — i soggiorni della marchesa, i transiti dei militanti, il quotidiano ticinese dei materiali d’apparato — </w:t>
      </w:r>
      <w:r>
        <w:rPr>
          <w:b/>
        </w:rPr>
        <w:t xml:space="preserve">Livello C</w:t>
      </w:r>
      <w:r>
        <w:rPr/>
        <w:t xml:space="preserve"> quale direzione cumulativa da istruire sul piano patrimoniale, che è il suo piano naturale. Il secondo è il confine già dichiarato: la vicenda della cittadina scomparsa e della sua coetanea, toccata dagli anelli per il tramite dell’esponente della banda e dell’inventario presidenziale, resta fuori dal caso e dentro la mappa — il Registro ne fissa la giunzione e vi si arresta.</w:t>
      </w:r>
    </w:p>
    <w:p>
      <w:pPr>
        <w:spacing w:after="0" w:line="276" w:lineRule="auto"/>
        <w:ind w:firstLine="425"/>
        <w:jc w:val="both"/>
      </w:pPr>
      <w:r>
        <w:rPr>
          <w:b/>
        </w:rPr>
        <w:t xml:space="preserve">Chiusura della Parte.</w:t>
      </w:r>
      <w:r>
        <w:rPr/>
        <w:t xml:space="preserve"> Dodici assoni, dodici direzioni d’istruttoria: la rete del caso, censita fino al secondo grado, mostra di che cosa il caso è frontiera. Nessun assone è una prova; ciascuno è un mandato. E la loro carta complessiva consegna al vaglio investigativo la sua prima risultanza d’insieme: il sequestro non giace al centro di un cerchio vuoto, ma al punto di incrocio di direttrici che lo precedono e gli sopravvivono — il che non dimostra alcuna regia, e dimostra però che ogni ipotesi formulata come se il caso fosse un’isola parte da una geografia falsa.</w:t>
      </w:r>
    </w:p>
    <w:p>
      <w:pPr>
        <w:pageBreakBefore/>
        <w:spacing w:before="240" w:after="120" w:line="276" w:lineRule="auto"/>
        <w:jc w:val="left"/>
      </w:pPr>
      <w:r>
        <w:rPr>
          <w:b/>
          <w:sz w:val="28"/>
          <w:szCs w:val="28"/>
        </w:rPr>
        <w:t xml:space="preserve">PARTE SEDICESIMA — IL VAGLIO INVESTIGATIVO: PRIME RISULTANZE E ISTRUTTORIE</w:t>
      </w:r>
    </w:p>
    <w:p>
      <w:pPr>
        <w:spacing w:after="0" w:line="276" w:lineRule="auto"/>
        <w:ind w:firstLine="425"/>
        <w:jc w:val="both"/>
      </w:pPr>
      <w:r>
        <w:rPr/>
        <w:t xml:space="preserve">In applicazione del nuovo statuto, il Registro formula le prime risultanze del vaglio, nella forma che la codifica impone: canali di possibilità documentati, ipotesi con condizioni di falsificazione, istruttorie nominate — nessuna attribuzione di responsabilità. Primo: è documentato al </w:t>
      </w:r>
      <w:r>
        <w:rPr>
          <w:b/>
        </w:rPr>
        <w:t xml:space="preserve">Livello B</w:t>
      </w:r>
      <w:r>
        <w:rPr/>
        <w:t xml:space="preserve"> un canale informativo fra l’officina del principale depistaggio e un reparto investigativo, per il tramite di un confidente; l’uso, il verso e i beneficiari del canale sono ignoti, e la loro determinazione è l’istruttoria prima. Secondo: è documentata al </w:t>
      </w:r>
      <w:r>
        <w:rPr>
          <w:b/>
        </w:rPr>
        <w:t xml:space="preserve">Livello B</w:t>
      </w:r>
      <w:r>
        <w:rPr/>
        <w:t xml:space="preserve"> una dichiarazione secondo cui un tramite d’affari propose l’incontro fra un parlamentare e un capo mafioso indicando quale sede possibile un ufficio della giurisdizione; l’effettività è indimostrata, e la verifica della dichiarazione — riscontri, date, moventi del dichiarante — è l’istruttoria seconda. Terzo: è formulata al </w:t>
      </w:r>
      <w:r>
        <w:rPr>
          <w:b/>
        </w:rPr>
        <w:t xml:space="preserve">Livello C</w:t>
      </w:r>
      <w:r>
        <w:rPr/>
        <w:t xml:space="preserve"> la simmetria dei due criminologi degli elenchi, l’uno presso la struttura di crisi e l’altro presso il sodalizio criminale; la sua elevazione o la sua caduta dipendono dalla lettura integrale delle rispettive posizioni, che è l’istruttoria terza. Quarto: è formulata al </w:t>
      </w:r>
      <w:r>
        <w:rPr>
          <w:b/>
        </w:rPr>
        <w:t xml:space="preserve">Livello C</w:t>
      </w:r>
      <w:r>
        <w:rPr/>
        <w:t xml:space="preserve"> l’ipotesi del salto familiare nel canale vaticano; la verifica anagrafica è l’istruttoria quarta. Quinto: è iscritta al </w:t>
      </w:r>
      <w:r>
        <w:rPr>
          <w:b/>
        </w:rPr>
        <w:t xml:space="preserve">Livello C</w:t>
      </w:r>
      <w:r>
        <w:rPr/>
        <w:t xml:space="preserve"> la circostanza dell’Italicus, la cui elevazione richiede atto coevo ed è l’istruttoria quinta. Sesto: è iscritto al </w:t>
      </w:r>
      <w:r>
        <w:rPr>
          <w:b/>
        </w:rPr>
        <w:t xml:space="preserve">Livello B</w:t>
      </w:r>
      <w:r>
        <w:rPr/>
        <w:t xml:space="preserve"> il confronto strutturale con la gestione del sequestro campano, la cui spiegazione è l’istruttoria sesta, comune a tutte le ipotesi concorrenti della Parte Ottava. Restano ferme, sovraordinate, la conversione del blocco stenografico e le assegnazioni delle Parti precedenti, che questa Parte non sostituisce ma ordina.</w:t>
      </w:r>
    </w:p>
    <w:p>
      <w:pPr>
        <w:pageBreakBefore/>
        <w:spacing w:before="240" w:after="120" w:line="276" w:lineRule="auto"/>
        <w:jc w:val="left"/>
      </w:pPr>
      <w:r>
        <w:rPr>
          <w:b/>
          <w:sz w:val="28"/>
          <w:szCs w:val="28"/>
        </w:rPr>
        <w:t xml:space="preserve">COLOPHON DELL’EDIZIONE QUARTA</w:t>
      </w:r>
    </w:p>
    <w:p>
      <w:pPr>
        <w:spacing w:after="0" w:line="276" w:lineRule="auto"/>
        <w:ind w:firstLine="425"/>
        <w:jc w:val="both"/>
      </w:pPr>
      <w:r>
        <w:rPr/>
        <w:t xml:space="preserve">REGISTRO ANALITICO DEL CASO MORO, edizione quarta, definitiva quanto al censimento degli Anelli, con la Metodologia del Salto della Quaglia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Le Parti dedicate agli Anelli sono tenute a fini investigativi secondo la codifica scolpita in frontespizio: istruttoria di ipotesi, mai attribuzione di responsabilità; la certificazione riguarda la completezza del censimento e mai i legami. Incorpora verbatim l’edizione terza e, per suo tramite, la seconda e la prima; ogni edizione successiva conterrà verbatim la presente. Resta sovrana la Regola di Ferro: dove la fonte documenta, l’opera certifica; dove la fonte tace, l’opera indaga e non afferma. Autore e direttore dell’opera: Luigi De Michele.</w:t>
      </w:r>
    </w:p>
    <w:sectPr>
      <w:pgSz w:w="11906" w:h="16838"/>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t-IT"/>
      </w:rPr>
    </w:rPrDefault>
    <w:pPrDefault>
      <w:pPr>
        <w:spacing w:after="0" w:line="276"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