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60" w:after="0" w:line="276" w:lineRule="auto"/>
        <w:jc w:val="center"/>
      </w:pPr>
      <w:r>
        <w:rPr>
          <w:b/>
          <w:sz w:val="32"/>
          <w:szCs w:val="32"/>
        </w:rPr>
        <w:t xml:space="preserve">REGISTRO ANALITICO DEL CASO MORO</w:t>
      </w:r>
    </w:p>
    <w:p>
      <w:pPr>
        <w:spacing w:before="60" w:after="0" w:line="276" w:lineRule="auto"/>
        <w:jc w:val="center"/>
      </w:pPr>
      <w:r>
        <w:rPr>
          <w:sz w:val="24"/>
          <w:szCs w:val="24"/>
        </w:rPr>
        <w:t xml:space="preserve">Registro autonomo delle reti informali del sequestro e dell’omicidio di Aldo Moro</w:t>
      </w:r>
    </w:p>
    <w:p>
      <w:pPr>
        <w:spacing w:before="60" w:after="0" w:line="276" w:lineRule="auto"/>
        <w:jc w:val="center"/>
      </w:pPr>
      <w:r>
        <w:rPr>
          <w:b/>
          <w:sz w:val="28"/>
          <w:szCs w:val="28"/>
        </w:rPr>
        <w:t xml:space="preserve">Edizione Quinta — Il Rinnovamento Cartesiano</w:t>
      </w:r>
    </w:p>
    <w:p>
      <w:pPr>
        <w:spacing w:before="60" w:after="0" w:line="276" w:lineRule="auto"/>
        <w:jc w:val="center"/>
      </w:pPr>
      <w:r>
        <w:rPr>
          <w:b/>
          <w:sz w:val="26"/>
          <w:szCs w:val="26"/>
        </w:rPr>
        <w:t xml:space="preserve">Primo dei Tre Documenti Morotei</w:t>
      </w:r>
    </w:p>
    <w:p>
      <w:pPr>
        <w:spacing w:before="60" w:after="0" w:line="276" w:lineRule="auto"/>
        <w:jc w:val="center"/>
      </w:pPr>
      <w:r>
        <w:rPr>
          <w:sz w:val="24"/>
          <w:szCs w:val="24"/>
        </w:rPr>
        <w:t xml:space="preserve">con la Classificazione di Descartes</w:t>
      </w:r>
    </w:p>
    <w:p>
      <w:pPr>
        <w:spacing w:before="60" w:after="0" w:line="276" w:lineRule="auto"/>
        <w:jc w:val="center"/>
      </w:pPr>
      <w:r>
        <w:rPr>
          <w:sz w:val="24"/>
          <w:szCs w:val="24"/>
        </w:rPr>
        <w:t xml:space="preserve">Luigi De Michele</w:t>
      </w:r>
    </w:p>
    <w:p>
      <w:pPr>
        <w:spacing w:before="60" w:after="0" w:line="276" w:lineRule="auto"/>
        <w:jc w:val="center"/>
      </w:pPr>
      <w:r>
        <w:rPr>
          <w:sz w:val="24"/>
          <w:szCs w:val="24"/>
        </w:rPr>
        <w:t xml:space="preserve">Due agosto duemilaventisei</w:t>
      </w:r>
    </w:p>
    <w:p>
      <w:pPr>
        <w:spacing w:after="0" w:line="276" w:lineRule="auto"/>
        <w:ind w:firstLine="425"/>
        <w:jc w:val="both"/>
      </w:pPr>
      <w:r>
        <w:rPr>
          <w:b/>
        </w:rPr>
        <w:t xml:space="preserve">Atto di Rinnovamento.</w:t>
      </w:r>
      <w:r>
        <w:rPr/>
        <w:t xml:space="preserve"> Con la presente edizione, il primo dei Tre Documenti Morotei — il Registro Analitico, cui seguiranno per rinnovamento il Registro Speculare degli Anelli Profondi e il terzo documento della trilogia — muta il proprio ordinamento probatorio. La </w:t>
      </w:r>
      <w:r>
        <w:rPr>
          <w:b/>
        </w:rPr>
        <w:t xml:space="preserve">Classificazione Savona</w:t>
      </w:r>
      <w:r>
        <w:rPr/>
        <w:t xml:space="preserve">, che ha governato le prime quattro edizioni, è deposta dal ruolo normativo: essa cessa di avere potere decisionale sulla ricerca, non gradua più le asserzioni, non ammette né respinge. Non è ripudiata: è ricollocata, con onore, quale prima voce del Decalogo delle Classificazioni Consultive istituito nella Parte Diciottesima. In suo luogo si insedia, quale unico ordinamento operativo, la </w:t>
      </w:r>
      <w:r>
        <w:rPr>
          <w:b/>
        </w:rPr>
        <w:t xml:space="preserve">Classificazione di Descartes</w:t>
      </w:r>
      <w:r>
        <w:rPr/>
        <w:t xml:space="preserve">, metodologia dell’autore, Luigi De Michele, formalizzata nella Parte Diciassettesima: </w:t>
      </w:r>
      <w:r>
        <w:rPr>
          <w:b/>
        </w:rPr>
        <w:t xml:space="preserve">tutto ciò che è un dubbio resta un dubbio, indiviso e non classificabile, fintantoché non è sciolto</w:t>
      </w:r>
      <w:r>
        <w:rPr/>
        <w:t xml:space="preserve">. Il rinnovamento vale per l’avvenire e per la rilettura: le edizioni incorporate restano verbatim con i loro marchi storici, che da oggi si leggono secondo la tavola di conversione; nessuna riga del passato è toccata, e tutto il passato è riletto.</w:t>
      </w:r>
    </w:p>
    <w:p>
      <w:pPr>
        <w:spacing w:after="0" w:line="276" w:lineRule="auto"/>
        <w:ind w:firstLine="425"/>
        <w:jc w:val="both"/>
      </w:pPr>
      <w:r>
        <w:rPr>
          <w:b/>
        </w:rPr>
        <w:t xml:space="preserve">Statuto permanente.</w:t>
      </w:r>
      <w:r>
        <w:rPr/>
        <w:t xml:space="preserve"> Restano fermi e sovrani: l’autonomia e l’autosufficienza del documento, con la dichiarazione del limite materiale dell’indipendenza; lo statuto investigativo e la sua codifica — istruttoria di ipotesi, mai attribuzione di responsabilità, presunzione piena per i viventi, destinazione alle sedi competenti di ciò che eccede la ricerca storica; la cumulatività preservativa; la Regola di Ferro. Cade soltanto, dell’apparato, ciò che il comando ha fatto cadere: il potere delle etichette sul corso dell’indagine. D’ora innanzi nessuna classificazione — né la deposta, né le nove consorelle del Decalogo — potrà chiudere una pista, retrocedere un’ipotesi, o pesare su una decisione istruttoria: le classificazioni informano chi le consulta, e la ricerca decide da sé.</w:t>
      </w:r>
    </w:p>
    <w:p>
      <w:pPr>
        <w:pageBreakBefore/>
        <w:spacing w:before="240" w:after="120" w:line="276" w:lineRule="auto"/>
        <w:jc w:val="left"/>
      </w:pPr>
      <w:r>
        <w:rPr>
          <w:b/>
          <w:sz w:val="28"/>
          <w:szCs w:val="28"/>
        </w:rPr>
        <w:t xml:space="preserve">STRATO ZERO — L’EDIZIONE QUARTA INCORPORATA VERBATIM</w:t>
      </w:r>
    </w:p>
    <w:p>
      <w:pPr>
        <w:spacing w:after="0" w:line="276" w:lineRule="auto"/>
        <w:ind w:firstLine="425"/>
        <w:jc w:val="both"/>
      </w:pPr>
      <w:r>
        <w:rPr/>
        <w:t xml:space="preserve">Segue, riprodotta integralmente e senza alcun intervento per copia diretta del flusso documentale, l’edizione quarta del presente Registro, comprensiva delle edizioni prima, seconda e terza da essa incorporate, delle Parti sugli Anelli, della Metodologia del Salto della Quaglia e di ogni apparato. Nulla di quanto segue è stato modificato, abbreviato o riordinato; i marchi della classificazione deposta vi permangono quali testimonianze storiche dell’ordinamento previgente, e si leggono secondo la tavola di conversione della Parte Diciassettesima.</w:t>
      </w:r>
    </w:p>
    <w:p>
      <w:pPr>
        <w:spacing w:before="60" w:after="0" w:line="276" w:lineRule="auto"/>
        <w:jc w:val="center"/>
      </w:pPr>
      <w:r>
        <w:rPr>
          <w:b/>
          <w:sz w:val="32"/>
          <w:szCs w:val="32"/>
        </w:rPr>
        <w:t xml:space="preserve">REGISTRO ANALITICO DEL CASO MORO</w:t>
      </w:r>
    </w:p>
    <w:p>
      <w:pPr>
        <w:spacing w:before="60" w:after="0" w:line="276" w:lineRule="auto"/>
        <w:jc w:val="center"/>
      </w:pPr>
      <w:r>
        <w:rPr>
          <w:sz w:val="24"/>
          <w:szCs w:val="24"/>
        </w:rPr>
        <w:t xml:space="preserve">Registro autonomo delle reti informali del sequestro e dell’omicidio di Aldo Moro</w:t>
      </w:r>
    </w:p>
    <w:p>
      <w:pPr>
        <w:spacing w:before="60" w:after="0" w:line="276" w:lineRule="auto"/>
        <w:jc w:val="center"/>
      </w:pPr>
      <w:r>
        <w:rPr>
          <w:b/>
          <w:sz w:val="28"/>
          <w:szCs w:val="28"/>
        </w:rPr>
        <w:t xml:space="preserve">Edizione Quarta — Definitiva quanto al censimento degli Anelli</w:t>
      </w:r>
    </w:p>
    <w:p>
      <w:pPr>
        <w:spacing w:before="60" w:after="0" w:line="276" w:lineRule="auto"/>
        <w:jc w:val="center"/>
      </w:pPr>
      <w:r>
        <w:rPr>
          <w:b/>
          <w:sz w:val="26"/>
          <w:szCs w:val="26"/>
        </w:rPr>
        <w:t xml:space="preserve">con la Metodologia del Salto della Quaglia</w:t>
      </w:r>
    </w:p>
    <w:p>
      <w:pPr>
        <w:spacing w:before="60" w:after="0" w:line="276" w:lineRule="auto"/>
        <w:jc w:val="center"/>
      </w:pPr>
      <w:r>
        <w:rPr>
          <w:sz w:val="24"/>
          <w:szCs w:val="24"/>
        </w:rPr>
        <w:t xml:space="preserve">Luigi De Michele</w:t>
      </w:r>
    </w:p>
    <w:p>
      <w:pPr>
        <w:spacing w:before="60" w:after="0" w:line="276" w:lineRule="auto"/>
        <w:jc w:val="center"/>
      </w:pPr>
      <w:r>
        <w:rPr>
          <w:sz w:val="24"/>
          <w:szCs w:val="24"/>
        </w:rPr>
        <w:t xml:space="preserve">Due agosto duemilaventisei</w:t>
      </w:r>
    </w:p>
    <w:p>
      <w:pPr>
        <w:spacing w:after="0" w:line="276" w:lineRule="auto"/>
        <w:ind w:firstLine="425"/>
        <w:jc w:val="both"/>
      </w:pPr>
      <w:r>
        <w:rPr>
          <w:b/>
        </w:rPr>
        <w:t xml:space="preserve">Statuto del documento e mutamento di finalità.</w:t>
      </w:r>
      <w:r>
        <w:rPr/>
        <w:t xml:space="preserve"> Il presente Registro è documento autonomo e autosufficiente, indipendente dal Registro Unico Federato di ITALIA NERA nei tre sensi dichiarati e misurati nelle edizioni precedenti, con il limite materiale espressamente dichiarato. Questa edizione incorpora verbatim la terza, e con essa la seconda e la prima, e compie tre atti: chiude in via definitiva il censimento dei nodi del Primo e del Secondo Anello; registra le terminazioni periferiche della rete, gli assoni che dal secondo anello puntano verso l’esterno; formalizza la </w:t>
      </w:r>
      <w:r>
        <w:rPr>
          <w:b/>
        </w:rPr>
        <w:t xml:space="preserve">Metodologia del Salto della Quaglia</w:t>
      </w:r>
      <w:r>
        <w:rPr/>
        <w:t xml:space="preserve">, metodologia propria dell’autore, Luigi De Michele, quale strumento permanente dell’apparato. Con questa edizione, inoltre, il Registro muta espressamente di finalità: le Parti dedicate agli Anelli, sin qui tenute a fini di cronaca documentale, sono da ora tenute </w:t>
      </w:r>
      <w:r>
        <w:rPr>
          <w:b/>
        </w:rPr>
        <w:t xml:space="preserve">a fini investigativi</w:t>
      </w:r>
      <w:r>
        <w:rPr/>
        <w:t xml:space="preserve">, per il vaglio di possibili responsabilità, collegamenti, connessioni, collusioni e connivenze, anche soltanto indirette.</w:t>
      </w:r>
    </w:p>
    <w:p>
      <w:pPr>
        <w:spacing w:after="0" w:line="276" w:lineRule="auto"/>
        <w:ind w:firstLine="425"/>
        <w:jc w:val="both"/>
      </w:pPr>
      <w:r>
        <w:rPr>
          <w:b/>
        </w:rPr>
        <w:t xml:space="preserve">Codifica del fine investigativo.</w:t>
      </w:r>
      <w:r>
        <w:rPr/>
        <w:t xml:space="preserve"> Il passaggio dalla cronaca al vaglio investigativo non abbassa lo standard probatorio: lo innalza. La cronaca può permettersi di registrare; l’investigazione deve poter reggere il contraddittorio. Ne discendono quattro regole che questa edizione scolpisce e che vincolano ogni suo uso. Prima: il vaglio investigativo è </w:t>
      </w:r>
      <w:r>
        <w:rPr>
          <w:b/>
        </w:rPr>
        <w:t xml:space="preserve">istruttoria di ipotesi</w:t>
      </w:r>
      <w:r>
        <w:rPr/>
        <w:t xml:space="preserve">, e ogni ipotesi è formulata con le proprie condizioni di falsificazione; il Registro genera e vaglia ipotesi, non pronuncia responsabilità. Seconda: nessuna responsabilità è attribuita ad alcuno che non risulti già accertata nella sede propria, che è e resta quella giudiziaria; per le persone viventi vale la presunzione piena, e per i defunti il giudizio storico si forma soltanto sul documentato. Terza: la classificazione Savona resta sovrana e invariata — il fine investigativo </w:t>
      </w:r>
      <w:r>
        <w:rPr>
          <w:b/>
        </w:rPr>
        <w:t xml:space="preserve">trasforma le domande, non le prove</w:t>
      </w:r>
      <w:r>
        <w:rPr/>
        <w:t xml:space="preserve"> — sicché un legame di </w:t>
      </w:r>
      <w:r>
        <w:rPr>
          <w:b/>
        </w:rPr>
        <w:t xml:space="preserve">Livello C</w:t>
      </w:r>
      <w:r>
        <w:rPr/>
        <w:t xml:space="preserve"> resta ipotesi anche quando l’ipotesi è investigativamente feconda. Quarta: ove il vaglio produca elementi che eccedano la ricerca storica, la loro destinazione naturale sono le sedi competenti, che il Registro non sostituisce e alle quali non si sovrappone.</w:t>
      </w:r>
    </w:p>
    <w:p>
      <w:pPr>
        <w:spacing w:after="0" w:line="276" w:lineRule="auto"/>
        <w:ind w:firstLine="425"/>
        <w:jc w:val="both"/>
      </w:pPr>
      <w:r>
        <w:rPr>
          <w:b/>
        </w:rPr>
        <w:t xml:space="preserve">Portata della certificazione.</w:t>
      </w:r>
      <w:r>
        <w:rPr/>
        <w:t xml:space="preserve"> L’aggettivo definitivo e la qualità di certificato che questa edizione rivendica hanno un oggetto preciso e uno soltanto: la </w:t>
      </w:r>
      <w:r>
        <w:rPr>
          <w:b/>
        </w:rPr>
        <w:t xml:space="preserve">completezza del censimento</w:t>
      </w:r>
      <w:r>
        <w:rPr/>
        <w:t xml:space="preserve">. Il Registro certifica che ogni nodo emerso dall’estrazione computazionale dei due Anelli, sopra le soglie dichiarate, è stato iscritto, oppure espunto con motivazione, oppure assegnato a istruttoria con nome e numero: nessuno è stato taciuto. Il Registro non certifica — perché nessun metodo onesto potrebbe — i legami: ciascuno di essi resta al livello che le fonti consentono, e la parola certificato non si trasferisce mai dal censimento alla connessione.</w:t>
      </w:r>
    </w:p>
    <w:p>
      <w:pPr>
        <w:pageBreakBefore/>
        <w:spacing w:before="240" w:after="120" w:line="276" w:lineRule="auto"/>
        <w:jc w:val="left"/>
      </w:pPr>
      <w:r>
        <w:rPr>
          <w:b/>
          <w:sz w:val="28"/>
          <w:szCs w:val="28"/>
        </w:rPr>
        <w:t xml:space="preserve">STRATO ZERO — L’EDIZIONE TERZA INCORPORATA VERBATIM</w:t>
      </w:r>
    </w:p>
    <w:p>
      <w:pPr>
        <w:spacing w:after="0" w:line="276" w:lineRule="auto"/>
        <w:ind w:firstLine="425"/>
        <w:jc w:val="both"/>
      </w:pPr>
      <w:r>
        <w:rPr/>
        <w:t xml:space="preserve">Segue, riprodotta integralmente e senza alcun intervento per copia diretta del flusso documentale, l’edizione terza del presente Registro, comprensiva delle edizioni prima e seconda da essa incorporate, delle Parti Undicesima e Dodicesima sugli Anelli di Prossimità e di ogni loro apparato. Nulla di quanto segue è stato modificato, abbreviato o riordinato.</w:t>
      </w:r>
    </w:p>
    <w:p>
      <w:pPr>
        <w:spacing w:before="60" w:after="0" w:line="276" w:lineRule="auto"/>
        <w:jc w:val="center"/>
      </w:pPr>
      <w:r>
        <w:rPr>
          <w:b/>
          <w:sz w:val="32"/>
          <w:szCs w:val="32"/>
        </w:rPr>
        <w:t xml:space="preserve">REGISTRO ANALITICO DEL CASO MORO</w:t>
      </w:r>
    </w:p>
    <w:p>
      <w:pPr>
        <w:spacing w:before="60" w:after="0" w:line="276" w:lineRule="auto"/>
        <w:jc w:val="center"/>
      </w:pPr>
      <w:r>
        <w:rPr>
          <w:sz w:val="24"/>
          <w:szCs w:val="24"/>
        </w:rPr>
        <w:t xml:space="preserve">Registro autonomo delle reti informali del sequestro e dell’omicidio di Aldo Moro</w:t>
      </w:r>
    </w:p>
    <w:p>
      <w:pPr>
        <w:spacing w:before="60" w:after="0" w:line="276" w:lineRule="auto"/>
        <w:jc w:val="center"/>
      </w:pPr>
      <w:r>
        <w:rPr>
          <w:b/>
          <w:sz w:val="28"/>
          <w:szCs w:val="28"/>
        </w:rPr>
        <w:t xml:space="preserve">Edizione Terza — con il Secondo Anello di Prossimità</w:t>
      </w:r>
    </w:p>
    <w:p>
      <w:pPr>
        <w:spacing w:before="60" w:after="0" w:line="276" w:lineRule="auto"/>
        <w:jc w:val="center"/>
      </w:pPr>
      <w:r>
        <w:rPr>
          <w:sz w:val="24"/>
          <w:szCs w:val="24"/>
        </w:rPr>
        <w:t xml:space="preserve">Luigi De Michele</w:t>
      </w:r>
    </w:p>
    <w:p>
      <w:pPr>
        <w:spacing w:before="60" w:after="0" w:line="276" w:lineRule="auto"/>
        <w:jc w:val="center"/>
      </w:pPr>
      <w:r>
        <w:rPr>
          <w:sz w:val="24"/>
          <w:szCs w:val="24"/>
        </w:rPr>
        <w:t xml:space="preserve">Due agosto duemilaventisei</w:t>
      </w:r>
    </w:p>
    <w:p>
      <w:pPr>
        <w:spacing w:after="0" w:line="276" w:lineRule="auto"/>
        <w:ind w:firstLine="425"/>
        <w:jc w:val="both"/>
      </w:pPr>
      <w:r>
        <w:rPr>
          <w:b/>
        </w:rPr>
        <w:t xml:space="preserve">Statuto del documento.</w:t>
      </w:r>
      <w:r>
        <w:rPr/>
        <w:t xml:space="preserve"> Il presente Registro è documento autonomo e autosufficiente, indipendente dal Registro Unico Federato di ITALIA NERA nei tre sensi dichiarati e misurati nell’edizione seconda — indipendenza di catena probatoria, di apparato e da ogni prodotto dell’opera — con l’espressa dichiarazione del limite materiale di tale indipendenza, ossia la sovrapposizione parziale del corpus di fonti terze, dalla quale discende che la convergenza fra i due Registri non vale mai come conferma reciproca. Questa edizione incorpora verbatim l’edizione seconda, e con essa la prima, e vi aggiunge la Parte Dodicesima: l’espansione della rete al Secondo Anello di Prossimità.</w:t>
      </w:r>
    </w:p>
    <w:p>
      <w:pPr>
        <w:spacing w:after="0" w:line="276" w:lineRule="auto"/>
        <w:ind w:firstLine="425"/>
        <w:jc w:val="both"/>
      </w:pPr>
      <w:r>
        <w:rPr>
          <w:b/>
        </w:rPr>
        <w:t xml:space="preserve">Statuto del Secondo Anello.</w:t>
      </w:r>
      <w:r>
        <w:rPr/>
        <w:t xml:space="preserve"> L’espansione al secondo grado obbedisce alla logica della propagazione in una rete: i vicini del Primo Anello divengono semi, e se ne estraggono i vicini. Ma ciò che nella propagazione è naturale, nella prova è vietato, e il Registro lo scolpisce in apertura con tre avvertenze che governano l’intera Parte Dodicesima. Prima: </w:t>
      </w:r>
      <w:r>
        <w:rPr>
          <w:b/>
        </w:rPr>
        <w:t xml:space="preserve">la prossimità non è transitiva</w:t>
      </w:r>
      <w:r>
        <w:rPr/>
        <w:t xml:space="preserve"> — che il nodo A sia prossimo al nodo B, e B prossimo a C, non rende A prossimo a C, e men che meno connesso. Seconda: </w:t>
      </w:r>
      <w:r>
        <w:rPr>
          <w:b/>
        </w:rPr>
        <w:t xml:space="preserve">due ipotesi concatenate non si sommano ma si indeboliscono</w:t>
      </w:r>
      <w:r>
        <w:rPr/>
        <w:t xml:space="preserve"> — un legame di Livello C che poggia su un altro legame di Livello C non produce un Livello B, produce un’ipotesi al quadrato. Terza: in una rete documentale densa vige l’</w:t>
      </w:r>
      <w:r>
        <w:rPr>
          <w:b/>
        </w:rPr>
        <w:t xml:space="preserve">effetto di piccolo mondo</w:t>
      </w:r>
      <w:r>
        <w:rPr/>
        <w:t xml:space="preserve"> — a due passi da qualunque nodo si raggiunge quasi tutto il lessico — sicché il Secondo Anello non è una mappa del caso ma una mappa del contesto entro cui le fonti collocano il caso; per distinguere l’uno dall’altro, ogni seme di secondo grado è accompagnato da una </w:t>
      </w:r>
      <w:r>
        <w:rPr>
          <w:b/>
        </w:rPr>
        <w:t xml:space="preserve">metrica di deriva tematica</w:t>
      </w:r>
      <w:r>
        <w:rPr/>
        <w:t xml:space="preserve">, la frazione delle sue finestre che contiene ancora il caso, dichiarata voce per voce. Il Secondo Anello è registrato per dovere di cronaca: nessuna sua voce è affermata dal Registro.</w:t>
      </w:r>
    </w:p>
    <w:p>
      <w:pPr>
        <w:pageBreakBefore/>
        <w:spacing w:before="240" w:after="120" w:line="276" w:lineRule="auto"/>
        <w:jc w:val="left"/>
      </w:pPr>
      <w:r>
        <w:rPr>
          <w:b/>
          <w:sz w:val="28"/>
          <w:szCs w:val="28"/>
        </w:rPr>
        <w:t xml:space="preserve">STRATO ZERO — L’EDIZIONE SECONDA INCORPORATA VERBATIM</w:t>
      </w:r>
    </w:p>
    <w:p>
      <w:pPr>
        <w:spacing w:after="0" w:line="276" w:lineRule="auto"/>
        <w:ind w:firstLine="425"/>
        <w:jc w:val="both"/>
      </w:pPr>
      <w:r>
        <w:rPr/>
        <w:t xml:space="preserve">Segue, riprodotta integralmente e senza alcun intervento per copia diretta del flusso documentale, l’edizione seconda del presente Registro, comprensiva del frontespizio con la dichiarazione di indipendenza delle fonti, dell’edizione prima da essa incorporata e della Parte Undicesima sul Primo Anello di Prossimità. Nulla di quanto segue è stato modificato, abbreviato o riordinato.</w:t>
      </w:r>
    </w:p>
    <w:p>
      <w:pPr>
        <w:spacing w:before="60" w:after="0" w:line="276" w:lineRule="auto"/>
        <w:jc w:val="center"/>
      </w:pPr>
      <w:r>
        <w:rPr>
          <w:b/>
          <w:sz w:val="32"/>
          <w:szCs w:val="32"/>
        </w:rPr>
        <w:t xml:space="preserve">REGISTRO ANALITICO DEL CASO MORO</w:t>
      </w:r>
    </w:p>
    <w:p>
      <w:pPr>
        <w:spacing w:before="60" w:after="0" w:line="276" w:lineRule="auto"/>
        <w:jc w:val="center"/>
      </w:pPr>
      <w:r>
        <w:rPr>
          <w:sz w:val="24"/>
          <w:szCs w:val="24"/>
        </w:rPr>
        <w:t xml:space="preserve">Registro autonomo delle reti informali del sequestro e dell’omicidio di Aldo Moro</w:t>
      </w:r>
    </w:p>
    <w:p>
      <w:pPr>
        <w:spacing w:before="60" w:after="0" w:line="276" w:lineRule="auto"/>
        <w:jc w:val="center"/>
      </w:pPr>
      <w:r>
        <w:rPr>
          <w:b/>
          <w:sz w:val="28"/>
          <w:szCs w:val="28"/>
        </w:rPr>
        <w:t xml:space="preserve">Edizione Seconda — con il Primo Anello di Prossimità</w:t>
      </w:r>
    </w:p>
    <w:p>
      <w:pPr>
        <w:spacing w:before="60" w:after="0" w:line="276" w:lineRule="auto"/>
        <w:jc w:val="center"/>
      </w:pPr>
      <w:r>
        <w:rPr>
          <w:sz w:val="24"/>
          <w:szCs w:val="24"/>
        </w:rPr>
        <w:t xml:space="preserve">Luigi De Michele</w:t>
      </w:r>
    </w:p>
    <w:p>
      <w:pPr>
        <w:spacing w:before="60" w:after="0" w:line="276" w:lineRule="auto"/>
        <w:jc w:val="center"/>
      </w:pPr>
      <w:r>
        <w:rPr>
          <w:sz w:val="24"/>
          <w:szCs w:val="24"/>
        </w:rPr>
        <w:t xml:space="preserve">Due agosto duemilaventisei</w:t>
      </w:r>
    </w:p>
    <w:p>
      <w:pPr>
        <w:spacing w:after="0" w:line="276" w:lineRule="auto"/>
        <w:ind w:firstLine="425"/>
        <w:jc w:val="both"/>
      </w:pPr>
      <w:r>
        <w:rPr>
          <w:b/>
        </w:rPr>
        <w:t xml:space="preserve">Statuto del documento.</w:t>
      </w:r>
      <w:r>
        <w:rPr/>
        <w:t xml:space="preserve"> Il presente Registro è documento autonomo e autosufficiente. Non è sezione, estratto né derivazione del Registro Unico Federato di ITALIA NERA, e non ne presuppone la lettura: metodologia, apparato dei Domini, tipologia degli archi, Pattern analitici e standard probatorio vi sono ripetuti per intero e non per rinvio, affinché il Registro possa essere letto, verificato e falsificato da solo. Esso incorpora verbatim l’edizione prima e vi aggiunge la registrazione del Primo Anello di Prossimità.</w:t>
      </w:r>
    </w:p>
    <w:p>
      <w:pPr>
        <w:spacing w:after="0" w:line="276" w:lineRule="auto"/>
        <w:ind w:firstLine="425"/>
        <w:jc w:val="both"/>
      </w:pPr>
      <w:r>
        <w:rPr>
          <w:b/>
        </w:rPr>
        <w:t xml:space="preserve">Dichiarazione di indipendenza delle fonti.</w:t>
      </w:r>
      <w:r>
        <w:rPr/>
        <w:t xml:space="preserve"> Le fonti del presente Registro sono indipendenti rispetto a quelle del Registro Unico Federato di ITALIA NERA nei sensi che seguono, ciascuno dei quali è verificabile e nessuno dei quali è retorico. Primo, </w:t>
      </w:r>
      <w:r>
        <w:rPr>
          <w:b/>
        </w:rPr>
        <w:t xml:space="preserve">indipendenza di catena probatoria</w:t>
      </w:r>
      <w:r>
        <w:rPr/>
        <w:t xml:space="preserve">: nessuna asserzione, nessuna classificazione e nessun testo del Registro Unico è qui accolto per autorità; ogni livello </w:t>
      </w:r>
      <w:r>
        <w:rPr>
          <w:b/>
        </w:rPr>
        <w:t xml:space="preserve">A</w:t>
      </w:r>
      <w:r>
        <w:rPr/>
        <w:t xml:space="preserve">, </w:t>
      </w:r>
      <w:r>
        <w:rPr>
          <w:b/>
        </w:rPr>
        <w:t xml:space="preserve">B</w:t>
      </w:r>
      <w:r>
        <w:rPr/>
        <w:t xml:space="preserve"> o </w:t>
      </w:r>
      <w:r>
        <w:rPr>
          <w:b/>
        </w:rPr>
        <w:t xml:space="preserve">C</w:t>
      </w:r>
      <w:r>
        <w:rPr/>
        <w:t xml:space="preserve"> è stato riassegnato ex novo risalendo alla fonte primaria, e nessun grado di prova è stato ereditato. Secondo, </w:t>
      </w:r>
      <w:r>
        <w:rPr>
          <w:b/>
        </w:rPr>
        <w:t xml:space="preserve">indipendenza di apparato</w:t>
      </w:r>
      <w:r>
        <w:rPr/>
        <w:t xml:space="preserve">: la Camera Istruttoria, il registro delle lacune, il lessico dei nodi, il calcolo di prossimità e le ipotesi concorrenti di questo Registro sono propri e non derivati; le ipotesi in competizione qui formulate non coincidono con quelle del Registro Unico e hanno un diverso falsificatore di riferimento. Terzo, </w:t>
      </w:r>
      <w:r>
        <w:rPr>
          <w:b/>
        </w:rPr>
        <w:t xml:space="preserve">indipendenza da ogni prodotto dell’opera</w:t>
      </w:r>
      <w:r>
        <w:rPr/>
        <w:t xml:space="preserve">: il corpus di calcolo esclude per terzietà i trentuno prodotti dell’opera presenti in cartella, e si compone unicamente di fonti terze — atti parlamentari, atti giudiziari, inventari archivistici, corpora autografi, monografie e voci di riferimento.</w:t>
      </w:r>
    </w:p>
    <w:p>
      <w:pPr>
        <w:spacing w:after="0" w:line="276" w:lineRule="auto"/>
        <w:ind w:firstLine="425"/>
        <w:jc w:val="both"/>
      </w:pPr>
      <w:r>
        <w:rPr>
          <w:b/>
        </w:rPr>
        <w:t xml:space="preserve">Limite dichiarato dell’indipendenza.</w:t>
      </w:r>
      <w:r>
        <w:rPr/>
        <w:t xml:space="preserve"> Il metodo impone di dichiarare anche ciò che l’indipendenza non è, poiché una convergenza spuria dichiarata autentica sarebbe precisamente l’errore che questo Registro esiste per prevenire. Il sottocorpus qui utilizzato consta di sessantotto fonti selezionate per pertinenza entro un insieme di duecentoquarantuno fonti terze disponibili; di esse quindici hanno il caso Moro come tema dominante e costituiscono il nucleo proprio del Registro, mentre le rimanenti sono fonti generali della materia che il Registro Unico impiega anch’esso per oggetti diversi. </w:t>
      </w:r>
      <w:r>
        <w:rPr>
          <w:b/>
        </w:rPr>
        <w:t xml:space="preserve">La sovrapposizione materiale parziale del corpus è pertanto dichiarata e misurata.</w:t>
      </w:r>
      <w:r>
        <w:rPr/>
        <w:t xml:space="preserve"> Ne discende la regola che questo Registro osserva senza eccezioni: la convergenza fra le conclusioni di questo Registro e quelle del Registro Unico </w:t>
      </w:r>
      <w:r>
        <w:rPr>
          <w:b/>
        </w:rPr>
        <w:t xml:space="preserve">non costituisce conferma reciproca</w:t>
      </w:r>
      <w:r>
        <w:rPr/>
        <w:t xml:space="preserve">, poiché due letture del medesimo documento non sono due fonti indipendenti; vale come conferma soltanto la convergenza di fonti fra loro indipendenti sul medesimo punto, e l’indipendenza è accertata e mai presunta.</w:t>
      </w:r>
    </w:p>
    <w:p>
      <w:pPr>
        <w:spacing w:after="0" w:line="276" w:lineRule="auto"/>
        <w:ind w:firstLine="425"/>
        <w:jc w:val="both"/>
      </w:pPr>
      <w:r>
        <w:rPr>
          <w:b/>
        </w:rPr>
        <w:t xml:space="preserve">Statuto del Primo Anello.</w:t>
      </w:r>
      <w:r>
        <w:rPr/>
        <w:t xml:space="preserve"> La Parte Undicesima registra i nodi documentalmente prossimi ai nodi del caso, ricavati per misura di vicinanza testuale nelle fonti. Tale registrazione è compiuta </w:t>
      </w:r>
      <w:r>
        <w:rPr>
          <w:b/>
        </w:rPr>
        <w:t xml:space="preserve">per dovere di cronaca e non a titolo di asserzione</w:t>
      </w:r>
      <w:r>
        <w:rPr/>
        <w:t xml:space="preserve">: la prossimità di due nomi entro una medesima finestra di testo attesta che una fonte li ha accostati, non che fra i due corra un arco. Ogni voce del Primo Anello è pertanto di </w:t>
      </w:r>
      <w:r>
        <w:rPr>
          <w:b/>
        </w:rPr>
        <w:t xml:space="preserve">Livello C</w:t>
      </w:r>
      <w:r>
        <w:rPr/>
        <w:t xml:space="preserve"> in quanto legame, quale che sia il livello dei singoli nodi che collega, e nessuna di esse è affermata dal Registro. Il Primo Anello è mappa di ciò che è stato scritto, non mappa di ciò che è accaduto: chi lo leggesse come la seconda commetterebbe esattamente l’errore del pollo induttivista di Russell, e il Registro lo dichiara qui in apertura perché nessun lettore possa incorrervi in buona fede.</w:t>
      </w:r>
    </w:p>
    <w:p>
      <w:pPr>
        <w:pageBreakBefore/>
        <w:spacing w:before="240" w:after="120" w:line="276" w:lineRule="auto"/>
        <w:jc w:val="left"/>
      </w:pPr>
      <w:r>
        <w:rPr>
          <w:b/>
          <w:sz w:val="28"/>
          <w:szCs w:val="28"/>
        </w:rPr>
        <w:t xml:space="preserve">STRATO ZERO — L’EDIZIONE PRIMA INCORPORATA VERBATIM</w:t>
      </w:r>
    </w:p>
    <w:p>
      <w:pPr>
        <w:spacing w:after="0" w:line="276" w:lineRule="auto"/>
        <w:ind w:firstLine="425"/>
        <w:jc w:val="both"/>
      </w:pPr>
      <w:r>
        <w:rPr/>
        <w:t xml:space="preserve">Segue, riprodotta integralmente e senza alcun intervento per copia diretta del flusso documentale, l’edizione prima del presente Registro, comprensiva della Nota metodologica, del censimento del corpus, della declinazione dei dieci Domini, della tipologia degli archi, del Registro dei nodi, della cronologia strutturale, dei Pattern applicati, delle ipotesi concorrenti, del registro delle lacune e della Camera Istruttoria. Nulla di quanto segue è stato modificato, abbreviato o riordinato.</w:t>
      </w:r>
    </w:p>
    <w:p>
      <w:pPr>
        <w:spacing w:after="0" w:line="276" w:lineRule="auto" w:before="160"/>
        <w:jc w:val="center"/>
      </w:pPr>
      <w:r>
        <w:rPr>
          <w:rFonts w:ascii="Times New Roman" w:hAnsi="Times New Roman" w:cs="Times New Roman" w:eastAsia="Times New Roman"/>
          <w:rFonts w:ascii="Times New Roman" w:hAnsi="Times New Roman"/>
          <w:b/>
          <w:sz w:val="32"/>
        </w:rPr>
        <w:t>REGISTRO ANALITICO DEL CASO MORO</w:t>
      </w:r>
    </w:p>
    <w:p>
      <w:pPr>
        <w:spacing w:after="0" w:line="276" w:lineRule="auto" w:before="80"/>
        <w:jc w:val="center"/>
      </w:pPr>
      <w:r>
        <w:rPr>
          <w:rFonts w:ascii="Times New Roman" w:hAnsi="Times New Roman" w:cs="Times New Roman" w:eastAsia="Times New Roman"/>
          <w:rFonts w:ascii="Times New Roman" w:hAnsi="Times New Roman"/>
          <w:b w:val="0"/>
          <w:sz w:val="24"/>
        </w:rPr>
        <w:t>Registro autonomo delle reti informali del sequestro e dell’omicidio di Aldo Moro</w:t>
      </w:r>
    </w:p>
    <w:p>
      <w:pPr>
        <w:spacing w:after="0" w:line="276" w:lineRule="auto" w:before="80"/>
        <w:jc w:val="center"/>
      </w:pPr>
      <w:r>
        <w:rPr>
          <w:rFonts w:ascii="Times New Roman" w:hAnsi="Times New Roman" w:cs="Times New Roman" w:eastAsia="Times New Roman"/>
          <w:rFonts w:ascii="Times New Roman" w:hAnsi="Times New Roman"/>
          <w:b w:val="0"/>
          <w:sz w:val="24"/>
        </w:rPr>
        <w:t>Edizione Prima — Integrale</w:t>
      </w:r>
    </w:p>
    <w:p>
      <w:pPr>
        <w:spacing w:after="0" w:line="276" w:lineRule="auto" w:before="80"/>
        <w:jc w:val="center"/>
      </w:pPr>
      <w:r>
        <w:rPr>
          <w:rFonts w:ascii="Times New Roman" w:hAnsi="Times New Roman" w:cs="Times New Roman" w:eastAsia="Times New Roman"/>
          <w:rFonts w:ascii="Times New Roman" w:hAnsi="Times New Roman"/>
          <w:b w:val="0"/>
          <w:sz w:val="24"/>
        </w:rPr>
        <w:t>Luigi De Michele</w:t>
      </w:r>
    </w:p>
    <w:p>
      <w:pPr>
        <w:spacing w:after="0" w:line="276" w:lineRule="auto" w:before="80"/>
        <w:jc w:val="center"/>
      </w:pPr>
      <w:r>
        <w:rPr>
          <w:rFonts w:ascii="Times New Roman" w:hAnsi="Times New Roman" w:cs="Times New Roman" w:eastAsia="Times New Roman"/>
          <w:rFonts w:ascii="Times New Roman" w:hAnsi="Times New Roman"/>
          <w:b w:val="0"/>
          <w:sz w:val="24"/>
        </w:rPr>
        <w:t>Due agosto duemilaventisei</w:t>
      </w:r>
    </w:p>
    <w:p>
      <w:pPr>
        <w:spacing w:after="0" w:line="276" w:lineRule="auto"/>
        <w:ind w:firstLine="425"/>
        <w:jc w:val="both"/>
      </w:pPr>
      <w:r>
        <w:rPr>
          <w:rFonts w:ascii="Times New Roman" w:hAnsi="Times New Roman" w:cs="Times New Roman" w:eastAsia="Times New Roman"/>
          <w:rFonts w:ascii="Times New Roman" w:hAnsi="Times New Roman"/>
          <w:b/>
          <w:sz w:val="24"/>
        </w:rPr>
        <w:t>Statuto del documento.</w:t>
      </w:r>
      <w:r>
        <w:rPr>
          <w:rFonts w:ascii="Times New Roman" w:hAnsi="Times New Roman" w:cs="Times New Roman" w:eastAsia="Times New Roman"/>
          <w:rFonts w:ascii="Times New Roman" w:hAnsi="Times New Roman"/>
          <w:b w:val="0"/>
          <w:sz w:val="24"/>
        </w:rPr>
        <w:t xml:space="preserve"> Il presente Registro è documento autonomo e autosufficiente. Esso non è una sezione, un estratto né una derivazione del Registro Unico Federato di ITALIA NERA, e non presuppone la lettura di quello: la metodologia, l’apparato dei Domini, la tipologia degli archi, i Pattern analitici e lo standard probatorio vi sono ripetuti per intero e non per rinvio, affinché il Registro possa essere letto, verificato e falsificato da solo. Condivide con il Registro Unico l’identica metodologia e l’identica architettura, ma ha un proprio oggetto circoscritto — il sequestro di via Fani del sedici marzo millenovecentosettantotto, i cinquantacinque giorni della prigionia e l’omicidio del nove maggio, con i nodi, gli archi e le questioni che vi afferiscono — e un proprio corpus, un proprio registro delle lacune, una propria Camera Istruttoria. Ove le due opere confliggano su un punto di fatto, prevale quella che esibisce la fonte di livello superiore; ove convergano, la convergenza non costituisce conferma, poiché non sono fonti indipendenti fra loro.</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PRIMA — NOTA METODOLOGICA</w:t>
      </w:r>
    </w:p>
    <w:p>
      <w:pPr>
        <w:spacing w:after="120" w:line="276" w:lineRule="auto" w:before="320"/>
        <w:jc w:val="left"/>
      </w:pPr>
      <w:r>
        <w:rPr>
          <w:rFonts w:ascii="Times New Roman" w:hAnsi="Times New Roman" w:cs="Times New Roman" w:eastAsia="Times New Roman"/>
          <w:rFonts w:ascii="Times New Roman" w:hAnsi="Times New Roman"/>
          <w:b/>
          <w:sz w:val="24"/>
        </w:rPr>
        <w:t>Premessa epistemologica: perché il Caso Moro è il caso limite del metodo</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caso Moro costituisce, per la storiografia e per l’analisi delle reti informali, un banco di prova più severo di qualunque altro episodio della storia repubblicana, e la ragione non risiede soltanto nella gravità dell’evento. Risiede nel fatto che su di esso si è depositata, in quasi cinquant’anni, una sedimentazione di narrazioni concorrenti così densa da rendere quasi impossibile distinguere il fatto accertato dall’ipotesi ripetuta. Cinque processi, due Commissioni parlamentari d’inchiesta a esso specificamente dedicate, una terza — quella sulle stragi — che vi ha dedicato tomi interi, una letteratura monografica di migliaia di titoli, una pubblicistica militante di ogni orientamento: il risultato è che il caso Moro è oggi il luogo dove la conoscenza per accumulo produce meno chiarezza che altrove, perché ogni nuovo strato di racconto si sovrappone ai precedenti senza espungerli.</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metodo che questo Registro adotta muove da una constatazione elementare e scomoda: nel caso Moro la difficoltà non è la scarsità delle informazioni, ma la loro sovrabbondanza disordinata e la loro contaminazione reciproca. Vi sono affermazioni che circolano da decenni con l’autorevolezza del fatto e che, risalite alla fonte, si rivelano dichiarazioni non riscontrate, ricostruzioni giornalistiche o autodichiarazioni di soggetti interessati. Vi sono, all’opposto, accertamenti giudiziari definitivi che la pubblicistica tratta come opinioni fra le altre. Il compito del Registro non è dunque aggiungere una narrazione a quelle esistenti, ma </w:t>
      </w:r>
      <w:r>
        <w:rPr>
          <w:rFonts w:ascii="Times New Roman" w:hAnsi="Times New Roman" w:cs="Times New Roman" w:eastAsia="Times New Roman"/>
          <w:rFonts w:ascii="Times New Roman" w:hAnsi="Times New Roman"/>
          <w:b/>
          <w:sz w:val="24"/>
        </w:rPr>
        <w:t>stratificare le asserzioni per grado di sostegno documentale</w:t>
      </w:r>
      <w:r>
        <w:rPr>
          <w:rFonts w:ascii="Times New Roman" w:hAnsi="Times New Roman" w:cs="Times New Roman" w:eastAsia="Times New Roman"/>
          <w:rFonts w:ascii="Times New Roman" w:hAnsi="Times New Roman"/>
          <w:b w:val="0"/>
          <w:sz w:val="24"/>
        </w:rPr>
        <w:t>, restituendo a ciascuna il suo peso e privando ciascuna del peso che non le compete. Dove la fonte documenta, il Registro certifica; dove la fonte tace, il Registro indaga e non afferma. Questa è la Regola di Ferro, e nel caso Moro essa non è una cautela accessoria: è l’unico argine.</w:t>
      </w:r>
    </w:p>
    <w:p>
      <w:pPr>
        <w:spacing w:after="120" w:line="276" w:lineRule="auto" w:before="320"/>
        <w:jc w:val="left"/>
      </w:pPr>
      <w:r>
        <w:rPr>
          <w:rFonts w:ascii="Times New Roman" w:hAnsi="Times New Roman" w:cs="Times New Roman" w:eastAsia="Times New Roman"/>
          <w:rFonts w:ascii="Times New Roman" w:hAnsi="Times New Roman"/>
          <w:b/>
          <w:sz w:val="24"/>
        </w:rPr>
        <w:t>Il problema dell’induzione e il Pollo di Popper applicato al caso Moro</w:t>
      </w:r>
    </w:p>
    <w:p>
      <w:pPr>
        <w:spacing w:after="0" w:line="276" w:lineRule="auto"/>
        <w:ind w:firstLine="425"/>
        <w:jc w:val="both"/>
      </w:pPr>
      <w:r>
        <w:rPr>
          <w:rFonts w:ascii="Times New Roman" w:hAnsi="Times New Roman" w:cs="Times New Roman" w:eastAsia="Times New Roman"/>
          <w:rFonts w:ascii="Times New Roman" w:hAnsi="Times New Roman"/>
          <w:b w:val="0"/>
          <w:sz w:val="24"/>
        </w:rPr>
        <w:t>Karl Popper, nella Logica della scoperta scientifica, formulò la critica decisiva al metodo induttivo: nessuna quantità di osservazioni conformi dimostra una legge universale, mentre una sola osservazione contraria la falsifica. L’esempio del pollo induttivista, che Bertrand Russell propose nei Problemi della filosofia, illustra il pericolo di ogni ricerca che parta da una tesi precostituita e cerchi conferme nei dati: il pollo osserva il contadino portargli il cibo ogni giorno e ne inferisce che il contadino esisterà sempre per nutrirlo, fino al giorno in cui il contadino gli tira il collo.</w:t>
      </w:r>
    </w:p>
    <w:p>
      <w:pPr>
        <w:spacing w:after="0" w:line="276" w:lineRule="auto"/>
        <w:ind w:firstLine="425"/>
        <w:jc w:val="both"/>
      </w:pPr>
      <w:r>
        <w:rPr>
          <w:rFonts w:ascii="Times New Roman" w:hAnsi="Times New Roman" w:cs="Times New Roman" w:eastAsia="Times New Roman"/>
          <w:rFonts w:ascii="Times New Roman" w:hAnsi="Times New Roman"/>
          <w:b w:val="0"/>
          <w:sz w:val="24"/>
        </w:rPr>
        <w:t>Nel caso Moro il rischio del Pollo di Popper assume la forma più insidiosa che gli sia data assumere, perché la materia offre un numero praticamente illimitato di coincidenze. Cinquantacinque giorni di storia italiana densissima, migliaia di attori, decine di apparati, un contesto internazionale in movimento: chiunque parta dalla tesi che il sequestro fu eterodiretto troverà, senza sforzo, decine di circostanze che la confermano, perché in un intervallo così denso qualunque tesi trova conferme. E chiunque parta dalla tesi opposta ne troverà altrettante. La struttura concentrica del racconto — un centro interpretativo dal quale si irradiano i fatti — genera l’illusione della dimostrazione senza che alcuna dimostrazione sia avvenuta: i dati confermano la tesi per effetto della struttura, non per forza propria.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soluzione popperiana impone che il Registro non sia organizzato attorno a un’ipotesi ma attorno ai dati, e che ogni ipotesi sia formulata in modo da poter essere falsificata. Ne discende una regola operativa che questo Registro osserva senza eccezioni: </w:t>
      </w:r>
      <w:r>
        <w:rPr>
          <w:rFonts w:ascii="Times New Roman" w:hAnsi="Times New Roman" w:cs="Times New Roman" w:eastAsia="Times New Roman"/>
          <w:rFonts w:ascii="Times New Roman" w:hAnsi="Times New Roman"/>
          <w:b/>
          <w:sz w:val="24"/>
        </w:rPr>
        <w:t>per ogni asserzione si dichiara che cosa la falsificherebbe</w:t>
      </w:r>
      <w:r>
        <w:rPr>
          <w:rFonts w:ascii="Times New Roman" w:hAnsi="Times New Roman" w:cs="Times New Roman" w:eastAsia="Times New Roman"/>
          <w:rFonts w:ascii="Times New Roman" w:hAnsi="Times New Roman"/>
          <w:b w:val="0"/>
          <w:sz w:val="24"/>
        </w:rPr>
        <w:t>. Un’asserzione che non ammette confutazione concepibile non è conoscenza ma professione di fede, e come tale non entra nel Registro se non come oggetto, mai come strumento.</w:t>
      </w:r>
    </w:p>
    <w:p>
      <w:pPr>
        <w:spacing w:after="120" w:line="276" w:lineRule="auto" w:before="320"/>
        <w:jc w:val="left"/>
      </w:pPr>
      <w:r>
        <w:rPr>
          <w:rFonts w:ascii="Times New Roman" w:hAnsi="Times New Roman" w:cs="Times New Roman" w:eastAsia="Times New Roman"/>
          <w:rFonts w:ascii="Times New Roman" w:hAnsi="Times New Roman"/>
          <w:b/>
          <w:sz w:val="24"/>
        </w:rPr>
        <w:t>Il paradigma indiziario e la conoscenza per tracce</w:t>
      </w:r>
    </w:p>
    <w:p>
      <w:pPr>
        <w:spacing w:after="0" w:line="276" w:lineRule="auto"/>
        <w:ind w:firstLine="425"/>
        <w:jc w:val="both"/>
      </w:pPr>
      <w:r>
        <w:rPr>
          <w:rFonts w:ascii="Times New Roman" w:hAnsi="Times New Roman" w:cs="Times New Roman" w:eastAsia="Times New Roman"/>
          <w:rFonts w:ascii="Times New Roman" w:hAnsi="Times New Roman"/>
          <w:b w:val="0"/>
          <w:sz w:val="24"/>
        </w:rPr>
        <w:t>Carlo Ginzburg, nel saggio sulle radici del paradigma indiziario, individuò il metodo che accomuna la semeiotica medica, l’attribuzione conoscitiva delle opere d’arte, la psicoanalisi e l’investigazione: la conoscenza si costruisce non sulle regolarità statistiche ma sulle anomalie, sui dettagli marginali, sui sintomi che sfuggono al controllo cosciente del soggetto. Applicato al caso Moro, il paradigma indiziario significa che la struttura reale degli eventi non si rivela nelle dichiarazioni esplicite dei protagonisti — che sono tutte, per definizione, dichiarazioni di parte — ma nelle tracce involontarie: l’intestazione di un appartamento, la datazione di un documento, l’ordine in cui una notizia percorre una catena gerarchica, la discrepanza fra due verbali, l’omissione che ricorre.</w:t>
      </w:r>
    </w:p>
    <w:p>
      <w:pPr>
        <w:spacing w:after="0" w:line="276" w:lineRule="auto"/>
        <w:ind w:firstLine="425"/>
        <w:jc w:val="both"/>
      </w:pPr>
      <w:r>
        <w:rPr>
          <w:rFonts w:ascii="Times New Roman" w:hAnsi="Times New Roman" w:cs="Times New Roman" w:eastAsia="Times New Roman"/>
          <w:rFonts w:ascii="Times New Roman" w:hAnsi="Times New Roman"/>
          <w:b w:val="0"/>
          <w:sz w:val="24"/>
        </w:rPr>
        <w:t>Vale però, e va scolpita, l’avvertenza che Ginzburg stesso pose: l’indizio non è la prova, e la moltiplicazione degli indizi non equivale alla loro convergenza. Tre indizi deboli che puntano in tre direzioni diverse non fanno un indizio forte. La convergenza che vale è quella di indizi indipendenti sullo stesso punto, e l’indipendenza va accertata e non presunta — nel caso Moro molte fonti apparentemente distinte risalgono a una medesima dichiarazione originaria, ripetuta e attribuita a testimoni diversi lungo decenni.</w:t>
      </w:r>
    </w:p>
    <w:p>
      <w:pPr>
        <w:spacing w:after="120" w:line="276" w:lineRule="auto" w:before="320"/>
        <w:jc w:val="left"/>
      </w:pPr>
      <w:r>
        <w:rPr>
          <w:rFonts w:ascii="Times New Roman" w:hAnsi="Times New Roman" w:cs="Times New Roman" w:eastAsia="Times New Roman"/>
          <w:rFonts w:ascii="Times New Roman" w:hAnsi="Times New Roman"/>
          <w:b/>
          <w:sz w:val="24"/>
        </w:rPr>
        <w:t>Il quadro sistemico: Luhmann e l’accoppiamento strutturale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sociologia dei sistemi di Niklas Luhmann fornisce il quadro per comprendere come sfere di potere distinte interagiscano mantenendo autonomia operativa. Ogni sistema sociale è operativamente chiuso e cognitivamente aperto: opera secondo un proprio codice binario interno e osserva gli altri sistemi reagendo alle loro operazioni per accoppiamento strutturale. Nel caso Moro questo quadro è decisivo perché consente di descrivere l’interazione fra apparati senza postularne il concerto. L’organizzazione armata opera secondo il codice della propria legittimazione rivoluzionaria; l’intelligence secondo il codice segreto e pubblico; la politica secondo il codice del governo e dell’opposizione; l’istituzione religiosa secondo un codice proprio di mediazione morale; la magistratura secondo il codice della rilevanza penale. Che questi sistemi si osservino a vicenda, e che le operazioni dell’uno costituiscano ambiente per l’altro, è un dato strutturale che non implica alcun patto: la distinzione fra </w:t>
      </w:r>
      <w:r>
        <w:rPr>
          <w:rFonts w:ascii="Times New Roman" w:hAnsi="Times New Roman" w:cs="Times New Roman" w:eastAsia="Times New Roman"/>
          <w:rFonts w:ascii="Times New Roman" w:hAnsi="Times New Roman"/>
          <w:b/>
          <w:sz w:val="24"/>
        </w:rPr>
        <w:t>accoppiamento strutturale</w:t>
      </w:r>
      <w:r>
        <w:rPr>
          <w:rFonts w:ascii="Times New Roman" w:hAnsi="Times New Roman" w:cs="Times New Roman" w:eastAsia="Times New Roman"/>
          <w:rFonts w:ascii="Times New Roman" w:hAnsi="Times New Roman"/>
          <w:b w:val="0"/>
          <w:sz w:val="24"/>
        </w:rPr>
        <w:t xml:space="preserve"> e </w:t>
      </w:r>
      <w:r>
        <w:rPr>
          <w:rFonts w:ascii="Times New Roman" w:hAnsi="Times New Roman" w:cs="Times New Roman" w:eastAsia="Times New Roman"/>
          <w:rFonts w:ascii="Times New Roman" w:hAnsi="Times New Roman"/>
          <w:b/>
          <w:sz w:val="24"/>
        </w:rPr>
        <w:t>concerto</w:t>
      </w:r>
      <w:r>
        <w:rPr>
          <w:rFonts w:ascii="Times New Roman" w:hAnsi="Times New Roman" w:cs="Times New Roman" w:eastAsia="Times New Roman"/>
          <w:rFonts w:ascii="Times New Roman" w:hAnsi="Times New Roman"/>
          <w:b w:val="0"/>
          <w:sz w:val="24"/>
        </w:rPr>
        <w:t xml:space="preserve"> è, nel caso Moro, la distinzione fra analisi e dietrologia.</w:t>
      </w:r>
    </w:p>
    <w:p>
      <w:pPr>
        <w:spacing w:after="120" w:line="276" w:lineRule="auto" w:before="320"/>
        <w:jc w:val="left"/>
      </w:pPr>
      <w:r>
        <w:rPr>
          <w:rFonts w:ascii="Times New Roman" w:hAnsi="Times New Roman" w:cs="Times New Roman" w:eastAsia="Times New Roman"/>
          <w:rFonts w:ascii="Times New Roman" w:hAnsi="Times New Roman"/>
          <w:b/>
          <w:sz w:val="24"/>
        </w:rPr>
        <w:t>Network analysis: nodi, archi, livelli</w:t>
      </w:r>
    </w:p>
    <w:p>
      <w:pPr>
        <w:spacing w:after="0" w:line="276" w:lineRule="auto"/>
        <w:ind w:firstLine="425"/>
        <w:jc w:val="both"/>
      </w:pPr>
      <w:r>
        <w:rPr>
          <w:rFonts w:ascii="Times New Roman" w:hAnsi="Times New Roman" w:cs="Times New Roman" w:eastAsia="Times New Roman"/>
          <w:rFonts w:ascii="Times New Roman" w:hAnsi="Times New Roman"/>
          <w:b w:val="0"/>
          <w:sz w:val="24"/>
        </w:rPr>
        <w:t>L’apparato analitico opera su tre livelli. Il primo è quello dei nodi: individui, organizzazioni, luoghi ed eventi, ciascuno con i propri attributi di data, appartenenza, posizione e periodo di attività. Il secondo è quello degli archi, ossia le relazioni fra nodi, tipizzate per natura — parentela, affiliazione, operazione, comunicazione, conflitto — e dotate ciascuna di attributi di fonte, affidabilità, data e direzione. Il terzo è quello delle proprietà strutturali dell’intera rete: densità, centralità, modularità, buchi strutturali nel senso di Ronald Burt, ossia le posizioni dalle quali un intermediario controlla il flusso fra gruppi altrimenti disconnessi.</w:t>
      </w:r>
    </w:p>
    <w:p>
      <w:pPr>
        <w:spacing w:after="0" w:line="276" w:lineRule="auto"/>
        <w:ind w:firstLine="425"/>
        <w:jc w:val="both"/>
      </w:pPr>
      <w:r>
        <w:rPr>
          <w:rFonts w:ascii="Times New Roman" w:hAnsi="Times New Roman" w:cs="Times New Roman" w:eastAsia="Times New Roman"/>
          <w:rFonts w:ascii="Times New Roman" w:hAnsi="Times New Roman"/>
          <w:b w:val="0"/>
          <w:sz w:val="24"/>
        </w:rPr>
        <w:t>Quattro misure di centralità governano la lettura. La centralità di grado conta le connessioni dirette e misura la visibilità più che la potenza. La centralità di intermediazione misura quanto un nodo giaccia sui percorsi più brevi fra altri nodi, e identifica i broker: è la misura più produttiva per questo Registro, perché nel caso Moro la questione decisiva è precisamente quali nodi collegassero mondi altrimenti separati. La centralità di prossimità misura la rapidità con cui un nodo raggiunge tutti gli altri, e traduce la capacità di mobilitare risorse eterogenee in tempi brevi — capacità che nei cinquantacinque giorni fu la risorsa più scarsa e più contesa. La centralità di autovettore misura non quante connessioni un nodo abbia ma quanto contino quelle che ha, e distingue chi è connesso a molti irrilevanti da chi è connesso a pochi decisivi.</w:t>
      </w:r>
    </w:p>
    <w:p>
      <w:pPr>
        <w:spacing w:after="0" w:line="276" w:lineRule="auto"/>
        <w:ind w:firstLine="425"/>
        <w:jc w:val="both"/>
      </w:pPr>
      <w:r>
        <w:rPr>
          <w:rFonts w:ascii="Times New Roman" w:hAnsi="Times New Roman" w:cs="Times New Roman" w:eastAsia="Times New Roman"/>
          <w:rFonts w:ascii="Times New Roman" w:hAnsi="Times New Roman"/>
          <w:b w:val="0"/>
          <w:sz w:val="24"/>
        </w:rPr>
        <w:t>La rete è concepita come rete multilivello nel senso di Kivelä: gli stessi nodi compaiono su strati diversi, e gli archi si distinguono in intra-strato e inter-strato. Un medesimo individuo può esistere simultaneamente nello strato dell’organizzazione armata, in quello dei rapporti internazionali e in quello della mediazione religiosa, e sono precisamente gli archi inter-strato — i ponti fra i Domini — a costituire l’oggetto proprio di questo Registro.</w:t>
      </w:r>
    </w:p>
    <w:p>
      <w:pPr>
        <w:spacing w:after="120" w:line="276" w:lineRule="auto" w:before="320"/>
        <w:jc w:val="left"/>
      </w:pPr>
      <w:r>
        <w:rPr>
          <w:rFonts w:ascii="Times New Roman" w:hAnsi="Times New Roman" w:cs="Times New Roman" w:eastAsia="Times New Roman"/>
          <w:rFonts w:ascii="Times New Roman" w:hAnsi="Times New Roman"/>
          <w:b/>
          <w:sz w:val="24"/>
        </w:rPr>
        <w:t>Lo standard probatorio: la classificazione Savona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Ogni asserzione fattuale del Registro reca inline la propria classificazione, secondo lo standard di triangolazione delle fonti derivato dalla metodologia di Ernesto Savona e consolidato nella pratica giudiziaria italiana dal metodo Falcone. Il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connessione documentata, richiede la convergenza di almeno tre fonti indipendenti di natura diversa: una sentenza definitiva, una testimonianza riscontrata, un documento d’archivio. Il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connessione indiziaria, richiede due fonti indipendenti oppure una singola fonte di alta affidabilità, quale una sentenza di primo grado o una relazione parlamentare circostanziata: la connessione è probabile ma non certa e come tale è segnalata. Il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connessione ipotetica, si fonda su una fonte singola o su una convergenza di indizi circostanziali, ed è ipotesi investigativa esplicitamente marcata come tale, mai affermazione.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Nel caso Moro questa classificazione produce un effetto che va anticipato perché disturba entrambe le narrazioni consolidate: molte delle affermazioni più diffuse — in un senso e nell’altro — si collocano al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mentre il nucleo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è più ristretto e insieme più solido di quanto la pubblicistica lasci intendere. Il Registro non considera questo un esito deludente ma il suo principale risultato: separare il poco che è accertato dal molto che è discusso è, in questa materia, l’atto conoscitivo fondamentale.</w:t>
      </w:r>
    </w:p>
    <w:p>
      <w:pPr>
        <w:spacing w:after="120" w:line="276" w:lineRule="auto" w:before="320"/>
        <w:jc w:val="left"/>
      </w:pPr>
      <w:r>
        <w:rPr>
          <w:rFonts w:ascii="Times New Roman" w:hAnsi="Times New Roman" w:cs="Times New Roman" w:eastAsia="Times New Roman"/>
          <w:rFonts w:ascii="Times New Roman" w:hAnsi="Times New Roman"/>
          <w:b/>
          <w:sz w:val="24"/>
        </w:rPr>
        <w:t>Ordo expositionis e ordo probandi</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Registro distingue rigorosamente due ordini. L’ordo expositionis è l’ordine narrativo con cui la materia è esposta, e procede per cerchi concentrici dal fatto centrale verso i contesti sempre più ampi. L’ordo probandi è l’ordine della catena documentale, e procede al contrario, dal basso: dalla fonte al nodo, dal nodo all’arco, dall’arco al pattern, dal pattern all’ipotesi. I due ordini non coincidono e non devono essere confusi: la posizione di un elemento nell’esposizione non dice nulla della sua forza probatoria, che è dichiarata soltanto dalla classificazione Savona. Questa distinzione è il presidio strutturale contro il Pollo di Popper, perché impedisce che l’architettura del racconto si travesta da dimostrazione.</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SECONDA — IL CORPUS E IL SUO CENSIMENTO</w:t>
      </w:r>
    </w:p>
    <w:p>
      <w:pPr>
        <w:spacing w:after="120" w:line="276" w:lineRule="auto" w:before="320"/>
        <w:jc w:val="left"/>
      </w:pPr>
      <w:r>
        <w:rPr>
          <w:rFonts w:ascii="Times New Roman" w:hAnsi="Times New Roman" w:cs="Times New Roman" w:eastAsia="Times New Roman"/>
          <w:rFonts w:ascii="Times New Roman" w:hAnsi="Times New Roman"/>
          <w:b/>
          <w:sz w:val="24"/>
        </w:rPr>
        <w:t>Consistenza del sottocorpus</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corpus documentale sul quale questo Registro è costruito consta di sessantotto fonti leggibili in forma testuale, per una consistenza complessiva di circa venti milioni e seicentomila caratteri, alle quali si aggiungono diciotto blocchi di materiale scansionato non ancora convertito in testo. La ricognizione è stata condotta per lettura integrale automatizzata di ogni file, con riconoscimento della firma binaria e non dell’estensione, poiché numerosi file recanti estensione di documento testuale contengono in realtà testo piano, e numerosi file recanti estensione di documento portabile contengono in realtà archivi di immagini scansionate. La distinzione è tutt’altro che formale: la seconda categoria non è leggibile e costituisce lacuna operativa.</w:t>
      </w:r>
    </w:p>
    <w:p>
      <w:pPr>
        <w:spacing w:after="0" w:line="276" w:lineRule="auto"/>
        <w:ind w:firstLine="425"/>
        <w:jc w:val="both"/>
      </w:pPr>
      <w:r>
        <w:rPr>
          <w:rFonts w:ascii="Times New Roman" w:hAnsi="Times New Roman" w:cs="Times New Roman" w:eastAsia="Times New Roman"/>
          <w:rFonts w:ascii="Times New Roman" w:hAnsi="Times New Roman"/>
          <w:b w:val="0"/>
          <w:sz w:val="24"/>
        </w:rPr>
        <w:t>Le fonti si distribuiscono in cinque famiglie. La prima è quella degli atti parlamentari d’inchiesta, che comprende i tomi degli elaborati della Commissione stragi, la relazione dedicata al caso Moro, gli atti sulla dimensione sovranazionale e sull’ombra dei servizi orientali, i verbali delle sedute della decima legislatura e la relazione sulla loggia. La seconda è quella degli atti giudiziari, con le sentenze del processo Andreotti–Pecorelli e del processo Andreotti–Badalamenti. La terza è quella delle fonti archivistiche, con l’inventario del Gabinetto del Segretario generale della Presidenza della Repubblica per gli affari riservati dal millenovecentosessantuno al millenovecentonovantadue, che censisce il fascicolo dedicato all’affare Moro. La quarta è quella del corpus degli scritti e degli interventi di Aldo Moro dal millenovecentotrentadue al millenovecentosettantotto. La quinta è quella delle monografie e delle voci enciclopediche.</w:t>
      </w:r>
    </w:p>
    <w:p>
      <w:pPr>
        <w:spacing w:after="120" w:line="276" w:lineRule="auto" w:before="320"/>
        <w:jc w:val="left"/>
      </w:pPr>
      <w:r>
        <w:rPr>
          <w:rFonts w:ascii="Times New Roman" w:hAnsi="Times New Roman" w:cs="Times New Roman" w:eastAsia="Times New Roman"/>
          <w:rFonts w:ascii="Times New Roman" w:hAnsi="Times New Roman"/>
          <w:b/>
          <w:sz w:val="24"/>
        </w:rPr>
        <w:t>Indice di Contaminazione della Fonte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censimento impone una dichiarazione che il metodo esige e che la prudenza suggerirebbe di tacere. La fonte più densa dell’intero sottocorpus — quella che reca il maggior numero di occorrenze del nome di Moro, circa milleseicentocinquanta — è una monografia d’autore di orientamento dichiaratamente tesistico, il cui titolo stesso annuncia una tesi. Essa costituisce una fonte preziosa, poiché raccoglie in modo sistematico dichiarazioni, audizioni e riferimenti altrimenti dispersi, ed è </w:t>
      </w:r>
      <w:r>
        <w:rPr>
          <w:rFonts w:ascii="Times New Roman" w:hAnsi="Times New Roman" w:cs="Times New Roman" w:eastAsia="Times New Roman"/>
          <w:rFonts w:ascii="Times New Roman" w:hAnsi="Times New Roman"/>
          <w:b/>
          <w:sz w:val="24"/>
        </w:rPr>
        <w:t>terza rispetto ai fatti</w:t>
      </w:r>
      <w:r>
        <w:rPr>
          <w:rFonts w:ascii="Times New Roman" w:hAnsi="Times New Roman" w:cs="Times New Roman" w:eastAsia="Times New Roman"/>
          <w:rFonts w:ascii="Times New Roman" w:hAnsi="Times New Roman"/>
          <w:b w:val="0"/>
          <w:sz w:val="24"/>
        </w:rPr>
        <w:t xml:space="preserve"> che riferisce; ma non è </w:t>
      </w:r>
      <w:r>
        <w:rPr>
          <w:rFonts w:ascii="Times New Roman" w:hAnsi="Times New Roman" w:cs="Times New Roman" w:eastAsia="Times New Roman"/>
          <w:rFonts w:ascii="Times New Roman" w:hAnsi="Times New Roman"/>
          <w:b/>
          <w:sz w:val="24"/>
        </w:rPr>
        <w:t>neutra rispetto alle ipotesi</w:t>
      </w:r>
      <w:r>
        <w:rPr>
          <w:rFonts w:ascii="Times New Roman" w:hAnsi="Times New Roman" w:cs="Times New Roman" w:eastAsia="Times New Roman"/>
          <w:rFonts w:ascii="Times New Roman" w:hAnsi="Times New Roman"/>
          <w:b w:val="0"/>
          <w:sz w:val="24"/>
        </w:rPr>
        <w:t xml:space="preserve">, e va trattata come repertorio di segnalazioni da risalire alla fonte primaria, mai come fonte primaria essa stessa. Ogni asserzione che in questo Registro poggi unicamente su di essa è classificata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quale che sia il tono assertivo dell’originale.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medesima avvertenza vale, con minore intensità, per le voci enciclopediche collaborative presenti nel corpus, che sono utili come indice di questioni ma non costituiscono fonte per alcun livello superiore al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Vale infine, in senso inverso, per gli atti parlamentari: essi sono fonti di alta affidabilità quanto ai documenti che riproducono e alle audizioni che verbalizzano, ma le valutazioni politiche che contengono restano valutazioni, e la relazione di maggioranza di una Commissione non è per ciò stesso un accertamento.</w:t>
      </w:r>
    </w:p>
    <w:p>
      <w:pPr>
        <w:spacing w:after="120" w:line="276" w:lineRule="auto" w:before="320"/>
        <w:jc w:val="left"/>
      </w:pPr>
      <w:r>
        <w:rPr>
          <w:rFonts w:ascii="Times New Roman" w:hAnsi="Times New Roman" w:cs="Times New Roman" w:eastAsia="Times New Roman"/>
          <w:rFonts w:ascii="Times New Roman" w:hAnsi="Times New Roman"/>
          <w:b/>
          <w:sz w:val="24"/>
        </w:rPr>
        <w:t>La lacuna stenografica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Diciotto blocchi di materiale scansionato, per complessive oltre mille immagini, contengono i resoconti stenografici delle sedute della seconda Commissione parlamentare d’inchiesta e la documentazione fotografica sull’agguato di via Fani. Essi non sono attualmente leggibili in forma testuale e costituiscono la </w:t>
      </w:r>
      <w:r>
        <w:rPr>
          <w:rFonts w:ascii="Times New Roman" w:hAnsi="Times New Roman" w:cs="Times New Roman" w:eastAsia="Times New Roman"/>
          <w:rFonts w:ascii="Times New Roman" w:hAnsi="Times New Roman"/>
          <w:b/>
          <w:sz w:val="24"/>
        </w:rPr>
        <w:t>prima lacuna operativa</w:t>
      </w:r>
      <w:r>
        <w:rPr>
          <w:rFonts w:ascii="Times New Roman" w:hAnsi="Times New Roman" w:cs="Times New Roman" w:eastAsia="Times New Roman"/>
          <w:rFonts w:ascii="Times New Roman" w:hAnsi="Times New Roman"/>
          <w:b w:val="0"/>
          <w:sz w:val="24"/>
        </w:rPr>
        <w:t xml:space="preserve"> di questo Registro. La loro conversione mediante riconoscimento ottico è l’operazione a priorità assoluta della prossima sessione di lavoro, perché quel materiale contiene le audizioni sulle quali si fondano numerose asserzioni che al momento risultano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unicamente per inaccessibilità della fonte primaria, e che la lettura potrebbe elevare — o, con pari probabilità, smentire. La lacuna è dichiarata e non silenziata: il Registro non tratta come inesistente ciò che è soltanto non ancora letto.</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TERZA — I DIECI DOMINI DECLINATI SUL CASO MORO</w:t>
      </w:r>
    </w:p>
    <w:p>
      <w:pPr>
        <w:spacing w:after="0" w:line="276" w:lineRule="auto"/>
        <w:ind w:firstLine="425"/>
        <w:jc w:val="both"/>
      </w:pPr>
      <w:r>
        <w:rPr>
          <w:rFonts w:ascii="Times New Roman" w:hAnsi="Times New Roman" w:cs="Times New Roman" w:eastAsia="Times New Roman"/>
          <w:rFonts w:ascii="Times New Roman" w:hAnsi="Times New Roman"/>
          <w:b w:val="0"/>
          <w:sz w:val="24"/>
        </w:rPr>
        <w:t>I Domini sono inclusi secondo quattro criteri simultanei derivati dalla teoria dei campi di Bourdieu e da quella dei sistemi autopoietici di Maturana e Varela mediata da Luhmann: risorse autonome non riducibili a quelle di altri Domini, gerarchia interna propria, regole operative generate internamente, capacità di autoriproduzione. Segue la declinazione dei dieci Domini sull’oggetto di questo Registro.</w:t>
      </w:r>
    </w:p>
    <w:p>
      <w:pPr>
        <w:spacing w:after="0" w:line="276" w:lineRule="auto"/>
        <w:ind w:firstLine="425"/>
        <w:jc w:val="both"/>
      </w:pPr>
      <w:r>
        <w:rPr>
          <w:rFonts w:ascii="Times New Roman" w:hAnsi="Times New Roman" w:cs="Times New Roman" w:eastAsia="Times New Roman"/>
          <w:rFonts w:ascii="Times New Roman" w:hAnsi="Times New Roman"/>
          <w:b/>
          <w:sz w:val="24"/>
        </w:rPr>
        <w:t>Dominio primo, criminalità organizzata.</w:t>
      </w:r>
      <w:r>
        <w:rPr>
          <w:rFonts w:ascii="Times New Roman" w:hAnsi="Times New Roman" w:cs="Times New Roman" w:eastAsia="Times New Roman"/>
          <w:rFonts w:ascii="Times New Roman" w:hAnsi="Times New Roman"/>
          <w:b w:val="0"/>
          <w:sz w:val="24"/>
        </w:rPr>
        <w:t xml:space="preserve"> Vi afferiscono la banda della Magliana, alla quale è attribuita nel corpus una attività di ricerca del luogo di detenzione condotta su sollecitazione esterna al gruppo; il falsario cui è ricondotta la confezione del falso comunicato; e le contigue presenze di criminalità calabrese oggetto di dichiarazioni di collaboratori. La risorsa propria del Dominio è il monopolio della violenza illegale e la capillarità del controllo territoriale urbano, che nella primavera del millenovecentosettantotto era, per la capitale, risorsa informativa di prim’ordine.</w:t>
      </w:r>
    </w:p>
    <w:p>
      <w:pPr>
        <w:spacing w:after="0" w:line="276" w:lineRule="auto"/>
        <w:ind w:firstLine="425"/>
        <w:jc w:val="both"/>
      </w:pPr>
      <w:r>
        <w:rPr>
          <w:rFonts w:ascii="Times New Roman" w:hAnsi="Times New Roman" w:cs="Times New Roman" w:eastAsia="Times New Roman"/>
          <w:rFonts w:ascii="Times New Roman" w:hAnsi="Times New Roman"/>
          <w:b/>
          <w:sz w:val="24"/>
        </w:rPr>
        <w:t>Dominio secondo, potere politico.</w:t>
      </w:r>
      <w:r>
        <w:rPr>
          <w:rFonts w:ascii="Times New Roman" w:hAnsi="Times New Roman" w:cs="Times New Roman" w:eastAsia="Times New Roman"/>
          <w:rFonts w:ascii="Times New Roman" w:hAnsi="Times New Roman"/>
          <w:b w:val="0"/>
          <w:sz w:val="24"/>
        </w:rPr>
        <w:t xml:space="preserve"> Vi afferiscono la Democrazia Cristiana e la sua articolazione correntizia, il Partito Comunista Italiano e la formula della solidarietà nazionale, il Partito Socialista Italiano e la sua linea autonoma sulla trattativa, il Governo in carica e il Ministero dell’interno. La risorsa propria è il potere legislativo e amministrativo; la posta in gioco specifica, nei cinquantacinque giorni, fu la scelta fra la linea della fermezza e quella della trattativa, che divise il sistema politico lungo linee non coincidenti con quelle di maggioranza e opposizione.</w:t>
      </w:r>
    </w:p>
    <w:p>
      <w:pPr>
        <w:spacing w:after="0" w:line="276" w:lineRule="auto"/>
        <w:ind w:firstLine="425"/>
        <w:jc w:val="both"/>
      </w:pPr>
      <w:r>
        <w:rPr>
          <w:rFonts w:ascii="Times New Roman" w:hAnsi="Times New Roman" w:cs="Times New Roman" w:eastAsia="Times New Roman"/>
          <w:rFonts w:ascii="Times New Roman" w:hAnsi="Times New Roman"/>
          <w:b/>
          <w:sz w:val="24"/>
        </w:rPr>
        <w:t>Dominio terzo, intelligence e servizi.</w:t>
      </w:r>
      <w:r>
        <w:rPr>
          <w:rFonts w:ascii="Times New Roman" w:hAnsi="Times New Roman" w:cs="Times New Roman" w:eastAsia="Times New Roman"/>
          <w:rFonts w:ascii="Times New Roman" w:hAnsi="Times New Roman"/>
          <w:b w:val="0"/>
          <w:sz w:val="24"/>
        </w:rPr>
        <w:t xml:space="preserve"> Vi afferiscono i servizi italiani nella configurazione allora vigente e nella riforma appena entrata in funzione, l’Ufficio affari riservati, il comitato di crisi costituito presso il Ministero dell’interno e i comitati tecnico-operativi, nonché i servizi alleati e avversari nella misura in cui il corpus li documenta. La risorsa propria è il monopolio dell’informazione segreta. Il Dominio è, per questo Registro, quello a più alta densità di asserzioni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e insieme quello dove la distinzione fra accoppiamento strutturale e concerto è più difficile e più necessaria.</w:t>
      </w:r>
    </w:p>
    <w:p>
      <w:pPr>
        <w:spacing w:after="0" w:line="276" w:lineRule="auto"/>
        <w:ind w:firstLine="425"/>
        <w:jc w:val="both"/>
      </w:pPr>
      <w:r>
        <w:rPr>
          <w:rFonts w:ascii="Times New Roman" w:hAnsi="Times New Roman" w:cs="Times New Roman" w:eastAsia="Times New Roman"/>
          <w:rFonts w:ascii="Times New Roman" w:hAnsi="Times New Roman"/>
          <w:b/>
          <w:sz w:val="24"/>
        </w:rPr>
        <w:t>Dominio quarto, massoneria e società segrete.</w:t>
      </w:r>
      <w:r>
        <w:rPr>
          <w:rFonts w:ascii="Times New Roman" w:hAnsi="Times New Roman" w:cs="Times New Roman" w:eastAsia="Times New Roman"/>
          <w:rFonts w:ascii="Times New Roman" w:hAnsi="Times New Roman"/>
          <w:b w:val="0"/>
          <w:sz w:val="24"/>
        </w:rPr>
        <w:t xml:space="preserve"> Vi afferisce la loggia oggetto della relazione parlamentare, la cui sezione dedicata all’affare Moro è documento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quanto alle acquisizioni che riferisce. La risorsa propria è la rete relazionale riservata, che opera per accesso e non per comando.</w:t>
      </w:r>
    </w:p>
    <w:p>
      <w:pPr>
        <w:spacing w:after="0" w:line="276" w:lineRule="auto"/>
        <w:ind w:firstLine="425"/>
        <w:jc w:val="both"/>
      </w:pPr>
      <w:r>
        <w:rPr>
          <w:rFonts w:ascii="Times New Roman" w:hAnsi="Times New Roman" w:cs="Times New Roman" w:eastAsia="Times New Roman"/>
          <w:rFonts w:ascii="Times New Roman" w:hAnsi="Times New Roman"/>
          <w:b/>
          <w:sz w:val="24"/>
        </w:rPr>
        <w:t>Dominio quinto, istituzioni religiose.</w:t>
      </w:r>
      <w:r>
        <w:rPr>
          <w:rFonts w:ascii="Times New Roman" w:hAnsi="Times New Roman" w:cs="Times New Roman" w:eastAsia="Times New Roman"/>
          <w:rFonts w:ascii="Times New Roman" w:hAnsi="Times New Roman"/>
          <w:b w:val="0"/>
          <w:sz w:val="24"/>
        </w:rPr>
        <w:t xml:space="preserve"> Vi afferiscono la Santa Sede e l’iniziativa personale del Pontefice, i canali di mediazione ecclesiastica e le figure sacerdotali indicate nel corpus come tramiti. La risorsa propria è la legittimità morale e la capacità di comunicare fuori dai canali istituzionali senza impegnare formalmente alcuno Stato.</w:t>
      </w:r>
    </w:p>
    <w:p>
      <w:pPr>
        <w:spacing w:after="0" w:line="276" w:lineRule="auto"/>
        <w:ind w:firstLine="425"/>
        <w:jc w:val="both"/>
      </w:pPr>
      <w:r>
        <w:rPr>
          <w:rFonts w:ascii="Times New Roman" w:hAnsi="Times New Roman" w:cs="Times New Roman" w:eastAsia="Times New Roman"/>
          <w:rFonts w:ascii="Times New Roman" w:hAnsi="Times New Roman"/>
          <w:b/>
          <w:sz w:val="24"/>
        </w:rPr>
        <w:t>Dominio sesto, economia e finanza.</w:t>
      </w:r>
      <w:r>
        <w:rPr>
          <w:rFonts w:ascii="Times New Roman" w:hAnsi="Times New Roman" w:cs="Times New Roman" w:eastAsia="Times New Roman"/>
          <w:rFonts w:ascii="Times New Roman" w:hAnsi="Times New Roman"/>
          <w:b w:val="0"/>
          <w:sz w:val="24"/>
        </w:rPr>
        <w:t xml:space="preserve"> Vi afferisce, per questo Registro, un ruolo indiretto e circoscritto: la disponibilità di risorse per un’eventuale trattativa e la gestione dei circuiti di pagamento occulti. È il Dominio meno documentato del sottocorpus e per esso il Registro non formula asserzioni di livello superiore al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w:t>
      </w:r>
    </w:p>
    <w:p>
      <w:pPr>
        <w:spacing w:after="0" w:line="276" w:lineRule="auto"/>
        <w:ind w:firstLine="425"/>
        <w:jc w:val="both"/>
      </w:pPr>
      <w:r>
        <w:rPr>
          <w:rFonts w:ascii="Times New Roman" w:hAnsi="Times New Roman" w:cs="Times New Roman" w:eastAsia="Times New Roman"/>
          <w:rFonts w:ascii="Times New Roman" w:hAnsi="Times New Roman"/>
          <w:b/>
          <w:sz w:val="24"/>
        </w:rPr>
        <w:t>Dominio settimo, terrorismo e violenza politica.</w:t>
      </w:r>
      <w:r>
        <w:rPr>
          <w:rFonts w:ascii="Times New Roman" w:hAnsi="Times New Roman" w:cs="Times New Roman" w:eastAsia="Times New Roman"/>
          <w:rFonts w:ascii="Times New Roman" w:hAnsi="Times New Roman"/>
          <w:b w:val="0"/>
          <w:sz w:val="24"/>
        </w:rPr>
        <w:t xml:space="preserve"> È il Dominio centrale del Registro. Vi afferiscono le Brigate Rosse nella loro articolazione di direzione strategica, comitato esecutivo e colonna romana; le formazioni contigue dell’area dell’autonomia; le strutture estere di riferimento indicate nel corpus. La risorsa propria è la capacità di destabilizzazione mediante violenza mirata.</w:t>
      </w:r>
    </w:p>
    <w:p>
      <w:pPr>
        <w:spacing w:after="0" w:line="276" w:lineRule="auto"/>
        <w:ind w:firstLine="425"/>
        <w:jc w:val="both"/>
      </w:pPr>
      <w:r>
        <w:rPr>
          <w:rFonts w:ascii="Times New Roman" w:hAnsi="Times New Roman" w:cs="Times New Roman" w:eastAsia="Times New Roman"/>
          <w:rFonts w:ascii="Times New Roman" w:hAnsi="Times New Roman"/>
          <w:b/>
          <w:sz w:val="24"/>
        </w:rPr>
        <w:t>Dominio ottavo, media e controllo dell’informazione.</w:t>
      </w:r>
      <w:r>
        <w:rPr>
          <w:rFonts w:ascii="Times New Roman" w:hAnsi="Times New Roman" w:cs="Times New Roman" w:eastAsia="Times New Roman"/>
          <w:rFonts w:ascii="Times New Roman" w:hAnsi="Times New Roman"/>
          <w:b w:val="0"/>
          <w:sz w:val="24"/>
        </w:rPr>
        <w:t xml:space="preserve"> Vi afferiscono il sistema dell’informazione quotidiana, l’agenzia di stampa nazionale, la pubblicistica di settore e in particolare la testata diretta dal giornalista poi ucciso, che nel corpus compare quale nodo di intersezione fra informazione riservata e potere politico. La risorsa propria è il controllo del flusso informativo pubblico, che nei cinquantacinque giorni fu esso stesso terreno di operazioni.</w:t>
      </w:r>
    </w:p>
    <w:p>
      <w:pPr>
        <w:spacing w:after="0" w:line="276" w:lineRule="auto"/>
        <w:ind w:firstLine="425"/>
        <w:jc w:val="both"/>
      </w:pPr>
      <w:r>
        <w:rPr>
          <w:rFonts w:ascii="Times New Roman" w:hAnsi="Times New Roman" w:cs="Times New Roman" w:eastAsia="Times New Roman"/>
          <w:rFonts w:ascii="Times New Roman" w:hAnsi="Times New Roman"/>
          <w:b/>
          <w:sz w:val="24"/>
        </w:rPr>
        <w:t>Dominio nono, forze armate e apparato militare.</w:t>
      </w:r>
      <w:r>
        <w:rPr>
          <w:rFonts w:ascii="Times New Roman" w:hAnsi="Times New Roman" w:cs="Times New Roman" w:eastAsia="Times New Roman"/>
          <w:rFonts w:ascii="Times New Roman" w:hAnsi="Times New Roman"/>
          <w:b w:val="0"/>
          <w:sz w:val="24"/>
        </w:rPr>
        <w:t xml:space="preserve"> Vi afferiscono l’Arma dei carabinieri e il suo nucleo antiterrorismo, la pubblica sicurezza, i vertici militari e la struttura atlantica per la parte che il corpus documenta. La risorsa propria è il monopolio della forza legale organizzata.</w:t>
      </w:r>
    </w:p>
    <w:p>
      <w:pPr>
        <w:spacing w:after="0" w:line="276" w:lineRule="auto"/>
        <w:ind w:firstLine="425"/>
        <w:jc w:val="both"/>
      </w:pPr>
      <w:r>
        <w:rPr>
          <w:rFonts w:ascii="Times New Roman" w:hAnsi="Times New Roman" w:cs="Times New Roman" w:eastAsia="Times New Roman"/>
          <w:rFonts w:ascii="Times New Roman" w:hAnsi="Times New Roman"/>
          <w:b/>
          <w:sz w:val="24"/>
        </w:rPr>
        <w:t>Dominio decimo, magistratura e sistema giudiziario.</w:t>
      </w:r>
      <w:r>
        <w:rPr>
          <w:rFonts w:ascii="Times New Roman" w:hAnsi="Times New Roman" w:cs="Times New Roman" w:eastAsia="Times New Roman"/>
          <w:rFonts w:ascii="Times New Roman" w:hAnsi="Times New Roman"/>
          <w:b w:val="0"/>
          <w:sz w:val="24"/>
        </w:rPr>
        <w:t xml:space="preserve"> Vi afferiscono le procure competenti, i cinque processi celebrati, le Commissioni parlamentari d’inchiesta e i collaboratori di giustizia quali fonti dotate di statuto proprio e di limiti propri. La risorsa specifica è il monopolio dell’azione penale e, per il Registro, la produzione di accertamenti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QUARTA — LA TIPOLOGIA DEGLI ARCHI E LE COPPIE INTER-DOMINIO</w:t>
      </w:r>
    </w:p>
    <w:p>
      <w:pPr>
        <w:spacing w:after="0" w:line="276" w:lineRule="auto"/>
        <w:ind w:firstLine="425"/>
        <w:jc w:val="both"/>
      </w:pPr>
      <w:r>
        <w:rPr>
          <w:rFonts w:ascii="Times New Roman" w:hAnsi="Times New Roman" w:cs="Times New Roman" w:eastAsia="Times New Roman"/>
          <w:rFonts w:ascii="Times New Roman" w:hAnsi="Times New Roman"/>
          <w:b w:val="0"/>
          <w:sz w:val="24"/>
        </w:rPr>
        <w:t>Gli archi che collegano nodi di Domini diversi si classificano secondo sei tipi. L’</w:t>
      </w:r>
      <w:r>
        <w:rPr>
          <w:rFonts w:ascii="Times New Roman" w:hAnsi="Times New Roman" w:cs="Times New Roman" w:eastAsia="Times New Roman"/>
          <w:rFonts w:ascii="Times New Roman" w:hAnsi="Times New Roman"/>
          <w:b/>
          <w:sz w:val="24"/>
        </w:rPr>
        <w:t>arco di collusione</w:t>
      </w:r>
      <w:r>
        <w:rPr>
          <w:rFonts w:ascii="Times New Roman" w:hAnsi="Times New Roman" w:cs="Times New Roman" w:eastAsia="Times New Roman"/>
          <w:rFonts w:ascii="Times New Roman" w:hAnsi="Times New Roman"/>
          <w:b w:val="0"/>
          <w:sz w:val="24"/>
        </w:rPr>
        <w:t xml:space="preserve"> lega due attori in relazione stabile e reciprocamente vantaggiosa, in violazione delle regole di entrambi i Domini. L’</w:t>
      </w:r>
      <w:r>
        <w:rPr>
          <w:rFonts w:ascii="Times New Roman" w:hAnsi="Times New Roman" w:cs="Times New Roman" w:eastAsia="Times New Roman"/>
          <w:rFonts w:ascii="Times New Roman" w:hAnsi="Times New Roman"/>
          <w:b/>
          <w:sz w:val="24"/>
        </w:rPr>
        <w:t>arco di strumentalizzazione</w:t>
      </w:r>
      <w:r>
        <w:rPr>
          <w:rFonts w:ascii="Times New Roman" w:hAnsi="Times New Roman" w:cs="Times New Roman" w:eastAsia="Times New Roman"/>
          <w:rFonts w:ascii="Times New Roman" w:hAnsi="Times New Roman"/>
          <w:b w:val="0"/>
          <w:sz w:val="24"/>
        </w:rPr>
        <w:t xml:space="preserve"> vede un attore usare l’altro come mezzo, senza che questi ne sia necessariamente consapevole. L’</w:t>
      </w:r>
      <w:r>
        <w:rPr>
          <w:rFonts w:ascii="Times New Roman" w:hAnsi="Times New Roman" w:cs="Times New Roman" w:eastAsia="Times New Roman"/>
          <w:rFonts w:ascii="Times New Roman" w:hAnsi="Times New Roman"/>
          <w:b/>
          <w:sz w:val="24"/>
        </w:rPr>
        <w:t>arco di infiltrazione</w:t>
      </w:r>
      <w:r>
        <w:rPr>
          <w:rFonts w:ascii="Times New Roman" w:hAnsi="Times New Roman" w:cs="Times New Roman" w:eastAsia="Times New Roman"/>
          <w:rFonts w:ascii="Times New Roman" w:hAnsi="Times New Roman"/>
          <w:b w:val="0"/>
          <w:sz w:val="24"/>
        </w:rPr>
        <w:t xml:space="preserve"> vede un attore penetrare formalmente nell’altro Dominio mantenendo la lealtà originaria, e rende ambigua l’appartenenza del nodo. L’</w:t>
      </w:r>
      <w:r>
        <w:rPr>
          <w:rFonts w:ascii="Times New Roman" w:hAnsi="Times New Roman" w:cs="Times New Roman" w:eastAsia="Times New Roman"/>
          <w:rFonts w:ascii="Times New Roman" w:hAnsi="Times New Roman"/>
          <w:b/>
          <w:sz w:val="24"/>
        </w:rPr>
        <w:t>arco di convergenza</w:t>
      </w:r>
      <w:r>
        <w:rPr>
          <w:rFonts w:ascii="Times New Roman" w:hAnsi="Times New Roman" w:cs="Times New Roman" w:eastAsia="Times New Roman"/>
          <w:rFonts w:ascii="Times New Roman" w:hAnsi="Times New Roman"/>
          <w:b w:val="0"/>
          <w:sz w:val="24"/>
        </w:rPr>
        <w:t xml:space="preserve"> collega attori privi di relazione diretta le cui azioni producono effetti convergenti su un terzo Dominio: è il tipo più difficile da accertare, perché non presuppone contatto e la convergenza può essere tanto intenzionale quanto emergente. L’</w:t>
      </w:r>
      <w:r>
        <w:rPr>
          <w:rFonts w:ascii="Times New Roman" w:hAnsi="Times New Roman" w:cs="Times New Roman" w:eastAsia="Times New Roman"/>
          <w:rFonts w:ascii="Times New Roman" w:hAnsi="Times New Roman"/>
          <w:b/>
          <w:sz w:val="24"/>
        </w:rPr>
        <w:t>arco di transito</w:t>
      </w:r>
      <w:r>
        <w:rPr>
          <w:rFonts w:ascii="Times New Roman" w:hAnsi="Times New Roman" w:cs="Times New Roman" w:eastAsia="Times New Roman"/>
          <w:rFonts w:ascii="Times New Roman" w:hAnsi="Times New Roman"/>
          <w:b w:val="0"/>
          <w:sz w:val="24"/>
        </w:rPr>
        <w:t xml:space="preserve"> descrive un flusso — denaro, armi, informazioni, protezione — che attraversa la rete per una sequenza di intermediari. L’</w:t>
      </w:r>
      <w:r>
        <w:rPr>
          <w:rFonts w:ascii="Times New Roman" w:hAnsi="Times New Roman" w:cs="Times New Roman" w:eastAsia="Times New Roman"/>
          <w:rFonts w:ascii="Times New Roman" w:hAnsi="Times New Roman"/>
          <w:b/>
          <w:sz w:val="24"/>
        </w:rPr>
        <w:t>arco di ospitalità o santuario</w:t>
      </w:r>
      <w:r>
        <w:rPr>
          <w:rFonts w:ascii="Times New Roman" w:hAnsi="Times New Roman" w:cs="Times New Roman" w:eastAsia="Times New Roman"/>
          <w:rFonts w:ascii="Times New Roman" w:hAnsi="Times New Roman"/>
          <w:b w:val="0"/>
          <w:sz w:val="24"/>
        </w:rPr>
        <w:t xml:space="preserve"> descrive la messa a disposizione di uno spazio, materiale o istituzionale, che consente all’altro di operare senza che vi sia necessariamente condivisione di fini.</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calcolo condotto sul sottocorpus identifica come empiricamente più dense, per il caso Moro, le coppie fra il settimo e il terzo Dominio, fra il settimo e il secondo, fra il terzo e il nono, fra il secondo e il quinto, fra il primo e il settimo, fra l’ottavo e il secondo, fra il decimo e il settimo. Risultano rade, e per ciò stesso potenzialmente più rivelatrici ove documentate, le coppie fra il quinto e il settimo Dominio e fra il sesto e il settimo. La densità di una coppia misura la frequenza della sua tematizzazione nelle fonti e non la sua verità: una coppia densa può essere densa perché molto discussa, non perché molto accertata, e questa distinzione è mantenuta per tutto il Registro.</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QUINTA — REGISTRO DEI NODI</w:t>
      </w:r>
    </w:p>
    <w:p>
      <w:pPr>
        <w:spacing w:after="120" w:line="276" w:lineRule="auto" w:before="320"/>
        <w:jc w:val="left"/>
      </w:pPr>
      <w:r>
        <w:rPr>
          <w:rFonts w:ascii="Times New Roman" w:hAnsi="Times New Roman" w:cs="Times New Roman" w:eastAsia="Times New Roman"/>
          <w:rFonts w:ascii="Times New Roman" w:hAnsi="Times New Roman"/>
          <w:b/>
          <w:sz w:val="24"/>
        </w:rPr>
        <w:t>Nodo centrale</w:t>
      </w:r>
    </w:p>
    <w:p>
      <w:pPr>
        <w:spacing w:after="0" w:line="276" w:lineRule="auto"/>
        <w:ind w:firstLine="425"/>
        <w:jc w:val="both"/>
      </w:pPr>
      <w:r>
        <w:rPr>
          <w:rFonts w:ascii="Times New Roman" w:hAnsi="Times New Roman" w:cs="Times New Roman" w:eastAsia="Times New Roman"/>
          <w:rFonts w:ascii="Times New Roman" w:hAnsi="Times New Roman"/>
          <w:b/>
          <w:sz w:val="24"/>
        </w:rPr>
        <w:t>Aldo Moro.</w:t>
      </w:r>
      <w:r>
        <w:rPr>
          <w:rFonts w:ascii="Times New Roman" w:hAnsi="Times New Roman" w:cs="Times New Roman" w:eastAsia="Times New Roman"/>
          <w:rFonts w:ascii="Times New Roman" w:hAnsi="Times New Roman"/>
          <w:b w:val="0"/>
          <w:sz w:val="24"/>
        </w:rPr>
        <w:t xml:space="preserve"> Presidente della Democrazia Cristiana, più volte Presidente del Consiglio e Ministro degli esteri, artefice della formula politica che nella primavera del millenovecentosettantotto stava per condurre il Partito Comunista Italiano alla maggioranza di governo. Il corpus degli scritti e degli interventi dal millenovecentotrentadue al millenovecentosettantotto, presente nel sottocorpus, consente di trattarlo non solo come vittima ma come autore, e questa è la scelta del Registro: la sua produzione intellettuale e politica è essa stessa fonte, e la comparazione fra gli autografi della prigionia e la scrittura anteriore costituisce terreno filologico autonomo. Il nodo possiede la più alta centralità di grado dell’intera rete e, quel che più conta, altissima centralità di intermediazione: era il punto di passaggio obbligato fra aree politiche altrimenti disconnesse, e questa proprietà strutturale — non la sola carica — spiega la sua selezione come bersaglio.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w:t>
      </w:r>
    </w:p>
    <w:p>
      <w:pPr>
        <w:spacing w:after="120" w:line="276" w:lineRule="auto" w:before="320"/>
        <w:jc w:val="left"/>
      </w:pPr>
      <w:r>
        <w:rPr>
          <w:rFonts w:ascii="Times New Roman" w:hAnsi="Times New Roman" w:cs="Times New Roman" w:eastAsia="Times New Roman"/>
          <w:rFonts w:ascii="Times New Roman" w:hAnsi="Times New Roman"/>
          <w:b/>
          <w:sz w:val="24"/>
        </w:rPr>
        <w:t>Dominio settimo — l’organizzazione armata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sequestro di via Fani del sedici marzo millenovecentosettantotto, l’uccisione dei cinque uomini della scorta — il maresciallo Oreste Leonardi, l’appuntato Domenico Ricci, gli agenti Raffaele Iozzino e Giulio Rivera, il vicebrigadiere Francesco Zizzi — la detenzione e l’omicidio del nove maggio sono opera delle Brigate Rosse: questo è accertamento giudiziario definitivo,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ed è il nucleo duro attorno al quale ogni ipotesi ulteriore deve costruirsi senza contraddirlo. </w:t>
      </w:r>
      <w:r>
        <w:rPr>
          <w:rFonts w:ascii="Times New Roman" w:hAnsi="Times New Roman" w:cs="Times New Roman" w:eastAsia="Times New Roman"/>
          <w:rFonts w:ascii="Times New Roman" w:hAnsi="Times New Roman"/>
          <w:b/>
          <w:sz w:val="24"/>
        </w:rPr>
        <w:t>Mario Moretti</w:t>
      </w:r>
      <w:r>
        <w:rPr>
          <w:rFonts w:ascii="Times New Roman" w:hAnsi="Times New Roman" w:cs="Times New Roman" w:eastAsia="Times New Roman"/>
          <w:rFonts w:ascii="Times New Roman" w:hAnsi="Times New Roman"/>
          <w:b w:val="0"/>
          <w:sz w:val="24"/>
        </w:rPr>
        <w:t xml:space="preserve">, capo della colonna romana e membro del comitato esecutivo, ha ammesso di essere l’esecutore materiale dell’omicidio: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w:t>
      </w:r>
      <w:r>
        <w:rPr>
          <w:rFonts w:ascii="Times New Roman" w:hAnsi="Times New Roman" w:cs="Times New Roman" w:eastAsia="Times New Roman"/>
          <w:rFonts w:ascii="Times New Roman" w:hAnsi="Times New Roman"/>
          <w:b/>
          <w:sz w:val="24"/>
        </w:rPr>
        <w:t>Valerio Morucci</w:t>
      </w:r>
      <w:r>
        <w:rPr>
          <w:rFonts w:ascii="Times New Roman" w:hAnsi="Times New Roman" w:cs="Times New Roman" w:eastAsia="Times New Roman"/>
          <w:rFonts w:ascii="Times New Roman" w:hAnsi="Times New Roman"/>
          <w:b w:val="0"/>
          <w:sz w:val="24"/>
        </w:rPr>
        <w:t xml:space="preserve"> e </w:t>
      </w:r>
      <w:r>
        <w:rPr>
          <w:rFonts w:ascii="Times New Roman" w:hAnsi="Times New Roman" w:cs="Times New Roman" w:eastAsia="Times New Roman"/>
          <w:rFonts w:ascii="Times New Roman" w:hAnsi="Times New Roman"/>
          <w:b/>
          <w:sz w:val="24"/>
        </w:rPr>
        <w:t>Adriana Faranda</w:t>
      </w:r>
      <w:r>
        <w:rPr>
          <w:rFonts w:ascii="Times New Roman" w:hAnsi="Times New Roman" w:cs="Times New Roman" w:eastAsia="Times New Roman"/>
          <w:rFonts w:ascii="Times New Roman" w:hAnsi="Times New Roman"/>
          <w:b w:val="0"/>
          <w:sz w:val="24"/>
        </w:rPr>
        <w:t xml:space="preserve">, appartenenti alla colonna romana, sono autori del memoriale che per decenni ha costituito la ricostruzione di riferimento del sequestro: la loro partecipazione è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mentre la completezza e la veridicità integrale della loro ricostruzione è oggetto di contestazione esplicita negli atti della seconda Commissione, che la dichiara infondata quanto al teorema che ne è stato tratto — asserzione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in quanto proveniente da relazione parlamentare circostanziata.</w:t>
      </w:r>
    </w:p>
    <w:p>
      <w:pPr>
        <w:spacing w:after="0" w:line="276" w:lineRule="auto"/>
        <w:ind w:firstLine="425"/>
        <w:jc w:val="both"/>
      </w:pPr>
      <w:r>
        <w:rPr>
          <w:rFonts w:ascii="Times New Roman" w:hAnsi="Times New Roman" w:cs="Times New Roman" w:eastAsia="Times New Roman"/>
          <w:rFonts w:ascii="Times New Roman" w:hAnsi="Times New Roman"/>
          <w:b/>
          <w:sz w:val="24"/>
        </w:rPr>
        <w:t>Prospero Gallinari</w:t>
      </w:r>
      <w:r>
        <w:rPr>
          <w:rFonts w:ascii="Times New Roman" w:hAnsi="Times New Roman" w:cs="Times New Roman" w:eastAsia="Times New Roman"/>
          <w:rFonts w:ascii="Times New Roman" w:hAnsi="Times New Roman"/>
          <w:b w:val="0"/>
          <w:sz w:val="24"/>
        </w:rPr>
        <w:t xml:space="preserve">, ferito e arrestato nel settembre millenovecentosettantanove, e </w:t>
      </w:r>
      <w:r>
        <w:rPr>
          <w:rFonts w:ascii="Times New Roman" w:hAnsi="Times New Roman" w:cs="Times New Roman" w:eastAsia="Times New Roman"/>
          <w:rFonts w:ascii="Times New Roman" w:hAnsi="Times New Roman"/>
          <w:b/>
          <w:sz w:val="24"/>
        </w:rPr>
        <w:t>Anna Laura Braghetti</w:t>
      </w:r>
      <w:r>
        <w:rPr>
          <w:rFonts w:ascii="Times New Roman" w:hAnsi="Times New Roman" w:cs="Times New Roman" w:eastAsia="Times New Roman"/>
          <w:rFonts w:ascii="Times New Roman" w:hAnsi="Times New Roman"/>
          <w:b w:val="0"/>
          <w:sz w:val="24"/>
        </w:rPr>
        <w:t xml:space="preserve">, arrestata nel maggio millenovecentottanta, sono nodi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alla seconda era intestato l’appartamento di via Camillo Montalcini, sede della prigione. </w:t>
      </w:r>
      <w:r>
        <w:rPr>
          <w:rFonts w:ascii="Times New Roman" w:hAnsi="Times New Roman" w:cs="Times New Roman" w:eastAsia="Times New Roman"/>
          <w:rFonts w:ascii="Times New Roman" w:hAnsi="Times New Roman"/>
          <w:b/>
          <w:sz w:val="24"/>
        </w:rPr>
        <w:t>Barbara Balzerani</w:t>
      </w:r>
      <w:r>
        <w:rPr>
          <w:rFonts w:ascii="Times New Roman" w:hAnsi="Times New Roman" w:cs="Times New Roman" w:eastAsia="Times New Roman"/>
          <w:rFonts w:ascii="Times New Roman" w:hAnsi="Times New Roman"/>
          <w:b w:val="0"/>
          <w:sz w:val="24"/>
        </w:rPr>
        <w:t xml:space="preserve">, </w:t>
      </w:r>
      <w:r>
        <w:rPr>
          <w:rFonts w:ascii="Times New Roman" w:hAnsi="Times New Roman" w:cs="Times New Roman" w:eastAsia="Times New Roman"/>
          <w:rFonts w:ascii="Times New Roman" w:hAnsi="Times New Roman"/>
          <w:b/>
          <w:sz w:val="24"/>
        </w:rPr>
        <w:t>Corrado Alunni</w:t>
      </w:r>
      <w:r>
        <w:rPr>
          <w:rFonts w:ascii="Times New Roman" w:hAnsi="Times New Roman" w:cs="Times New Roman" w:eastAsia="Times New Roman"/>
          <w:rFonts w:ascii="Times New Roman" w:hAnsi="Times New Roman"/>
          <w:b w:val="0"/>
          <w:sz w:val="24"/>
        </w:rPr>
        <w:t xml:space="preserve">, </w:t>
      </w:r>
      <w:r>
        <w:rPr>
          <w:rFonts w:ascii="Times New Roman" w:hAnsi="Times New Roman" w:cs="Times New Roman" w:eastAsia="Times New Roman"/>
          <w:rFonts w:ascii="Times New Roman" w:hAnsi="Times New Roman"/>
          <w:b/>
          <w:sz w:val="24"/>
        </w:rPr>
        <w:t>Renato Curcio</w:t>
      </w:r>
      <w:r>
        <w:rPr>
          <w:rFonts w:ascii="Times New Roman" w:hAnsi="Times New Roman" w:cs="Times New Roman" w:eastAsia="Times New Roman"/>
          <w:rFonts w:ascii="Times New Roman" w:hAnsi="Times New Roman"/>
          <w:b w:val="0"/>
          <w:sz w:val="24"/>
        </w:rPr>
        <w:t xml:space="preserve"> e </w:t>
      </w:r>
      <w:r>
        <w:rPr>
          <w:rFonts w:ascii="Times New Roman" w:hAnsi="Times New Roman" w:cs="Times New Roman" w:eastAsia="Times New Roman"/>
          <w:rFonts w:ascii="Times New Roman" w:hAnsi="Times New Roman"/>
          <w:b/>
          <w:sz w:val="24"/>
        </w:rPr>
        <w:t>Alberto Franceschini</w:t>
      </w:r>
      <w:r>
        <w:rPr>
          <w:rFonts w:ascii="Times New Roman" w:hAnsi="Times New Roman" w:cs="Times New Roman" w:eastAsia="Times New Roman"/>
          <w:rFonts w:ascii="Times New Roman" w:hAnsi="Times New Roman"/>
          <w:b w:val="0"/>
          <w:sz w:val="24"/>
        </w:rPr>
        <w:t xml:space="preserve"> compaiono nel corpus con posizioni e livelli differenziati, i primi due quali militanti operativi nel periodo, gli ultimi due quali fondatori già detenuti al momento dei fatti e successivamente fonti dichiarative il cui statuto va valutato caso per caso — il corpus registra esplicitamente la circostanza che uno di essi abbia fatto della dissociazione e dell’insinuazione contro l’organizzazione una linea costante, avvertenza che il Registro recepisce come cautela sulla fonte e non come giudizio sulla persona.</w:t>
      </w:r>
    </w:p>
    <w:p>
      <w:pPr>
        <w:spacing w:after="120" w:line="276" w:lineRule="auto" w:before="320"/>
        <w:jc w:val="left"/>
      </w:pPr>
      <w:r>
        <w:rPr>
          <w:rFonts w:ascii="Times New Roman" w:hAnsi="Times New Roman" w:cs="Times New Roman" w:eastAsia="Times New Roman"/>
          <w:rFonts w:ascii="Times New Roman" w:hAnsi="Times New Roman"/>
          <w:b/>
          <w:sz w:val="24"/>
        </w:rPr>
        <w:t>Dominio terzo — apparati informativi e comitati</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w:t>
      </w:r>
      <w:r>
        <w:rPr>
          <w:rFonts w:ascii="Times New Roman" w:hAnsi="Times New Roman" w:cs="Times New Roman" w:eastAsia="Times New Roman"/>
          <w:rFonts w:ascii="Times New Roman" w:hAnsi="Times New Roman"/>
          <w:b/>
          <w:sz w:val="24"/>
        </w:rPr>
        <w:t>comitato di crisi</w:t>
      </w:r>
      <w:r>
        <w:rPr>
          <w:rFonts w:ascii="Times New Roman" w:hAnsi="Times New Roman" w:cs="Times New Roman" w:eastAsia="Times New Roman"/>
          <w:rFonts w:ascii="Times New Roman" w:hAnsi="Times New Roman"/>
          <w:b w:val="0"/>
          <w:sz w:val="24"/>
        </w:rPr>
        <w:t xml:space="preserve"> costituito presso il Ministero dell’interno è nodo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quanto alla sua esistenza, composizione e funzionamento. </w:t>
      </w:r>
      <w:r>
        <w:rPr>
          <w:rFonts w:ascii="Times New Roman" w:hAnsi="Times New Roman" w:cs="Times New Roman" w:eastAsia="Times New Roman"/>
          <w:rFonts w:ascii="Times New Roman" w:hAnsi="Times New Roman"/>
          <w:b/>
          <w:sz w:val="24"/>
        </w:rPr>
        <w:t>Steve Pieczenik</w:t>
      </w:r>
      <w:r>
        <w:rPr>
          <w:rFonts w:ascii="Times New Roman" w:hAnsi="Times New Roman" w:cs="Times New Roman" w:eastAsia="Times New Roman"/>
          <w:rFonts w:ascii="Times New Roman" w:hAnsi="Times New Roman"/>
          <w:b w:val="0"/>
          <w:sz w:val="24"/>
        </w:rPr>
        <w:t xml:space="preserve">, consulente statunitense presente a Roma in quei giorni con funzioni di consulenza sulla gestione della crisi, è nodo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quanto alla sua presenza e al suo ruolo consultivo, documentati; le sue dichiarazioni successive, nelle quali afferma di avere messo in moto una manipolazione strategica che condusse alla morte di Moro al fine di stabilizzare la situazione italiana, sono </w:t>
      </w:r>
      <w:r>
        <w:rPr>
          <w:rFonts w:ascii="Times New Roman" w:hAnsi="Times New Roman" w:cs="Times New Roman" w:eastAsia="Times New Roman"/>
          <w:rFonts w:ascii="Times New Roman" w:hAnsi="Times New Roman"/>
          <w:b/>
          <w:sz w:val="24"/>
        </w:rPr>
        <w:t>autodichiarazioni rese a distanza di decenni</w:t>
      </w:r>
      <w:r>
        <w:rPr>
          <w:rFonts w:ascii="Times New Roman" w:hAnsi="Times New Roman" w:cs="Times New Roman" w:eastAsia="Times New Roman"/>
          <w:rFonts w:ascii="Times New Roman" w:hAnsi="Times New Roman"/>
          <w:b w:val="0"/>
          <w:sz w:val="24"/>
        </w:rPr>
        <w:t xml:space="preserve"> e restano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esse costituiscono segnalazione investigativa di primo rilievo e non accertamento, poiché una dichiarazione autoaccusatoria non riscontrata non è più affidabile di una dichiarazione eteroaccusatoria non riscontrata, e la sua spettacolarità ne accresce la diffusione senza accrescerne il valore probatorio. Che cosa la eleverebbe: un riscontro documentale coevo, negli archivi statunitensi o italiani, di direttive corrispondenti a quanto dichiarato.</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circostanza che documenti di un servizio informativo straniero attestino, secondo quanto riferito da magistrati che ne ebbero visione all’estero, una conoscenza anticipata dell’intenzione di rapire Moro comunicata ai corrispondenti italiani, e che di tale documento non vi sia traccia negli archivi nazionali, è asserzione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allo stato del corpus: essa poggia sul racconto della visione e non sul documento. Che cosa la eleverebbe: l’acquisizione del documento o del riscontro archivistico della comunicazione. La sua rilevanza è tale da giustificare l’apertura di una specifica linea di ricerca, che il Registro dichiara aperta.</w:t>
      </w:r>
    </w:p>
    <w:p>
      <w:pPr>
        <w:spacing w:after="120" w:line="276" w:lineRule="auto" w:before="320"/>
        <w:jc w:val="left"/>
      </w:pPr>
      <w:r>
        <w:rPr>
          <w:rFonts w:ascii="Times New Roman" w:hAnsi="Times New Roman" w:cs="Times New Roman" w:eastAsia="Times New Roman"/>
          <w:rFonts w:ascii="Times New Roman" w:hAnsi="Times New Roman"/>
          <w:b/>
          <w:sz w:val="24"/>
        </w:rPr>
        <w:t>Dominio quinto — la mediazione religiosa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L’iniziativa personale del Pontefice in favore di una soluzione che salvasse la vita del prigioniero è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L’esistenza di un canale di ritorno ecclesiastico attraverso il quale corrispondenza o messaggi transitarono è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sostenuta da dichiarazioni convergenti di familiari e da acquisizioni della seconda Commissione; l’identificazione nominativa del sacerdote che lo avrebbe costituito è riferita nel corpus da dichiarazione di un congiunto della vittima e resta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quanto all’indicazione,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quanto all’estensione e ai contenuti del canale. La presenza di un cappellano con funzioni di raccordo verso ambienti carcerari e la sua relazione con altri interlocutori sono nel corpus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w:t>
      </w:r>
    </w:p>
    <w:p>
      <w:pPr>
        <w:spacing w:after="120" w:line="276" w:lineRule="auto" w:before="320"/>
        <w:jc w:val="left"/>
      </w:pPr>
      <w:r>
        <w:rPr>
          <w:rFonts w:ascii="Times New Roman" w:hAnsi="Times New Roman" w:cs="Times New Roman" w:eastAsia="Times New Roman"/>
          <w:rFonts w:ascii="Times New Roman" w:hAnsi="Times New Roman"/>
          <w:b/>
          <w:sz w:val="24"/>
        </w:rPr>
        <w:t>Dominio primo — criminalità organizzata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w:t>
      </w:r>
      <w:r>
        <w:rPr>
          <w:rFonts w:ascii="Times New Roman" w:hAnsi="Times New Roman" w:cs="Times New Roman" w:eastAsia="Times New Roman"/>
          <w:rFonts w:ascii="Times New Roman" w:hAnsi="Times New Roman"/>
          <w:b/>
          <w:sz w:val="24"/>
        </w:rPr>
        <w:t>falso comunicato numero sette</w:t>
      </w:r>
      <w:r>
        <w:rPr>
          <w:rFonts w:ascii="Times New Roman" w:hAnsi="Times New Roman" w:cs="Times New Roman" w:eastAsia="Times New Roman"/>
          <w:rFonts w:ascii="Times New Roman" w:hAnsi="Times New Roman"/>
          <w:b w:val="0"/>
          <w:sz w:val="24"/>
        </w:rPr>
        <w:t xml:space="preserve"> del diciotto aprile millenovecentosettantotto, che annunciava l’uccisione del prigioniero e la sepoltura nel lago della Duchessa, è attribuito a un falsario contiguo alla banda della Magliana: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La circostanza che uomini della banda abbiano condotto ricerche sul luogo di detenzione su richiesta veicolata da ambienti della camorra, e che una fonte interna abbia indicato la zona e persino la via poi rivelatasi sede di un covo, è riferita da dichiarazioni di collaboratori e resta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essa è priva, allo stato del corpus, di riscontro documentale coevo, e la sua struttura narrativa — l’informazione giusta ignorata — è precisamente quella che il paradigma indiziario impone di trattare con la massima diffidenza, poiché è la forma che la memoria retrospettiva assume più spontaneamente. Che cosa la eleverebbe: un atto coevo che documenti la trasmissione dell’informazione.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L’accusa mossa da un collaboratore calabrese a un esponente di rilievo della criminalità organizzata calabrese di essere stato presente in via Fani è </w:t>
      </w:r>
      <w:r>
        <w:rPr>
          <w:rFonts w:ascii="Times New Roman" w:hAnsi="Times New Roman" w:cs="Times New Roman" w:eastAsia="Times New Roman"/>
          <w:rFonts w:ascii="Times New Roman" w:hAnsi="Times New Roman"/>
          <w:b/>
          <w:sz w:val="24"/>
        </w:rPr>
        <w:t>dichiarazione singola non riscontrata</w:t>
      </w:r>
      <w:r>
        <w:rPr>
          <w:rFonts w:ascii="Times New Roman" w:hAnsi="Times New Roman" w:cs="Times New Roman" w:eastAsia="Times New Roman"/>
          <w:rFonts w:ascii="Times New Roman" w:hAnsi="Times New Roman"/>
          <w:b w:val="0"/>
          <w:sz w:val="24"/>
        </w:rPr>
        <w:t xml:space="preserve"> e resta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Il Registro la registra perché registrata negli atti, e la mantiene al livello che le compete; osserva inoltre che l’asserzione più generale della presenza in via Fani di soggetti estranei all’organizzazione armata è affermazione ricorrente nel corpus, sostenuta in sede parlamentare e contestata in sede giudiziaria, e che il suo statuto è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quanto all’identificazione di chiunque,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quanto alla sussistenza di elementi che hanno indotto una Commissione parlamentare a ritenerla non esclusa.</w:t>
      </w:r>
    </w:p>
    <w:p>
      <w:pPr>
        <w:spacing w:after="120" w:line="276" w:lineRule="auto" w:before="320"/>
        <w:jc w:val="left"/>
      </w:pPr>
      <w:r>
        <w:rPr>
          <w:rFonts w:ascii="Times New Roman" w:hAnsi="Times New Roman" w:cs="Times New Roman" w:eastAsia="Times New Roman"/>
          <w:rFonts w:ascii="Times New Roman" w:hAnsi="Times New Roman"/>
          <w:b/>
          <w:sz w:val="24"/>
        </w:rPr>
        <w:t>Dominio ottavo e Dominio quarto</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giornalista direttore della testata di informazione riservata, ucciso nel marzo millenovecentosettantanove, è nodo di intersezione fra informazione, apparati e politica: la sua uccisione e i suoi rapporti sono oggetto dei due procedimenti presenti nel corpus, e il suo interesse per la vicenda Moro vi è documentato —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La relazione parlamentare sulla loggia dedica all’affare Moro una propria sezione: l’esistenza di attività informative sulla vicenda condotte nell’ambito documentato dalla relazione, e la trasmissione di valutazioni riferibili al capo della loggia a un appartenente al servizio, sono asserzioni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in quanto fondate su testimonianza resa a magistrato e riportata in relazione parlamentare.</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SESTA — I CINQUANTACINQUE GIORNI: CRONOLOGIA STRUTTURALE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cronologia che segue non è un racconto ma una griglia di ancoraggio: essa serve a fissare le date rispetto alle quali si misurano le coincidenze temporali del settimo Pattern, e riporta soltanto ciò che è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rinviando alle sezioni precedenti per le asserzioni di livello inferiore.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sedici marzo millenovecentosettantotto, in via Mario Fani a Roma, un commando delle Brigate Rosse rapisce Aldo Moro e uccide i cinque uomini della scorta. La data non è casuale rispetto al calendario politico: quel giorno la Camera è convocata per la fiducia al governo che per la prima volta nella storia repubblicana si regge sull’astensione concordata del Partito Comunista Italiano, esito del disegno politico del quale il sequestrato era l’artefice. La coincidenza è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quanto al fatto e costituisce, per la sua precisione, un elemento diagnostico che qualunque ipotesi deve saper spiegare.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Nei giorni successivi si costituisce presso il Ministero dell’interno la struttura di gestione della crisi; il sistema politico si divide fra la linea della fermezza, che esclude ogni trattativa con l’organizzazione, e la linea che ammette forme di contatto. Il prigioniero scrive: le lettere indirizzate a esponenti politici, a familiari, alle autorità ecclesiastiche costituiscono corpus autografo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quanto all’autenticità materiale, e sono oggetto di analisi filologica autonoma quanto all’interpretazione, poiché la questione se e in quale misura esse esprimano la volontà libera dello scrivente è stata posta fin dai giorni stessi ed è tuttora discussa.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diciotto aprile viene diffuso un comunicato apocrifo che annuncia la morte del prigioniero indicandone la sepoltura in un lago dell’Appennino; nello stesso giorno è scoperto in via Gradoli un appartamento utilizzato dall’organizzazione. La contiguità delle due circostanze nella medesima giornata è dato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ed è una delle anomalie temporali più forti dell’intera vicenda, nel senso preciso del paradigma indiziario: essa non prova nulla da sola e nessuna spiegazione può essere data per acquisita, ma è esattamente il tipo di dettaglio marginale che il metodo impone di non archiviare. Il Registro la iscrive fra le questioni aperte con la nota che la spiegazione della coincidenza è, allo stato, indeterminata fra almeno tre letture concorrenti — casualità, effetto di una medesima fonte informativa che agisce su due piani, operazione deliberata di depistaggio sincronizzata con un’azione di polizia — nessuna delle quali il corpus consente di privilegiare oltre il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nove maggio il corpo di Aldo Moro è rinvenuto in via Michelangelo Caetani, nel bagagliaio di un’autovettura, in posizione equidistante fra le sedi dei due maggiori partiti. La scelta del luogo è, in sé, atto comunicativo: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quanto al fatto, oggetto di interpretazione quanto al significato.</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Due date successive appartengono alla cronologia strutturale del caso perché ne mutano il quadro documentale. Il primo ottobre millenovecentosettantotto, in un appartamento milanese di via Monte Nevoso, viene rinvenuta una prima parte degli scritti della prigionia; nell’ottobre millenovecentonovanta, nel medesimo immobile, ne viene rinvenuta una seconda e più ampia parte. La duplicazione del ritrovamento a dodici anni di distanza, nello stesso luogo, è dato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e costituisce il maggiore problema documentale del caso, poiché ogni ricostruzione fondata sulla prima tranche è stata elaborata nell’ignoranza della seconda.</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SETTIMA — I PATTERN ANALITICI APPLICATI</w:t>
      </w:r>
    </w:p>
    <w:p>
      <w:pPr>
        <w:spacing w:after="0" w:line="276" w:lineRule="auto"/>
        <w:ind w:firstLine="425"/>
        <w:jc w:val="both"/>
      </w:pPr>
      <w:r>
        <w:rPr>
          <w:rFonts w:ascii="Times New Roman" w:hAnsi="Times New Roman" w:cs="Times New Roman" w:eastAsia="Times New Roman"/>
          <w:rFonts w:ascii="Times New Roman" w:hAnsi="Times New Roman"/>
          <w:b w:val="0"/>
          <w:sz w:val="24"/>
        </w:rPr>
        <w:t>I Pattern non sono ipotesi preconcette ma regolarità emergenti dalla rete, identificate dopo la sua costruzione secondo il principio della costruzione dal basso di Glaser e Strauss. Se ne applicano al caso Moro i seguenti.</w:t>
      </w:r>
    </w:p>
    <w:p>
      <w:pPr>
        <w:spacing w:after="0" w:line="276" w:lineRule="auto"/>
        <w:ind w:firstLine="425"/>
        <w:jc w:val="both"/>
      </w:pPr>
      <w:r>
        <w:rPr>
          <w:rFonts w:ascii="Times New Roman" w:hAnsi="Times New Roman" w:cs="Times New Roman" w:eastAsia="Times New Roman"/>
          <w:rFonts w:ascii="Times New Roman" w:hAnsi="Times New Roman"/>
          <w:b/>
          <w:sz w:val="24"/>
        </w:rPr>
        <w:t>Primo Pattern, analisi dei nodi centrali.</w:t>
      </w:r>
      <w:r>
        <w:rPr>
          <w:rFonts w:ascii="Times New Roman" w:hAnsi="Times New Roman" w:cs="Times New Roman" w:eastAsia="Times New Roman"/>
          <w:rFonts w:ascii="Times New Roman" w:hAnsi="Times New Roman"/>
          <w:b w:val="0"/>
          <w:sz w:val="24"/>
        </w:rPr>
        <w:t xml:space="preserve"> Calcolate le quattro misure di centralità, il nodo della vittima domina per grado e per intermediazione; ma la misura diagnosticamente più interessante è la centralità di prossimità applicata ai nodi degli apparati, poiché essa misura la capacità di mobilitare risorse eterogenee in tempi brevi, e nei cinquantacinque giorni tale capacità fu esercitata in misura assai inferiore a quella teoricamente disponibile. Questo scarto — fra la capacità strutturale della rete istituzionale e la sua prestazione effettiva — è un dato oggettivo che chiede spiegazione e che le ipotesi concorrenti spiegano in modi opposti.</w:t>
      </w:r>
    </w:p>
    <w:p>
      <w:pPr>
        <w:spacing w:after="0" w:line="276" w:lineRule="auto"/>
        <w:ind w:firstLine="425"/>
        <w:jc w:val="both"/>
      </w:pPr>
      <w:r>
        <w:rPr>
          <w:rFonts w:ascii="Times New Roman" w:hAnsi="Times New Roman" w:cs="Times New Roman" w:eastAsia="Times New Roman"/>
          <w:rFonts w:ascii="Times New Roman" w:hAnsi="Times New Roman"/>
          <w:b/>
          <w:sz w:val="24"/>
        </w:rPr>
        <w:t>Secondo Pattern, identificazione dei cluster.</w:t>
      </w:r>
      <w:r>
        <w:rPr>
          <w:rFonts w:ascii="Times New Roman" w:hAnsi="Times New Roman" w:cs="Times New Roman" w:eastAsia="Times New Roman"/>
          <w:rFonts w:ascii="Times New Roman" w:hAnsi="Times New Roman"/>
          <w:b w:val="0"/>
          <w:sz w:val="24"/>
        </w:rPr>
        <w:t xml:space="preserve"> L’applicazione di algoritmi di rilevazione delle comunità alla rete del caso individua un aggregato che riunisce nodi dell’ottavo, del quarto e del terzo Dominio attorno alla circolazione di informazione riservata sulla vicenda. Il criterio di validazione richiede che almeno un evento storico documentato confermi l’azione coordinata dei membri: allo stato, il criterio non è soddisfatto e l’aggregato resta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ossia comunità statistica e non struttura operativa accertata.</w:t>
      </w:r>
    </w:p>
    <w:p>
      <w:pPr>
        <w:spacing w:after="0" w:line="276" w:lineRule="auto"/>
        <w:ind w:firstLine="425"/>
        <w:jc w:val="both"/>
      </w:pPr>
      <w:r>
        <w:rPr>
          <w:rFonts w:ascii="Times New Roman" w:hAnsi="Times New Roman" w:cs="Times New Roman" w:eastAsia="Times New Roman"/>
          <w:rFonts w:ascii="Times New Roman" w:hAnsi="Times New Roman"/>
          <w:b/>
          <w:sz w:val="24"/>
        </w:rPr>
        <w:t>Terzo Pattern, analisi delle coincidenze temporali.</w:t>
      </w:r>
      <w:r>
        <w:rPr>
          <w:rFonts w:ascii="Times New Roman" w:hAnsi="Times New Roman" w:cs="Times New Roman" w:eastAsia="Times New Roman"/>
          <w:rFonts w:ascii="Times New Roman" w:hAnsi="Times New Roman"/>
          <w:b w:val="0"/>
          <w:sz w:val="24"/>
        </w:rPr>
        <w:t xml:space="preserve"> La finestra del diciotto aprile, con la contestualità fra comunicato apocrifo e scoperta del covo, è la coincidenza a più alta significatività dell’intera serie. Il criterio di validazione è statistico e richiede che la probabilità del caso sia inferiore alla soglia convenzionale; la valutazione formale richiede la conversione della lacuna stenografica, poiché la datazione fine di numerosi eventi collaterali è contenuta in quel materiale.</w:t>
      </w:r>
    </w:p>
    <w:p>
      <w:pPr>
        <w:spacing w:after="0" w:line="276" w:lineRule="auto"/>
        <w:ind w:firstLine="425"/>
        <w:jc w:val="both"/>
      </w:pPr>
      <w:r>
        <w:rPr>
          <w:rFonts w:ascii="Times New Roman" w:hAnsi="Times New Roman" w:cs="Times New Roman" w:eastAsia="Times New Roman"/>
          <w:rFonts w:ascii="Times New Roman" w:hAnsi="Times New Roman"/>
          <w:b/>
          <w:sz w:val="24"/>
        </w:rPr>
        <w:t>Quinto Pattern, analisi dei buchi strutturali.</w:t>
      </w:r>
      <w:r>
        <w:rPr>
          <w:rFonts w:ascii="Times New Roman" w:hAnsi="Times New Roman" w:cs="Times New Roman" w:eastAsia="Times New Roman"/>
          <w:rFonts w:ascii="Times New Roman" w:hAnsi="Times New Roman"/>
          <w:b w:val="0"/>
          <w:sz w:val="24"/>
        </w:rPr>
        <w:t xml:space="preserve"> Il Registro segnala come buco strutturale significativo l’assenza, nel corpus, di documentazione coeva relativa alla circolazione interna dell’informazione fra la struttura di crisi e i reparti operativi. L’assenza di una connessione attesa è dato altrettanto significativo di una connessione presente e può indicare compartimentazione intenzionale, conflitto, oppure lacuna documentale: le tre letture sono equiprobabili allo stato e nessuna è affermata.</w:t>
      </w:r>
    </w:p>
    <w:p>
      <w:pPr>
        <w:spacing w:after="0" w:line="276" w:lineRule="auto"/>
        <w:ind w:firstLine="425"/>
        <w:jc w:val="both"/>
      </w:pPr>
      <w:r>
        <w:rPr>
          <w:rFonts w:ascii="Times New Roman" w:hAnsi="Times New Roman" w:cs="Times New Roman" w:eastAsia="Times New Roman"/>
          <w:rFonts w:ascii="Times New Roman" w:hAnsi="Times New Roman"/>
          <w:b/>
          <w:sz w:val="24"/>
        </w:rPr>
        <w:t>Sesto Pattern, analisi delle ipotesi concorrenti.</w:t>
      </w:r>
      <w:r>
        <w:rPr>
          <w:rFonts w:ascii="Times New Roman" w:hAnsi="Times New Roman" w:cs="Times New Roman" w:eastAsia="Times New Roman"/>
          <w:rFonts w:ascii="Times New Roman" w:hAnsi="Times New Roman"/>
          <w:b w:val="0"/>
          <w:sz w:val="24"/>
        </w:rPr>
        <w:t xml:space="preserve"> È il Pattern che governa la Parte ottava e che nel caso Moro assume rilievo dirimente.</w:t>
      </w:r>
    </w:p>
    <w:p>
      <w:pPr>
        <w:spacing w:after="0" w:line="276" w:lineRule="auto"/>
        <w:ind w:firstLine="425"/>
        <w:jc w:val="both"/>
      </w:pPr>
      <w:r>
        <w:rPr>
          <w:rFonts w:ascii="Times New Roman" w:hAnsi="Times New Roman" w:cs="Times New Roman" w:eastAsia="Times New Roman"/>
          <w:rFonts w:ascii="Times New Roman" w:hAnsi="Times New Roman"/>
          <w:b/>
          <w:sz w:val="24"/>
        </w:rPr>
        <w:t>Ottavo Pattern, analisi dello sfruttamento delle crisi.</w:t>
      </w:r>
      <w:r>
        <w:rPr>
          <w:rFonts w:ascii="Times New Roman" w:hAnsi="Times New Roman" w:cs="Times New Roman" w:eastAsia="Times New Roman"/>
          <w:rFonts w:ascii="Times New Roman" w:hAnsi="Times New Roman"/>
          <w:b w:val="0"/>
          <w:sz w:val="24"/>
        </w:rPr>
        <w:t xml:space="preserve"> Il sequestro costituisce evento perturbativo che rende temporaneamente porosi i confini fra i Domini, sospende regole e moltiplica le opportunità. La misurazione della variazione di densità inter-dominio prima, durante e dopo i cinquantacinque giorni mostra un incremento marcato nel periodo, con assestamento successivo su un livello superiore a quello iniziale: dato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che è compatibile con ipotesi diverse e non ne privilegia alcuna.</w:t>
      </w:r>
    </w:p>
    <w:p>
      <w:pPr>
        <w:spacing w:after="0" w:line="276" w:lineRule="auto"/>
        <w:ind w:firstLine="425"/>
        <w:jc w:val="both"/>
      </w:pPr>
      <w:r>
        <w:rPr>
          <w:rFonts w:ascii="Times New Roman" w:hAnsi="Times New Roman" w:cs="Times New Roman" w:eastAsia="Times New Roman"/>
          <w:rFonts w:ascii="Times New Roman" w:hAnsi="Times New Roman"/>
          <w:b/>
          <w:sz w:val="24"/>
        </w:rPr>
        <w:t>Undicesimo Pattern, isomorfismo strutturale.</w:t>
      </w:r>
      <w:r>
        <w:rPr>
          <w:rFonts w:ascii="Times New Roman" w:hAnsi="Times New Roman" w:cs="Times New Roman" w:eastAsia="Times New Roman"/>
          <w:rFonts w:ascii="Times New Roman" w:hAnsi="Times New Roman"/>
          <w:b w:val="0"/>
          <w:sz w:val="24"/>
        </w:rPr>
        <w:t xml:space="preserve"> La struttura della gestione della crisi — un nucleo ristretto che irradia verso i vertici di più Domini — presenta somiglianza topologica con altre strutture presenti nel corpus generale della materia. La somiglianza può indicare origine comune, necessità funzionale o convergenza indipendente, e la sola somiglianza non discrimina fra le tre: nel caso Moro il Registro propende per la necessità funzionale, poiché ogni gestione di crisi produce quella topologia, e classifica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ogni lettura che ne inferisca origine comune.</w:t>
      </w:r>
    </w:p>
    <w:p>
      <w:pPr>
        <w:spacing w:after="0" w:line="276" w:lineRule="auto"/>
        <w:ind w:firstLine="425"/>
        <w:jc w:val="both"/>
      </w:pPr>
      <w:r>
        <w:rPr>
          <w:rFonts w:ascii="Times New Roman" w:hAnsi="Times New Roman" w:cs="Times New Roman" w:eastAsia="Times New Roman"/>
          <w:rFonts w:ascii="Times New Roman" w:hAnsi="Times New Roman"/>
          <w:b/>
          <w:sz w:val="24"/>
        </w:rPr>
        <w:t>Quindicesimo Pattern, parole sentinella.</w:t>
      </w:r>
      <w:r>
        <w:rPr>
          <w:rFonts w:ascii="Times New Roman" w:hAnsi="Times New Roman" w:cs="Times New Roman" w:eastAsia="Times New Roman"/>
          <w:rFonts w:ascii="Times New Roman" w:hAnsi="Times New Roman"/>
          <w:b w:val="0"/>
          <w:sz w:val="24"/>
        </w:rPr>
        <w:t xml:space="preserve"> Applicato al corpus autografo della prigionia, il Pattern confronta gli usi lessicali e le forme abbreviative dello scrivente con quelli attestati nella produzione anteriore, per rilevare discontinuità che possano indicare condizionamento, dettatura o interpolazione. Il corpus degli scritti dal millenovecentotrentadue al millenovecentosettantotto, presente nel sottocorpus, rende l’operazione possibile su base statistica. Il Pattern è dichiarato </w:t>
      </w:r>
      <w:r>
        <w:rPr>
          <w:rFonts w:ascii="Times New Roman" w:hAnsi="Times New Roman" w:cs="Times New Roman" w:eastAsia="Times New Roman"/>
          <w:rFonts w:ascii="Times New Roman" w:hAnsi="Times New Roman"/>
          <w:b/>
          <w:sz w:val="24"/>
        </w:rPr>
        <w:t>operativo e aperto</w:t>
      </w:r>
      <w:r>
        <w:rPr>
          <w:rFonts w:ascii="Times New Roman" w:hAnsi="Times New Roman" w:cs="Times New Roman" w:eastAsia="Times New Roman"/>
          <w:rFonts w:ascii="Times New Roman" w:hAnsi="Times New Roman"/>
          <w:b w:val="0"/>
          <w:sz w:val="24"/>
        </w:rPr>
        <w:t>: costituisce la linea di ricerca filologica propria di questo Registro.</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OTTAVA — LE IPOTESI CONCORRENTI E I TEST DI FALSIFICAZIONE</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Registro formula cinque ipotesi concorrenti sulla natura del sequestro e della sua gestione, e le tratta come in competizione secondo la metodologia dell’analisi delle ipotesi concorrenti di Richards Heuer: l’ipotesi che prevale non è quella con più evidenze a favore — poiché tutte, in questa materia, ne accumulano — ma quella meno contraddetta dalle evidenze disponibili.</w:t>
      </w:r>
    </w:p>
    <w:p>
      <w:pPr>
        <w:spacing w:after="0" w:line="276" w:lineRule="auto"/>
        <w:ind w:firstLine="425"/>
        <w:jc w:val="both"/>
      </w:pPr>
      <w:r>
        <w:rPr>
          <w:rFonts w:ascii="Times New Roman" w:hAnsi="Times New Roman" w:cs="Times New Roman" w:eastAsia="Times New Roman"/>
          <w:rFonts w:ascii="Times New Roman" w:hAnsi="Times New Roman"/>
          <w:b/>
          <w:sz w:val="24"/>
        </w:rPr>
        <w:t>Ipotesi prima, dell’autosufficienza.</w:t>
      </w:r>
      <w:r>
        <w:rPr>
          <w:rFonts w:ascii="Times New Roman" w:hAnsi="Times New Roman" w:cs="Times New Roman" w:eastAsia="Times New Roman"/>
          <w:rFonts w:ascii="Times New Roman" w:hAnsi="Times New Roman"/>
          <w:b w:val="0"/>
          <w:sz w:val="24"/>
        </w:rPr>
        <w:t xml:space="preserve"> Le Brigate Rosse concepirono, eseguirono e conclusero il sequestro autonomamente, con risorse proprie; la loro efficacia si spiega con la preparazione, con la debolezza degli apparati di prevenzione e con la sottovalutazione del fenomeno; le anomalie della vicenda si spiegano con l’inefficienza, non con il disegno. Questa ipotesi coincide sostanzialmente con l’accertamento giudiziario definitivo ed è </w:t>
      </w:r>
      <w:r>
        <w:rPr>
          <w:rFonts w:ascii="Times New Roman" w:hAnsi="Times New Roman" w:cs="Times New Roman" w:eastAsia="Times New Roman"/>
          <w:rFonts w:ascii="Times New Roman" w:hAnsi="Times New Roman"/>
          <w:b/>
          <w:sz w:val="24"/>
        </w:rPr>
        <w:t>l’ipotesi più economica e meglio sostenuta</w:t>
      </w:r>
      <w:r>
        <w:rPr>
          <w:rFonts w:ascii="Times New Roman" w:hAnsi="Times New Roman" w:cs="Times New Roman" w:eastAsia="Times New Roman"/>
          <w:rFonts w:ascii="Times New Roman" w:hAnsi="Times New Roman"/>
          <w:b w:val="0"/>
          <w:sz w:val="24"/>
        </w:rPr>
        <w:t xml:space="preserve">. Il Registro la mantiene permanentemente attiva come </w:t>
      </w:r>
      <w:r>
        <w:rPr>
          <w:rFonts w:ascii="Times New Roman" w:hAnsi="Times New Roman" w:cs="Times New Roman" w:eastAsia="Times New Roman"/>
          <w:rFonts w:ascii="Times New Roman" w:hAnsi="Times New Roman"/>
          <w:b/>
          <w:sz w:val="24"/>
        </w:rPr>
        <w:t>falsificatore più forte</w:t>
      </w:r>
      <w:r>
        <w:rPr>
          <w:rFonts w:ascii="Times New Roman" w:hAnsi="Times New Roman" w:cs="Times New Roman" w:eastAsia="Times New Roman"/>
          <w:rFonts w:ascii="Times New Roman" w:hAnsi="Times New Roman"/>
          <w:b w:val="0"/>
          <w:sz w:val="24"/>
        </w:rPr>
        <w:t xml:space="preserve"> di ogni ipotesi alternativa, con la funzione che nel Registro generale dell’opera è assegnata alla tesi di Alan Milward: nessuna ipotesi ulteriore può essere accolta se non spiega ciò che questa già spiega, e meglio.</w:t>
      </w:r>
    </w:p>
    <w:p>
      <w:pPr>
        <w:spacing w:after="0" w:line="276" w:lineRule="auto"/>
        <w:ind w:firstLine="425"/>
        <w:jc w:val="both"/>
      </w:pPr>
      <w:r>
        <w:rPr>
          <w:rFonts w:ascii="Times New Roman" w:hAnsi="Times New Roman" w:cs="Times New Roman" w:eastAsia="Times New Roman"/>
          <w:rFonts w:ascii="Times New Roman" w:hAnsi="Times New Roman"/>
          <w:b/>
          <w:sz w:val="24"/>
        </w:rPr>
        <w:t>Ipotesi seconda, dell’eterodirezione.</w:t>
      </w:r>
      <w:r>
        <w:rPr>
          <w:rFonts w:ascii="Times New Roman" w:hAnsi="Times New Roman" w:cs="Times New Roman" w:eastAsia="Times New Roman"/>
          <w:rFonts w:ascii="Times New Roman" w:hAnsi="Times New Roman"/>
          <w:b w:val="0"/>
          <w:sz w:val="24"/>
        </w:rPr>
        <w:t xml:space="preserve"> L’organizzazione fu, in tutto o in parte, orientata dall’esterno, e attori estranei ebbero parte nella decisione, nell’esecuzione o nella conduzione. Condizioni di falsificazione: l’assenza, negli archivi accessibili, di qualunque atto direttivo o di raccordo; l’assenza di anomalie operative non spiegabili con le risorse proprie dell’organizzazione. Stato attuale: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Nessun elemento del corpus la eleva, e diversi elementi la contraddicono — segnatamente la coerenza interna della catena decisionale ricostruita in sede giudiziaria.</w:t>
      </w:r>
    </w:p>
    <w:p>
      <w:pPr>
        <w:spacing w:after="0" w:line="276" w:lineRule="auto"/>
        <w:ind w:firstLine="425"/>
        <w:jc w:val="both"/>
      </w:pPr>
      <w:r>
        <w:rPr>
          <w:rFonts w:ascii="Times New Roman" w:hAnsi="Times New Roman" w:cs="Times New Roman" w:eastAsia="Times New Roman"/>
          <w:rFonts w:ascii="Times New Roman" w:hAnsi="Times New Roman"/>
          <w:b/>
          <w:sz w:val="24"/>
        </w:rPr>
        <w:t>Ipotesi terza, del non impedimento.</w:t>
      </w:r>
      <w:r>
        <w:rPr>
          <w:rFonts w:ascii="Times New Roman" w:hAnsi="Times New Roman" w:cs="Times New Roman" w:eastAsia="Times New Roman"/>
          <w:rFonts w:ascii="Times New Roman" w:hAnsi="Times New Roman"/>
          <w:b w:val="0"/>
          <w:sz w:val="24"/>
        </w:rPr>
        <w:t xml:space="preserve"> L’organizzazione agì autonomamente, ma soggetti collocati in apparati ebbero conoscenze utili e non le impiegarono, per inerzia, per calcolo o per conflitto interno; l’effetto pratico fu di agevolare l’esito senza che vi fosse concorso. Condizioni di falsificazione: la dimostrazione che le informazioni ritenute disponibili non lo erano, o che furono trasmesse e utilizzate. Stato attuale: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con singoli segmenti che raggiungono il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ove documentati da acquisizioni parlamentari. È l’ipotesi più difficile da falsificare, e questa sua proprietà è essa stessa un problema metodologico, poiché un’ipotesi difficilmente falsificabile è per ciò stesso epistemologicamente debole, non forte.</w:t>
      </w:r>
    </w:p>
    <w:p>
      <w:pPr>
        <w:spacing w:after="0" w:line="276" w:lineRule="auto"/>
        <w:ind w:firstLine="425"/>
        <w:jc w:val="both"/>
      </w:pPr>
      <w:r>
        <w:rPr>
          <w:rFonts w:ascii="Times New Roman" w:hAnsi="Times New Roman" w:cs="Times New Roman" w:eastAsia="Times New Roman"/>
          <w:rFonts w:ascii="Times New Roman" w:hAnsi="Times New Roman"/>
          <w:b/>
          <w:sz w:val="24"/>
        </w:rPr>
        <w:t>Ipotesi quarta, della convergenza non coordinata.</w:t>
      </w:r>
      <w:r>
        <w:rPr>
          <w:rFonts w:ascii="Times New Roman" w:hAnsi="Times New Roman" w:cs="Times New Roman" w:eastAsia="Times New Roman"/>
          <w:rFonts w:ascii="Times New Roman" w:hAnsi="Times New Roman"/>
          <w:b w:val="0"/>
          <w:sz w:val="24"/>
        </w:rPr>
        <w:t xml:space="preserve"> Attori di Domini diversi, senza relazione fra loro, compirono azioni i cui effetti convergevano nel medesimo esito, ciascuno per ragioni proprie. È l’applicazione al caso dell’arco di convergenza. Condizioni di falsificazione: la dimostrazione che gli effetti non convergevano, oppure la dimostrazione che vi fu invece coordinamento — nel qual caso l’ipotesi collassa nella seconda. Stato attuale: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con l’avvertenza che questa ipotesi ha il difetto di essere compatibile con quasi ogni evidenza, e va perciò maneggiata con particolare diffidenza.</w:t>
      </w:r>
    </w:p>
    <w:p>
      <w:pPr>
        <w:spacing w:after="0" w:line="276" w:lineRule="auto"/>
        <w:ind w:firstLine="425"/>
        <w:jc w:val="both"/>
      </w:pPr>
      <w:r>
        <w:rPr>
          <w:rFonts w:ascii="Times New Roman" w:hAnsi="Times New Roman" w:cs="Times New Roman" w:eastAsia="Times New Roman"/>
          <w:rFonts w:ascii="Times New Roman" w:hAnsi="Times New Roman"/>
          <w:b/>
          <w:sz w:val="24"/>
        </w:rPr>
        <w:t>Ipotesi quinta, del primato endogeno.</w:t>
      </w:r>
      <w:r>
        <w:rPr>
          <w:rFonts w:ascii="Times New Roman" w:hAnsi="Times New Roman" w:cs="Times New Roman" w:eastAsia="Times New Roman"/>
          <w:rFonts w:ascii="Times New Roman" w:hAnsi="Times New Roman"/>
          <w:b w:val="0"/>
          <w:sz w:val="24"/>
        </w:rPr>
        <w:t xml:space="preserve"> Tanto il sequestro quanto la sua gestione si spiegano integralmente con le dinamiche interne al sistema politico italiano: la scelta della fermezza fu decisione politica autonoma, motivata da ragioni di sistema, e non richiede fattori esterni per essere compresa. Condizioni di falsificazione: la documentazione di pressioni esterne determinanti sulla decisione. Stato attuale: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quanto alla sufficienza della spiegazione politica interna, che gli atti parlamentari e la documentazione coeva sostengono.</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Applicando la griglia dei quattro test diagnostici, il quadro è il seguente. Il test del filo di paglia, né necessario né sufficiente, è superato da tutte e cinque le ipotesi, che sono tutte compatibili con l’esistenza di anomalie. Il test del cerchio, condizione necessaria, è superato dalla prima, dalla terza e dalla quinta; la seconda lo supera soltanto per singoli segmenti e non nel suo enunciato generale. Il test della pistola fumante, condizione sufficiente, non è superato da alcuna ipotesi ulteriore rispetto alla prima: non esiste, nel corpus, l’atto che chiuderebbe la questione. Il test doppiamente decisivo non è raggiunto da alcuna. </w:t>
      </w:r>
      <w:r>
        <w:rPr>
          <w:rFonts w:ascii="Times New Roman" w:hAnsi="Times New Roman" w:cs="Times New Roman" w:eastAsia="Times New Roman"/>
          <w:rFonts w:ascii="Times New Roman" w:hAnsi="Times New Roman"/>
          <w:b/>
          <w:sz w:val="24"/>
        </w:rPr>
        <w:t>Conclusione provvisoria</w:t>
      </w:r>
      <w:r>
        <w:rPr>
          <w:rFonts w:ascii="Times New Roman" w:hAnsi="Times New Roman" w:cs="Times New Roman" w:eastAsia="Times New Roman"/>
          <w:rFonts w:ascii="Times New Roman" w:hAnsi="Times New Roman"/>
          <w:b w:val="0"/>
          <w:sz w:val="24"/>
        </w:rPr>
        <w:t xml:space="preserve">: l’ipotesi prima resta la meno contraddetta e conserva il primato; le ipotesi terza e quinta sono con essa compatibili e ne costituiscono integrazioni plausibili su segmenti determinati; le ipotesi seconda e quarta restano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e non possono essere né affermate né escluse. Che cosa muterebbe questa conclusione: l’acquisizione di documentazione coeva d’archivio, italiana o straniera, attestante direttive o raccordi; la conversione e la lettura del blocco stenografico non ancora accessibile; l’esito dell’analisi filologica sul corpus autografo secondo il quindicesimo Pattern.</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NONA — REGISTRO DELLE LACUNE DICHIARATE</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Registro dichiara formalmente le proprie lacune e non le silenzia, poiché una lacuna taciuta si trasforma, nel tempo, in affermazione implicita.</w:t>
      </w:r>
    </w:p>
    <w:p>
      <w:pPr>
        <w:spacing w:after="0" w:line="276" w:lineRule="auto"/>
        <w:ind w:firstLine="425"/>
        <w:jc w:val="both"/>
      </w:pPr>
      <w:r>
        <w:rPr>
          <w:rFonts w:ascii="Times New Roman" w:hAnsi="Times New Roman" w:cs="Times New Roman" w:eastAsia="Times New Roman"/>
          <w:rFonts w:ascii="Times New Roman" w:hAnsi="Times New Roman"/>
          <w:b/>
          <w:sz w:val="24"/>
        </w:rPr>
        <w:t>Prima lacuna, stenografica e operativa.</w:t>
      </w:r>
      <w:r>
        <w:rPr>
          <w:rFonts w:ascii="Times New Roman" w:hAnsi="Times New Roman" w:cs="Times New Roman" w:eastAsia="Times New Roman"/>
          <w:rFonts w:ascii="Times New Roman" w:hAnsi="Times New Roman"/>
          <w:b w:val="0"/>
          <w:sz w:val="24"/>
        </w:rPr>
        <w:t xml:space="preserve"> Diciotto blocchi di materiale scansionato, per oltre mille immagini, contenenti resoconti di sedute e documentazione fotografica, non sono leggibili in forma testuale. È la lacuna a priorità assoluta.</w:t>
      </w:r>
    </w:p>
    <w:p>
      <w:pPr>
        <w:spacing w:after="0" w:line="276" w:lineRule="auto"/>
        <w:ind w:firstLine="425"/>
        <w:jc w:val="both"/>
      </w:pPr>
      <w:r>
        <w:rPr>
          <w:rFonts w:ascii="Times New Roman" w:hAnsi="Times New Roman" w:cs="Times New Roman" w:eastAsia="Times New Roman"/>
          <w:rFonts w:ascii="Times New Roman" w:hAnsi="Times New Roman"/>
          <w:b/>
          <w:sz w:val="24"/>
        </w:rPr>
        <w:t>Seconda lacuna, archivistica estera.</w:t>
      </w:r>
      <w:r>
        <w:rPr>
          <w:rFonts w:ascii="Times New Roman" w:hAnsi="Times New Roman" w:cs="Times New Roman" w:eastAsia="Times New Roman"/>
          <w:rFonts w:ascii="Times New Roman" w:hAnsi="Times New Roman"/>
          <w:b w:val="0"/>
          <w:sz w:val="24"/>
        </w:rPr>
        <w:t xml:space="preserve"> Non è presente nel corpus alcun documento proveniente da archivi stranieri relativo alla gestione della crisi, né alcun riscontro documentale delle dichiarazioni rese a distanza di decenni da soggetti che vi ebbero parte. La lacuna è dichiarata con la precisazione che essa impedisce, allo stato, tanto la conferma quanto la smentita di un’intera famiglia di asserzioni.</w:t>
      </w:r>
    </w:p>
    <w:p>
      <w:pPr>
        <w:spacing w:after="0" w:line="276" w:lineRule="auto"/>
        <w:ind w:firstLine="425"/>
        <w:jc w:val="both"/>
      </w:pPr>
      <w:r>
        <w:rPr>
          <w:rFonts w:ascii="Times New Roman" w:hAnsi="Times New Roman" w:cs="Times New Roman" w:eastAsia="Times New Roman"/>
          <w:rFonts w:ascii="Times New Roman" w:hAnsi="Times New Roman"/>
          <w:b/>
          <w:sz w:val="24"/>
        </w:rPr>
        <w:t>Terza lacuna, del documento informativo straniero.</w:t>
      </w:r>
      <w:r>
        <w:rPr>
          <w:rFonts w:ascii="Times New Roman" w:hAnsi="Times New Roman" w:cs="Times New Roman" w:eastAsia="Times New Roman"/>
          <w:rFonts w:ascii="Times New Roman" w:hAnsi="Times New Roman"/>
          <w:b w:val="0"/>
          <w:sz w:val="24"/>
        </w:rPr>
        <w:t xml:space="preserve"> Il documento di servizio informativo estero del quale il corpus riferisce la visione da parte di magistrati italiani non è presente né in originale né in copia, e la sua assenza dagli archivi nazionali è essa stessa asserzione da verificare.</w:t>
      </w:r>
    </w:p>
    <w:p>
      <w:pPr>
        <w:spacing w:after="0" w:line="276" w:lineRule="auto"/>
        <w:ind w:firstLine="425"/>
        <w:jc w:val="both"/>
      </w:pPr>
      <w:r>
        <w:rPr>
          <w:rFonts w:ascii="Times New Roman" w:hAnsi="Times New Roman" w:cs="Times New Roman" w:eastAsia="Times New Roman"/>
          <w:rFonts w:ascii="Times New Roman" w:hAnsi="Times New Roman"/>
          <w:b/>
          <w:sz w:val="24"/>
        </w:rPr>
        <w:t>Quarta lacuna, filologica.</w:t>
      </w:r>
      <w:r>
        <w:rPr>
          <w:rFonts w:ascii="Times New Roman" w:hAnsi="Times New Roman" w:cs="Times New Roman" w:eastAsia="Times New Roman"/>
          <w:rFonts w:ascii="Times New Roman" w:hAnsi="Times New Roman"/>
          <w:b w:val="0"/>
          <w:sz w:val="24"/>
        </w:rPr>
        <w:t xml:space="preserve"> L’analisi comparativa sistematica fra gli autografi della prigionia e la produzione anteriore, resa possibile dalla presenza del corpus integrale nel sottocorpus, non è stata ancora condotta. Essa costituisce il compito proprio del quindicesimo Pattern ed è la linea di ricerca originale di questo Registro.</w:t>
      </w:r>
    </w:p>
    <w:p>
      <w:pPr>
        <w:spacing w:after="0" w:line="276" w:lineRule="auto"/>
        <w:ind w:firstLine="425"/>
        <w:jc w:val="both"/>
      </w:pPr>
      <w:r>
        <w:rPr>
          <w:rFonts w:ascii="Times New Roman" w:hAnsi="Times New Roman" w:cs="Times New Roman" w:eastAsia="Times New Roman"/>
          <w:rFonts w:ascii="Times New Roman" w:hAnsi="Times New Roman"/>
          <w:b/>
          <w:sz w:val="24"/>
        </w:rPr>
        <w:t>Quinta lacuna, giudiziaria.</w:t>
      </w:r>
      <w:r>
        <w:rPr>
          <w:rFonts w:ascii="Times New Roman" w:hAnsi="Times New Roman" w:cs="Times New Roman" w:eastAsia="Times New Roman"/>
          <w:rFonts w:ascii="Times New Roman" w:hAnsi="Times New Roman"/>
          <w:b w:val="0"/>
          <w:sz w:val="24"/>
        </w:rPr>
        <w:t xml:space="preserve"> Il corpus contiene le sentenze dei procedimenti collaterali ma non le sentenze dei cinque processi celebrati sul sequestro. La loro acquisizione è condizione per elevare al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numerose asserzioni oggi classificate al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e per verificare la corretta attribuzione dei livelli già assegnati.</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DECIMA — CAMERA ISTRUTTORIA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Camera Istruttoria è l’organo interno del Registro che sottopone al test del documento ogni segnalazione proveniente dal calcolo. Essa opera secondo tre regole. La prima: ogni segnalazione computazionale entra come ipotesi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e non come constatazione. La seconda: il test di prossimità — la ricerca, nelle sole fonti primarie, di una finestra testuale che contenga entrambi i termini — è il primo filtro obbligatorio, con l’espressa avvertenza che esso produce falsi negativi, poiché connessioni reali possono essere espresse a distanza o con lessico non coincidente; il suo fallimento non chiude l’istruttoria ma la rinvia alla lettura di pagina, che è l’unico atto dirimente. La terza: l’espunzione di una segnalazione errata ha la medesima solennità della scoperta, ed è iscritta a registro.</w:t>
      </w:r>
    </w:p>
    <w:p>
      <w:pPr>
        <w:spacing w:after="0" w:line="276" w:lineRule="auto"/>
        <w:ind w:firstLine="425"/>
        <w:jc w:val="both"/>
      </w:pPr>
      <w:r>
        <w:rPr>
          <w:rFonts w:ascii="Times New Roman" w:hAnsi="Times New Roman" w:cs="Times New Roman" w:eastAsia="Times New Roman"/>
          <w:rFonts w:ascii="Times New Roman" w:hAnsi="Times New Roman"/>
          <w:b w:val="0"/>
          <w:sz w:val="24"/>
        </w:rPr>
        <w:t>L’estrazione condotta sul sottocorpus ha prodotto novantanove nodi attivi su centodue del lessico e un insieme di coppie inter-dominio candidate. Sottoposte al test di prossimità, ventiquattro delle venticinque coppie di controllo hanno trovato riscontro documentale diretto e sono state promosse a istruttoria di pagina, con gli esiti riferiti nella Parte quinta. Una sola coppia — quella fra un esponente della criminalità romana e il luogo indicato dal comunicato apocrifo — ha fallito il test pur essendo la connessione fra i due elementi tematizzata nel corpus per il tramite di un terzo nodo: è il caso tipico della connessione reale espressa a distanza, e come tale è rinviata alla lettura e non espunta.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Restano assegnate alla Camera, per le sessioni successive, le seguenti istruttorie. Prima: la verifica di pagina sulle coppie che associano il comitato di crisi ai nodi della mediazione religiosa, la cui prossimità non è accertata e la cui co-occorrenza potrebbe essere effetto della mole dei documenti. Seconda: l’istruttoria sulla coincidenza del diciotto aprile, che richiede la lettura del materiale stenografico. Terza: l’istruttoria filologica sul corpus autografo. Quarta: la verifica delle asserzioni fondate unicamente sulla monografia tesistica, ciascuna delle quali va risalita alla fonte primaria o mantenuta al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Registro conclude questa prima edizione con la constatazione che il metodo ha prodotto, sul caso Moro, un esito che nessuna delle narrazioni consolidate troverà soddisfacente, e che è precisamente per questo affidabile: il nucleo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è ristretto e solidissimo, la fascia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è ampia e articolata, e la maggior parte delle asserzioni che circolano come verità acquisite si colloca al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Questo non significa che siano false; significa che non sono, allo stato del corpus, dimostrate — ed è compito del Registro, nelle edizioni successive, dimostrarle o confutarle, non ripeterle.</w:t>
      </w:r>
    </w:p>
    <w:p>
      <w:pPr>
        <w:spacing w:after="120" w:line="276" w:lineRule="auto" w:before="320"/>
        <w:jc w:val="left"/>
      </w:pPr>
      <w:r>
        <w:rPr>
          <w:rFonts w:ascii="Times New Roman" w:hAnsi="Times New Roman" w:cs="Times New Roman" w:eastAsia="Times New Roman"/>
          <w:rFonts w:ascii="Times New Roman" w:hAnsi="Times New Roman"/>
          <w:b/>
          <w:sz w:val="24"/>
        </w:rPr>
        <w:t>Colophon</w:t>
      </w:r>
    </w:p>
    <w:p>
      <w:pPr>
        <w:spacing w:after="0" w:line="276" w:lineRule="auto"/>
        <w:ind w:firstLine="425"/>
        <w:jc w:val="both"/>
      </w:pPr>
      <w:r>
        <w:rPr>
          <w:rFonts w:ascii="Times New Roman" w:hAnsi="Times New Roman" w:cs="Times New Roman" w:eastAsia="Times New Roman"/>
          <w:rFonts w:ascii="Times New Roman" w:hAnsi="Times New Roman"/>
          <w:b w:val="0"/>
          <w:sz w:val="24"/>
        </w:rPr>
        <w:t>REGISTRO ANALITICO DEL CASO MORO, edizione prima, integrale, prodotta il due agosto duemilaventisei secondo il Protocollo Zero-Token e nello standard tipografico dell’opera: carattere Times New Roman di corpo dodici, formato A4, giustificazione integrale, rientro di prima riga, interlinea di uno virgola quindici, prosa continua, classificazione Savona in grassetto. Documento autonomo e autosufficiente, indipendente dal Registro Unico Federato di ITALIA NERA, con il quale condivide metodologia e architettura e dal quale non dipende per la lettura. Ogni edizione successiva del presente Registro conterrà verbatim la presente, secondo il principio di cumulatività preservativa. Resta sovrana la Regola di Ferro: dove la fonte documenta, l’opera certifica; dove la fonte tace, l’opera indaga e non afferma. Autore e direttore dell’opera: Luigi De Michele.</w:t>
      </w:r>
    </w:p>
    <w:p>
      <w:pPr>
        <w:pageBreakBefore/>
        <w:spacing w:before="240" w:after="120" w:line="276" w:lineRule="auto"/>
        <w:jc w:val="left"/>
      </w:pPr>
      <w:r>
        <w:rPr>
          <w:b/>
          <w:sz w:val="28"/>
          <w:szCs w:val="28"/>
        </w:rPr>
        <w:t xml:space="preserve">PARTE UNDICESIMA — IL PRIMO ANELLO DI PROSSIMITÀ</w:t>
      </w:r>
    </w:p>
    <w:p>
      <w:pPr>
        <w:spacing w:before="240" w:after="120" w:line="276" w:lineRule="auto"/>
        <w:jc w:val="left"/>
      </w:pPr>
      <w:r>
        <w:rPr>
          <w:b/>
          <w:sz w:val="24"/>
          <w:szCs w:val="24"/>
        </w:rPr>
        <w:t xml:space="preserve">Metodo dell’estrazione e statuto delle voci</w:t>
      </w:r>
    </w:p>
    <w:p>
      <w:pPr>
        <w:spacing w:after="0" w:line="276" w:lineRule="auto"/>
        <w:ind w:firstLine="425"/>
        <w:jc w:val="both"/>
      </w:pPr>
      <w:r>
        <w:rPr/>
        <w:t xml:space="preserve">Il Primo Anello è l’insieme dei nodi che, nelle fonti del sottocorpus, compaiono entro una finestra testuale di quattrocento caratteri da un nodo del caso. La misura è meccanica e ripetibile: per ciascuno dei trentacinque nodi-seme si sono raccolte tutte le finestre della loro ricorrenza nelle sessantatré fonti leggibili di maggiore consistenza, e in ciascuna finestra si sono rilevate le entità nominali presenti, con esclusione delle forme grammaticali comuni. Sono ammesse al Registro soltanto le entità che ricorrono almeno tre volte e in almeno due fonti distinte, sicché la soglia esclude le contiguità occasionali di una singola pagina.</w:t>
      </w:r>
    </w:p>
    <w:p>
      <w:pPr>
        <w:spacing w:after="0" w:line="276" w:lineRule="auto"/>
        <w:ind w:firstLine="425"/>
        <w:jc w:val="both"/>
      </w:pPr>
      <w:r>
        <w:rPr/>
        <w:t xml:space="preserve">Il valore della misura e insieme il suo limite vanno enunciati con precisione. La prossimità testuale è </w:t>
      </w:r>
      <w:r>
        <w:rPr>
          <w:b/>
        </w:rPr>
        <w:t xml:space="preserve">indizio di tematizzazione congiunta</w:t>
      </w:r>
      <w:r>
        <w:rPr/>
        <w:t xml:space="preserve">: essa dice che almeno due fonti hanno trattato i due elementi nel medesimo respiro argomentativo. Non dice perché lo abbiano fatto. Un nome può essere prossimo a un altro perché i due furono realmente in relazione, oppure perché una fonte li accostò per confutare la relazione, oppure perché entrambi ricorrono in un elenco, oppure per contiguità puramente redazionale — una nota a piè di pagina che cade fra due periodi estranei. Il test di prossimità produce inoltre falsi negativi, poiché connessioni reali possono essere espresse a distanza o con lessico non coincidente. Ne discende che ogni voce del Primo Anello è </w:t>
      </w:r>
      <w:r>
        <w:rPr>
          <w:b/>
        </w:rPr>
        <w:t xml:space="preserve">generatrice di ipotesi e non certificatrice di legami</w:t>
      </w:r>
      <w:r>
        <w:rPr/>
        <w:t xml:space="preserve">, e che soltanto la lettura di pagina può promuoverla. Le voci che tale lettura ha già ricevuto sono segnalate; le altre restano cronaca.</w:t>
      </w:r>
    </w:p>
    <w:p>
      <w:pPr>
        <w:spacing w:before="240" w:after="120" w:line="276" w:lineRule="auto"/>
        <w:jc w:val="left"/>
      </w:pPr>
      <w:r>
        <w:rPr>
          <w:b/>
          <w:sz w:val="24"/>
          <w:szCs w:val="24"/>
        </w:rPr>
        <w:t xml:space="preserve">Anello del nodo centrale</w:t>
      </w:r>
    </w:p>
    <w:p>
      <w:pPr>
        <w:spacing w:after="0" w:line="276" w:lineRule="auto"/>
        <w:ind w:firstLine="425"/>
        <w:jc w:val="both"/>
      </w:pPr>
      <w:r>
        <w:rPr/>
        <w:t xml:space="preserve">Attorno al nome di </w:t>
      </w:r>
      <w:r>
        <w:rPr>
          <w:b/>
        </w:rPr>
        <w:t xml:space="preserve">Aldo Moro</w:t>
      </w:r>
      <w:r>
        <w:rPr/>
        <w:t xml:space="preserve"> il primo anello raccoglie, in ordine di dispersione fra le fonti, l’Italia come contesto ricorrente, Milano, le Brigate Rosse, il nome di Andreotti, il Ministero dell’interno, il Consiglio, via Gradoli, l’Europa, il Parlamento e la denominazione dell’arma da fuoco impiegata nell’omicidio. La composizione dell’anello è, in sé, un dato: il nodo centrale è prossimo tanto alle istituzioni quanto agli esecutori, e la ricorrenza di Milano — città estranea alla dinamica romana del sequestro — si spiega con il ritrovamento degli scritti della prigionia in quella città, circostanza che il Registro ha già iscritto al </w:t>
      </w:r>
      <w:r>
        <w:rPr>
          <w:b/>
        </w:rPr>
        <w:t xml:space="preserve">Livello A</w:t>
      </w:r>
      <w:r>
        <w:rPr/>
        <w:t xml:space="preserve">.</w:t>
      </w:r>
    </w:p>
    <w:p>
      <w:pPr>
        <w:spacing w:after="0" w:line="276" w:lineRule="auto"/>
        <w:ind w:firstLine="425"/>
        <w:jc w:val="both"/>
      </w:pPr>
      <w:r>
        <w:rPr/>
        <w:t xml:space="preserve">Attorno a </w:t>
      </w:r>
      <w:r>
        <w:rPr>
          <w:b/>
        </w:rPr>
        <w:t xml:space="preserve">via Fani</w:t>
      </w:r>
      <w:r>
        <w:rPr/>
        <w:t xml:space="preserve"> il primo anello raccoglie il nome della vittima, le Brigate Rosse, la Polizia, la Questura di Roma, i Servizi, il Ministero e i nomi di Moretti e di via Gradoli. Attorno alle </w:t>
      </w:r>
      <w:r>
        <w:rPr>
          <w:b/>
        </w:rPr>
        <w:t xml:space="preserve">Brigate Rosse</w:t>
      </w:r>
      <w:r>
        <w:rPr/>
        <w:t xml:space="preserve"> l’anello si allarga alle sedi delle colonne — Milano, Torino, Firenze, Genova — e include i nomi di Franceschini, dei Carabinieri e di Feltrinelli, quest’ultimo per la trattazione delle origini dell’organizzazione e non per la vicenda Moro.</w:t>
      </w:r>
    </w:p>
    <w:p>
      <w:pPr>
        <w:spacing w:before="240" w:after="120" w:line="276" w:lineRule="auto"/>
        <w:jc w:val="left"/>
      </w:pPr>
      <w:r>
        <w:rPr>
          <w:b/>
          <w:sz w:val="24"/>
          <w:szCs w:val="24"/>
        </w:rPr>
        <w:t xml:space="preserve">Anello degli esecutori e il nucleo di via Gradoli</w:t>
      </w:r>
    </w:p>
    <w:p>
      <w:pPr>
        <w:spacing w:after="0" w:line="276" w:lineRule="auto"/>
        <w:ind w:firstLine="425"/>
        <w:jc w:val="both"/>
      </w:pPr>
      <w:r>
        <w:rPr/>
        <w:t xml:space="preserve">L’anello di </w:t>
      </w:r>
      <w:r>
        <w:rPr>
          <w:b/>
        </w:rPr>
        <w:t xml:space="preserve">Mario Moretti</w:t>
      </w:r>
      <w:r>
        <w:rPr/>
        <w:t xml:space="preserve"> comprende Curcio, Morucci, Gallinari, via Gradoli, via Montalcini e Franceschini. L’anello di </w:t>
      </w:r>
      <w:r>
        <w:rPr>
          <w:b/>
        </w:rPr>
        <w:t xml:space="preserve">Valerio Morucci</w:t>
      </w:r>
      <w:r>
        <w:rPr/>
        <w:t xml:space="preserve"> e quello di </w:t>
      </w:r>
      <w:r>
        <w:rPr>
          <w:b/>
        </w:rPr>
        <w:t xml:space="preserve">Adriana Faranda</w:t>
      </w:r>
      <w:r>
        <w:rPr/>
        <w:t xml:space="preserve"> condividono un medesimo nucleo di grande interesse: entrambi hanno come vicino di primo grado, con la più alta dispersione fra le fonti, il nome di </w:t>
      </w:r>
      <w:r>
        <w:rPr>
          <w:b/>
        </w:rPr>
        <w:t xml:space="preserve">Giuliana Conforto</w:t>
      </w:r>
      <w:r>
        <w:rPr/>
        <w:t xml:space="preserve">, insieme a viale Giulio Cesare, a Potere Operaio, all’area dell’autonomia e al nome di Piperno. Questa ricorrenza non è un artefatto: la lettura di pagina accerta che Morucci e Faranda furono arrestati il ventinove maggio millenovecentosettantanove nell’appartamento di viale Giulio Cesare intestato a Giuliana Conforto, e che in quell’appartamento fu rinvenuta la mitraglietta con la quale Aldo Moro era stato ucciso — </w:t>
      </w:r>
      <w:r>
        <w:rPr>
          <w:b/>
        </w:rPr>
        <w:t xml:space="preserve">Livello A</w:t>
      </w:r>
      <w:r>
        <w:rPr/>
        <w:t xml:space="preserve">. Il medesimo anello reca il nome di </w:t>
      </w:r>
      <w:r>
        <w:rPr>
          <w:b/>
        </w:rPr>
        <w:t xml:space="preserve">Giorgio Conforto</w:t>
      </w:r>
      <w:r>
        <w:rPr/>
        <w:t xml:space="preserve">, padre della locataria, la cui qualità di soggetto con lungo passato di collaborazione con servizi informativi è riferita nelle fonti; il Registro classifica </w:t>
      </w:r>
      <w:r>
        <w:rPr>
          <w:b/>
        </w:rPr>
        <w:t xml:space="preserve">Livello B</w:t>
      </w:r>
      <w:r>
        <w:rPr/>
        <w:t xml:space="preserve"> la circostanza della relazione familiare e dell’ospitalità, e </w:t>
      </w:r>
      <w:r>
        <w:rPr>
          <w:b/>
        </w:rPr>
        <w:t xml:space="preserve">Livello C</w:t>
      </w:r>
      <w:r>
        <w:rPr/>
        <w:t xml:space="preserve"> ogni inferenza che da essa tragga un ruolo operativo nella vicenda, ivi comprese le valutazioni rese in sede parlamentare da singoli componenti, che sono opinioni di commissari e non accertamenti della Commissione.</w:t>
      </w:r>
    </w:p>
    <w:p>
      <w:pPr>
        <w:spacing w:after="0" w:line="276" w:lineRule="auto"/>
        <w:ind w:firstLine="425"/>
        <w:jc w:val="both"/>
      </w:pPr>
      <w:r>
        <w:rPr/>
        <w:t xml:space="preserve">L’anello di </w:t>
      </w:r>
      <w:r>
        <w:rPr>
          <w:b/>
        </w:rPr>
        <w:t xml:space="preserve">via Gradoli</w:t>
      </w:r>
      <w:r>
        <w:rPr/>
        <w:t xml:space="preserve"> reca, accanto ai nomi già detti, quello di </w:t>
      </w:r>
      <w:r>
        <w:rPr>
          <w:b/>
        </w:rPr>
        <w:t xml:space="preserve">Luciana Bozzi</w:t>
      </w:r>
      <w:r>
        <w:rPr/>
        <w:t xml:space="preserve">, titolare dell’appartamento. La lettura di pagina accerta che una segnalazione della Questura di Genova a quella di Roma del ventinove giugno millenovecentosettantanove riferì il rapporto di conoscenza fra la titolare dell’appartamento di via Gradoli e la locataria di viale Giulio Cesare, maturato in ambito di ricerca scientifica presso un medesimo centro — </w:t>
      </w:r>
      <w:r>
        <w:rPr>
          <w:b/>
        </w:rPr>
        <w:t xml:space="preserve">Livello B</w:t>
      </w:r>
      <w:r>
        <w:rPr/>
        <w:t xml:space="preserve">, trattandosi di atto di polizia riferito in fonte secondaria e non ancora acquisito in originale. Il Registro registra la circostanza e si astiene dall’inferenza: che due appartamenti connessi alla vicenda facessero capo a persone che si conoscevano è dato notevole e da verificare, non conclusione.</w:t>
      </w:r>
    </w:p>
    <w:p>
      <w:pPr>
        <w:spacing w:after="0" w:line="276" w:lineRule="auto"/>
        <w:ind w:firstLine="425"/>
        <w:jc w:val="both"/>
      </w:pPr>
      <w:r>
        <w:rPr/>
        <w:t xml:space="preserve">L’anello di </w:t>
      </w:r>
      <w:r>
        <w:rPr>
          <w:b/>
        </w:rPr>
        <w:t xml:space="preserve">via Montalcini</w:t>
      </w:r>
      <w:r>
        <w:rPr/>
        <w:t xml:space="preserve"> reca i nomi di Braghetti, di Moretti, della Magliana, dell’autovettura utilizzata, di via Caetani, di Monte Nevoso e di </w:t>
      </w:r>
      <w:r>
        <w:rPr>
          <w:b/>
        </w:rPr>
        <w:t xml:space="preserve">Germano Maccari</w:t>
      </w:r>
      <w:r>
        <w:rPr/>
        <w:t xml:space="preserve">, brigatista la cui presenza nell’appartamento fu accertata soltanto in epoca successiva alle prime ricostruzioni — </w:t>
      </w:r>
      <w:r>
        <w:rPr>
          <w:b/>
        </w:rPr>
        <w:t xml:space="preserve">Livello A</w:t>
      </w:r>
      <w:r>
        <w:rPr/>
        <w:t xml:space="preserve"> quanto alla sua partecipazione, e circostanza di rilievo metodologico primario, poiché dimostra che una ricostruzione lungamente ritenuta completa era incompleta su un punto non marginale.</w:t>
      </w:r>
    </w:p>
    <w:p>
      <w:pPr>
        <w:spacing w:before="240" w:after="120" w:line="276" w:lineRule="auto"/>
        <w:jc w:val="left"/>
      </w:pPr>
      <w:r>
        <w:rPr>
          <w:b/>
          <w:sz w:val="24"/>
          <w:szCs w:val="24"/>
        </w:rPr>
        <w:t xml:space="preserve">Anello dei luoghi terminali e la questione dell’appunto telefonico</w:t>
      </w:r>
    </w:p>
    <w:p>
      <w:pPr>
        <w:spacing w:after="0" w:line="276" w:lineRule="auto"/>
        <w:ind w:firstLine="425"/>
        <w:jc w:val="both"/>
      </w:pPr>
      <w:r>
        <w:rPr/>
        <w:t xml:space="preserve">L’anello di </w:t>
      </w:r>
      <w:r>
        <w:rPr>
          <w:b/>
        </w:rPr>
        <w:t xml:space="preserve">via Caetani</w:t>
      </w:r>
      <w:r>
        <w:rPr/>
        <w:t xml:space="preserve"> reca, oltre ai nomi attesi, due voci che il lessico-seme non conteneva: </w:t>
      </w:r>
      <w:r>
        <w:rPr>
          <w:b/>
        </w:rPr>
        <w:t xml:space="preserve">Palazzo Orsini</w:t>
      </w:r>
      <w:r>
        <w:rPr/>
        <w:t xml:space="preserve"> e l’</w:t>
      </w:r>
      <w:r>
        <w:rPr>
          <w:b/>
        </w:rPr>
        <w:t xml:space="preserve">Immobiliare Savellia</w:t>
      </w:r>
      <w:r>
        <w:rPr/>
        <w:t xml:space="preserve">. La lettura di pagina accerta, su fonte parlamentare, che fra il materiale rinvenuto in via Gradoli il diciotto aprile millenovecentosettantotto figurava un appunto manoscritto recante un’utenza telefonica corrispondente a quella di una società immobiliare con sede in un palazzo storico non lontano dal luogo del ritrovamento del corpo — </w:t>
      </w:r>
      <w:r>
        <w:rPr>
          <w:b/>
        </w:rPr>
        <w:t xml:space="preserve">Livello B</w:t>
      </w:r>
      <w:r>
        <w:rPr/>
        <w:t xml:space="preserve">, in quanto asserzione contenuta in elaborato di Commissione parlamentare. La medesima fonte formula, e il Registro riporta qualificandola, la supposizione che l’ultima detenzione possa essersi svolta in quel palazzo: si tratta, nel lessico della fonte stessa, di presupposizione, e resta di </w:t>
      </w:r>
      <w:r>
        <w:rPr>
          <w:b/>
        </w:rPr>
        <w:t xml:space="preserve">Livello C</w:t>
      </w:r>
      <w:r>
        <w:rPr/>
        <w:t xml:space="preserve">. Il Registro osserva che l’appunto è dato documentale forte e la supposizione è inferenza debole, e che la loro contiguità nella medesima pagina non trasferisce la forza del primo alla seconda.</w:t>
      </w:r>
    </w:p>
    <w:p>
      <w:pPr>
        <w:spacing w:after="0" w:line="276" w:lineRule="auto"/>
        <w:ind w:firstLine="425"/>
        <w:jc w:val="both"/>
      </w:pPr>
      <w:r>
        <w:rPr/>
        <w:t xml:space="preserve">L’anello del </w:t>
      </w:r>
      <w:r>
        <w:rPr>
          <w:b/>
        </w:rPr>
        <w:t xml:space="preserve">lago della Duchessa</w:t>
      </w:r>
      <w:r>
        <w:rPr/>
        <w:t xml:space="preserve"> e quello del </w:t>
      </w:r>
      <w:r>
        <w:rPr>
          <w:b/>
        </w:rPr>
        <w:t xml:space="preserve">comunicato apocrifo</w:t>
      </w:r>
      <w:r>
        <w:rPr/>
        <w:t xml:space="preserve"> convergono sul nome di </w:t>
      </w:r>
      <w:r>
        <w:rPr>
          <w:b/>
        </w:rPr>
        <w:t xml:space="preserve">Antonio Chichiarelli</w:t>
      </w:r>
      <w:r>
        <w:rPr/>
        <w:t xml:space="preserve">, falsario, cui la confezione del falso è attribuita — </w:t>
      </w:r>
      <w:r>
        <w:rPr>
          <w:b/>
        </w:rPr>
        <w:t xml:space="preserve">Livello B</w:t>
      </w:r>
      <w:r>
        <w:rPr/>
        <w:t xml:space="preserve">. L’anello del </w:t>
      </w:r>
      <w:r>
        <w:rPr>
          <w:b/>
        </w:rPr>
        <w:t xml:space="preserve">lago</w:t>
      </w:r>
      <w:r>
        <w:rPr/>
        <w:t xml:space="preserve"> reca inoltre i nomi di esponenti della banda della Magliana, e quello della </w:t>
      </w:r>
      <w:r>
        <w:rPr>
          <w:b/>
        </w:rPr>
        <w:t xml:space="preserve">seduta spiritica</w:t>
      </w:r>
      <w:r>
        <w:rPr/>
        <w:t xml:space="preserve"> reca, con la più alta ricorrenza, il nome di via Gradoli, insieme alla località emiliana ove la riunione si tenne. La contiguità fra questi anelli e la coincidenza temporale del diciotto aprile è la maggiore concentrazione di anomalie dell’intera vicenda: il Registro la iscrive come questione aperta e ribadisce che nessuna delle letture concorrenti supera il </w:t>
      </w:r>
      <w:r>
        <w:rPr>
          <w:b/>
        </w:rPr>
        <w:t xml:space="preserve">Livello C</w:t>
      </w:r>
      <w:r>
        <w:rPr/>
        <w:t xml:space="preserve">.</w:t>
      </w:r>
    </w:p>
    <w:p>
      <w:pPr>
        <w:spacing w:before="240" w:after="120" w:line="276" w:lineRule="auto"/>
        <w:jc w:val="left"/>
      </w:pPr>
      <w:r>
        <w:rPr>
          <w:b/>
          <w:sz w:val="24"/>
          <w:szCs w:val="24"/>
        </w:rPr>
        <w:t xml:space="preserve">Anello degli apparati e delle mediazioni</w:t>
      </w:r>
    </w:p>
    <w:p>
      <w:pPr>
        <w:spacing w:after="0" w:line="276" w:lineRule="auto"/>
        <w:ind w:firstLine="425"/>
        <w:jc w:val="both"/>
      </w:pPr>
      <w:r>
        <w:rPr/>
        <w:t xml:space="preserve">L’anello del </w:t>
      </w:r>
      <w:r>
        <w:rPr>
          <w:b/>
        </w:rPr>
        <w:t xml:space="preserve">comitato di crisi</w:t>
      </w:r>
      <w:r>
        <w:rPr/>
        <w:t xml:space="preserve"> è, per numero di vicini, il più povero dell’intera estrazione, e questo è esso stesso un dato: la struttura che avrebbe dovuto essere il centro nervoso della gestione è, nelle fonti, la meno documentata nei suoi rapporti. Il solo vicino che superi la soglia è il nome di </w:t>
      </w:r>
      <w:r>
        <w:rPr>
          <w:b/>
        </w:rPr>
        <w:t xml:space="preserve">Franco Ferracuti</w:t>
      </w:r>
      <w:r>
        <w:rPr/>
        <w:t xml:space="preserve">, criminologo e psichiatra che ne fu consulente e la cui appartenenza alla loggia oggetto della relazione parlamentare è documentata — </w:t>
      </w:r>
      <w:r>
        <w:rPr>
          <w:b/>
        </w:rPr>
        <w:t xml:space="preserve">Livello B</w:t>
      </w:r>
      <w:r>
        <w:rPr/>
        <w:t xml:space="preserve">. La povertà di questo anello va letta insieme al buco strutturale già iscritto nel quinto Pattern, e conferma che la circolazione interna dell’informazione fra struttura di crisi e reparti operativi è, allo stato del corpus, la maggiore zona d’ombra documentale del caso.</w:t>
      </w:r>
    </w:p>
    <w:p>
      <w:pPr>
        <w:spacing w:after="0" w:line="276" w:lineRule="auto"/>
        <w:ind w:firstLine="425"/>
        <w:jc w:val="both"/>
      </w:pPr>
      <w:r>
        <w:rPr/>
        <w:t xml:space="preserve">L’anello del consulente straniero reca i nomi del Ministero, del Viminale, del comitato, di Gelli e di Kissinger. La compresenza di questi nomi entro le medesime finestre non attesta alcuna relazione fra i loro portatori: attesta che le fonti li trattano nel medesimo contesto argomentativo, e la fonte che più contribuisce a questa compresenza è la monografia tesistica già qualificata nell’Indice di Contaminazione. </w:t>
      </w:r>
      <w:r>
        <w:rPr>
          <w:b/>
        </w:rPr>
        <w:t xml:space="preserve">Livello C</w:t>
      </w:r>
      <w:r>
        <w:rPr/>
        <w:t xml:space="preserve"> in quanto legame, senza eccezioni.</w:t>
      </w:r>
    </w:p>
    <w:p>
      <w:pPr>
        <w:spacing w:after="0" w:line="276" w:lineRule="auto"/>
        <w:ind w:firstLine="425"/>
        <w:jc w:val="both"/>
      </w:pPr>
      <w:r>
        <w:rPr/>
        <w:t xml:space="preserve">L’anello del canale ecclesiastico reca i nomi dell’istituto vaticano, della Santa Sede, del segretario particolare del Pontefice e di un ex parlamentare che ne riferì in sede di audizione. Il Registro conferma la classificazione già data: </w:t>
      </w:r>
      <w:r>
        <w:rPr>
          <w:b/>
        </w:rPr>
        <w:t xml:space="preserve">Livello A</w:t>
      </w:r>
      <w:r>
        <w:rPr/>
        <w:t xml:space="preserve"> per l’iniziativa personale del Pontefice, </w:t>
      </w:r>
      <w:r>
        <w:rPr>
          <w:b/>
        </w:rPr>
        <w:t xml:space="preserve">Livello B</w:t>
      </w:r>
      <w:r>
        <w:rPr/>
        <w:t xml:space="preserve"> per l’esistenza del canale, </w:t>
      </w:r>
      <w:r>
        <w:rPr>
          <w:b/>
        </w:rPr>
        <w:t xml:space="preserve">Livello C</w:t>
      </w:r>
      <w:r>
        <w:rPr/>
        <w:t xml:space="preserve"> per la sua estensione e i suoi contenuti.</w:t>
      </w:r>
    </w:p>
    <w:p>
      <w:pPr>
        <w:spacing w:before="240" w:after="120" w:line="276" w:lineRule="auto"/>
        <w:jc w:val="left"/>
      </w:pPr>
      <w:r>
        <w:rPr>
          <w:b/>
          <w:sz w:val="24"/>
          <w:szCs w:val="24"/>
        </w:rPr>
        <w:t xml:space="preserve">Anello della criminalità organizzata e del canale calabrese</w:t>
      </w:r>
    </w:p>
    <w:p>
      <w:pPr>
        <w:spacing w:after="0" w:line="276" w:lineRule="auto"/>
        <w:ind w:firstLine="425"/>
        <w:jc w:val="both"/>
      </w:pPr>
      <w:r>
        <w:rPr/>
        <w:t xml:space="preserve">L’anello della </w:t>
      </w:r>
      <w:r>
        <w:rPr>
          <w:b/>
        </w:rPr>
        <w:t xml:space="preserve">banda della Magliana</w:t>
      </w:r>
      <w:r>
        <w:rPr/>
        <w:t xml:space="preserve"> è il più popolato dell’intera estrazione dopo quelli dei nodi centrali, e reca i nomi dei suoi esponenti storici, del falsario, del giornalista poi ucciso e di via Montalcini. La ricorrenza di quest’ultima è la voce da sottoporre a istruttoria prioritaria, poiché una prossimità fra la sede della prigione e il gruppo criminale romano, se documentata da atto e non da ricostruzione, muterebbe il quadro di più asserzioni; allo stato è </w:t>
      </w:r>
      <w:r>
        <w:rPr>
          <w:b/>
        </w:rPr>
        <w:t xml:space="preserve">Livello C</w:t>
      </w:r>
      <w:r>
        <w:rPr/>
        <w:t xml:space="preserve">.</w:t>
      </w:r>
    </w:p>
    <w:p>
      <w:pPr>
        <w:spacing w:after="0" w:line="276" w:lineRule="auto"/>
        <w:ind w:firstLine="425"/>
        <w:jc w:val="both"/>
      </w:pPr>
      <w:r>
        <w:rPr/>
        <w:t xml:space="preserve">L’anello del nodo calabrese reca il nome del collaboratore che rese la dichiarazione accusatoria, quello di un ufficiale dei carabinieri operante in quell’area, e i nomi di un collaboratore politico della vittima e di un parlamentare calabrese. La lettura di pagina accerta, su fonte parlamentare, l’esistenza agli atti di una registrazione e della relativa trascrizione di una conversazione telefonica fra i due ultimi, e la circostanza che una fotografia scattata in via Fani la mattina del sequestro non risulti negli atti dell’istruttoria — </w:t>
      </w:r>
      <w:r>
        <w:rPr>
          <w:b/>
        </w:rPr>
        <w:t xml:space="preserve">Livello B</w:t>
      </w:r>
      <w:r>
        <w:rPr/>
        <w:t xml:space="preserve"> entrambe, in quanto contenute in elaborato di Commissione. La medesima fonte qualifica però la pista della presenza costante della malavita come contraddittoria e confusa e dichiara di doversi limitare alla citazione delle circostanze di fatto: il Registro recepisce integralmente questa cautela e la fa propria.</w:t>
      </w:r>
    </w:p>
    <w:p>
      <w:pPr>
        <w:spacing w:before="240" w:after="120" w:line="276" w:lineRule="auto"/>
        <w:jc w:val="left"/>
      </w:pPr>
      <w:r>
        <w:rPr>
          <w:b/>
          <w:sz w:val="24"/>
          <w:szCs w:val="24"/>
        </w:rPr>
        <w:t xml:space="preserve">Anello di Hyperion e della rete parigina</w:t>
      </w:r>
    </w:p>
    <w:p>
      <w:pPr>
        <w:spacing w:after="0" w:line="276" w:lineRule="auto"/>
        <w:ind w:firstLine="425"/>
        <w:jc w:val="both"/>
      </w:pPr>
      <w:r>
        <w:rPr/>
        <w:t xml:space="preserve">L’anello dell’istituto parigino reca i nomi di Parigi, del gruppo che ne costituì il precedente, della Francia, dei tre fondatori, di magistrati che ne trattarono e di Moretti. La lettura di pagina accerta che i fondatori furono auditi in sede parlamentare e che magistrati sostennero l’esistenza di una gravitazione dell’istituto in ambiti non meramente culturali — </w:t>
      </w:r>
      <w:r>
        <w:rPr>
          <w:b/>
        </w:rPr>
        <w:t xml:space="preserve">Livello B</w:t>
      </w:r>
      <w:r>
        <w:rPr/>
        <w:t xml:space="preserve"> quanto all’esistenza dell’istituto, alla sua fondazione e alle audizioni; </w:t>
      </w:r>
      <w:r>
        <w:rPr>
          <w:b/>
        </w:rPr>
        <w:t xml:space="preserve">Livello C</w:t>
      </w:r>
      <w:r>
        <w:rPr/>
        <w:t xml:space="preserve"> quanto alla qualificazione dell’istituto come centrale operativa e quanto a ogni catena di comando che ne discenda. Il Registro segnala che la fonte più assertiva su questo punto è la monografia tesistica, e che le sue affermazioni in materia — ivi compresa l’attribuzione a uno dei fondatori della qualità di capo effettivo di un dirigente dell’organizzazione armata — non trovano nel corpus riscontro di livello superiore.</w:t>
      </w:r>
    </w:p>
    <w:p>
      <w:pPr>
        <w:spacing w:before="240" w:after="120" w:line="276" w:lineRule="auto"/>
        <w:jc w:val="left"/>
      </w:pPr>
      <w:r>
        <w:rPr>
          <w:b/>
          <w:sz w:val="24"/>
          <w:szCs w:val="24"/>
        </w:rPr>
        <w:t xml:space="preserve">Una serie da non costruire: avvertenza sul ragionamento per elenco</w:t>
      </w:r>
    </w:p>
    <w:p>
      <w:pPr>
        <w:spacing w:after="0" w:line="276" w:lineRule="auto"/>
        <w:ind w:firstLine="425"/>
        <w:jc w:val="both"/>
      </w:pPr>
      <w:r>
        <w:rPr/>
        <w:t xml:space="preserve">Il Primo Anello fa emergere, in più fonti, una costruzione narrativa che il Registro deve isolare e qualificare perché costituisce l’esempio più istruttivo di fallacia presente nel corpus: l’elenco di coloro che, avendo avuto accesso alle carte rinvenute a Milano, sarebbero stati successivamente uccisi o sarebbero morti in circostanze anomale. L’elenco accosta un giornalista ucciso nel millenovecentosettantanove, un ufficiale ucciso nello stesso anno, un avvocato ucciso pochi giorni dopo, un generale ucciso nel millenovecentottanta, un generale ucciso nel millenovecentottantadue, un falsario ucciso, e altri.</w:t>
      </w:r>
    </w:p>
    <w:p>
      <w:pPr>
        <w:spacing w:after="0" w:line="276" w:lineRule="auto"/>
        <w:ind w:firstLine="425"/>
        <w:jc w:val="both"/>
      </w:pPr>
      <w:r>
        <w:rPr/>
        <w:t xml:space="preserve">La costruzione va respinta nella sua forma di elenco, e per ragioni che appartengono al metodo e non all’opinione. Primo: essa è </w:t>
      </w:r>
      <w:r>
        <w:rPr>
          <w:b/>
        </w:rPr>
        <w:t xml:space="preserve">costruita retrospettivamente selezionando i morti e omettendo i vivi</w:t>
      </w:r>
      <w:r>
        <w:rPr/>
        <w:t xml:space="preserve">, ossia praticando esattamente l’inferenza che Popper e Russell dichiarano illecita — si contano le conferme e non si contano le smentite, mentre il numero di persone che ebbero accesso a quelle carte e non subirono alcunché non è mai enunciato. Secondo: essa </w:t>
      </w:r>
      <w:r>
        <w:rPr>
          <w:b/>
        </w:rPr>
        <w:t xml:space="preserve">presuppone la causa nel raggruppamento</w:t>
      </w:r>
      <w:r>
        <w:rPr/>
        <w:t xml:space="preserve">, poiché almeno una delle uccisioni elencate ha una causale accertata e del tutto estranea alla vicenda, essendo riconducibile alla liquidazione di un istituto bancario, e la sua inclusione nell’elenco è possibile solo ignorando l’accertamento che la riguarda. Terzo: essa </w:t>
      </w:r>
      <w:r>
        <w:rPr>
          <w:b/>
        </w:rPr>
        <w:t xml:space="preserve">confonde la contiguità di elenco con il nesso</w:t>
      </w:r>
      <w:r>
        <w:rPr/>
        <w:t xml:space="preserve">, che è la definizione stessa dell’artefatto.</w:t>
      </w:r>
    </w:p>
    <w:p>
      <w:pPr>
        <w:spacing w:after="0" w:line="276" w:lineRule="auto"/>
        <w:ind w:firstLine="425"/>
        <w:jc w:val="both"/>
      </w:pPr>
      <w:r>
        <w:rPr/>
        <w:t xml:space="preserve">Il Registro non nega che singole morti fra quelle elencate presentino aspetti irrisolti, e alcune ne presentano; afferma che la loro </w:t>
      </w:r>
      <w:r>
        <w:rPr>
          <w:b/>
        </w:rPr>
        <w:t xml:space="preserve">serializzazione</w:t>
      </w:r>
      <w:r>
        <w:rPr/>
        <w:t xml:space="preserve"> non è un argomento, e che ciascuna va istruita separatamente, con la propria causale e il proprio livello. La voce entra dunque nel Primo Anello come cronaca di ciò che le fonti scrivono, con la qualificazione di </w:t>
      </w:r>
      <w:r>
        <w:rPr>
          <w:b/>
        </w:rPr>
        <w:t xml:space="preserve">inferenza non ammessa</w:t>
      </w:r>
      <w:r>
        <w:rPr/>
        <w:t xml:space="preserve">, e nessun elemento di essa è impiegato dal Registro a sostegno di alcuna ipotesi.</w:t>
      </w:r>
    </w:p>
    <w:p>
      <w:pPr>
        <w:spacing w:before="240" w:after="120" w:line="276" w:lineRule="auto"/>
        <w:jc w:val="left"/>
      </w:pPr>
      <w:r>
        <w:rPr>
          <w:b/>
          <w:sz w:val="24"/>
          <w:szCs w:val="24"/>
        </w:rPr>
        <w:t xml:space="preserve">Nodi nuovi ammessi al Registro dei nodi</w:t>
      </w:r>
    </w:p>
    <w:p>
      <w:pPr>
        <w:spacing w:after="0" w:line="276" w:lineRule="auto"/>
        <w:ind w:firstLine="425"/>
        <w:jc w:val="both"/>
      </w:pPr>
      <w:r>
        <w:rPr/>
        <w:t xml:space="preserve">Dall’estrazione del Primo Anello sono ammessi al Registro dei nodi, con i livelli qui indicati e con la riserva di istruttoria di pagina per quelli non ancora letti, i seguenti: Giuliana Conforto e l’appartamento di viale Giulio Cesare, </w:t>
      </w:r>
      <w:r>
        <w:rPr>
          <w:b/>
        </w:rPr>
        <w:t xml:space="preserve">Livello A</w:t>
      </w:r>
      <w:r>
        <w:rPr/>
        <w:t xml:space="preserve"> quanto all’arresto e al rinvenimento dell’arma; Giorgio Conforto, </w:t>
      </w:r>
      <w:r>
        <w:rPr>
          <w:b/>
        </w:rPr>
        <w:t xml:space="preserve">Livello B</w:t>
      </w:r>
      <w:r>
        <w:rPr/>
        <w:t xml:space="preserve"> quanto alla relazione e all’ospitalità, </w:t>
      </w:r>
      <w:r>
        <w:rPr>
          <w:b/>
        </w:rPr>
        <w:t xml:space="preserve">Livello C</w:t>
      </w:r>
      <w:r>
        <w:rPr/>
        <w:t xml:space="preserve"> quanto al ruolo; Luciana Bozzi e la titolarità dell’appartamento di via Gradoli, </w:t>
      </w:r>
      <w:r>
        <w:rPr>
          <w:b/>
        </w:rPr>
        <w:t xml:space="preserve">Livello B</w:t>
      </w:r>
      <w:r>
        <w:rPr/>
        <w:t xml:space="preserve">; Germano Maccari, </w:t>
      </w:r>
      <w:r>
        <w:rPr>
          <w:b/>
        </w:rPr>
        <w:t xml:space="preserve">Livello A</w:t>
      </w:r>
      <w:r>
        <w:rPr/>
        <w:t xml:space="preserve">; l’appunto telefonico rinvenuto in via Gradoli e la società immobiliare cui l’utenza faceva capo, </w:t>
      </w:r>
      <w:r>
        <w:rPr>
          <w:b/>
        </w:rPr>
        <w:t xml:space="preserve">Livello B</w:t>
      </w:r>
      <w:r>
        <w:rPr/>
        <w:t xml:space="preserve">; il falsario cui è attribuito il comunicato apocrifo, </w:t>
      </w:r>
      <w:r>
        <w:rPr>
          <w:b/>
        </w:rPr>
        <w:t xml:space="preserve">Livello B</w:t>
      </w:r>
      <w:r>
        <w:rPr/>
        <w:t xml:space="preserve">; il criminologo consulente della struttura di crisi, </w:t>
      </w:r>
      <w:r>
        <w:rPr>
          <w:b/>
        </w:rPr>
        <w:t xml:space="preserve">Livello B</w:t>
      </w:r>
      <w:r>
        <w:rPr/>
        <w:t xml:space="preserve">; il collaboratore politico della vittima e il parlamentare calabrese, con la conversazione telefonica agli atti, </w:t>
      </w:r>
      <w:r>
        <w:rPr>
          <w:b/>
        </w:rPr>
        <w:t xml:space="preserve">Livello B</w:t>
      </w:r>
      <w:r>
        <w:rPr/>
        <w:t xml:space="preserve">; i tre fondatori dell’istituto parigino, </w:t>
      </w:r>
      <w:r>
        <w:rPr>
          <w:b/>
        </w:rPr>
        <w:t xml:space="preserve">Livello B</w:t>
      </w:r>
      <w:r>
        <w:rPr/>
        <w:t xml:space="preserve"> quanto alla fondazione e alle audizioni; gli esponenti della banda della Magliana ricorrenti negli anelli, </w:t>
      </w:r>
      <w:r>
        <w:rPr>
          <w:b/>
        </w:rPr>
        <w:t xml:space="preserve">Livello B</w:t>
      </w:r>
      <w:r>
        <w:rPr/>
        <w:t xml:space="preserve"> quanto all’esistenza e ai profili, </w:t>
      </w:r>
      <w:r>
        <w:rPr>
          <w:b/>
        </w:rPr>
        <w:t xml:space="preserve">Livello C</w:t>
      </w:r>
      <w:r>
        <w:rPr/>
        <w:t xml:space="preserve"> quanto a ogni loro rapporto con la vicenda; l’arma impiegata nell’omicidio e il suo rinvenimento, </w:t>
      </w:r>
      <w:r>
        <w:rPr>
          <w:b/>
        </w:rPr>
        <w:t xml:space="preserve">Livello A</w:t>
      </w:r>
      <w:r>
        <w:rPr/>
        <w:t xml:space="preserve">.</w:t>
      </w:r>
    </w:p>
    <w:p>
      <w:pPr>
        <w:spacing w:before="240" w:after="120" w:line="276" w:lineRule="auto"/>
        <w:jc w:val="left"/>
      </w:pPr>
      <w:r>
        <w:rPr>
          <w:b/>
          <w:sz w:val="24"/>
          <w:szCs w:val="24"/>
        </w:rPr>
        <w:t xml:space="preserve">Assegnazioni alla Camera Istruttoria</w:t>
      </w:r>
    </w:p>
    <w:p>
      <w:pPr>
        <w:spacing w:after="0" w:line="276" w:lineRule="auto"/>
        <w:ind w:firstLine="425"/>
        <w:jc w:val="both"/>
      </w:pPr>
      <w:r>
        <w:rPr/>
        <w:t xml:space="preserve">Dal Primo Anello discendono per la Camera Istruttoria le seguenti assegnazioni, in ordine di priorità. Prima: la prossimità fra via Montalcini e il gruppo criminale romano, da risolvere per atto o da espungere. Seconda: l’appunto telefonico di via Gradoli, da risalire all’atto di sequestro e da separare nettamente dalla supposizione che vi è stata accostata. Terza: la relazione fra le titolari dei due appartamenti, da acquisire nell’atto di polizia originale. Quarta: la posizione dei fondatori dell’istituto parigino, da leggere nei verbali di audizione una volta convertito il materiale stenografico. Quinta: la verifica sistematica di ogni asserzione che nel Primo Anello poggi unicamente sulla monografia tesistica. Sesta: l’istruttoria separata di ciascuna delle morti indebitamente serializzate, con divieto di trattarle come serie.</w:t>
      </w:r>
    </w:p>
    <w:p>
      <w:pPr>
        <w:pageBreakBefore/>
        <w:spacing w:before="240" w:after="120" w:line="276" w:lineRule="auto"/>
        <w:jc w:val="left"/>
      </w:pPr>
      <w:r>
        <w:rPr>
          <w:b/>
          <w:sz w:val="28"/>
          <w:szCs w:val="28"/>
        </w:rPr>
        <w:t xml:space="preserve">COLOPHON DELL’EDIZIONE SECONDA</w:t>
      </w:r>
    </w:p>
    <w:p>
      <w:pPr>
        <w:spacing w:after="0" w:line="276" w:lineRule="auto"/>
        <w:ind w:firstLine="425"/>
        <w:jc w:val="both"/>
      </w:pPr>
      <w:r>
        <w:rPr/>
        <w:t xml:space="preserve">REGISTRO ANALITICO DEL CASO MORO, edizione seconda, con il Primo Anello di Prossimità, prodotta il due agosto duemilaventisei secondo il Protocollo Zero-Token e nello standard tipografico dell’opera: carattere Times New Roman di corpo dodici, formato A4, giustificazione integrale, rientro di prima riga, interlinea di uno virgola quindici, prosa continua, classificazione Savona in grassetto. Documento autonomo e autosufficiente, indipendente dal Registro Unico Federato di ITALIA NERA quanto a catena probatoria, apparato e istruttoria, con dichiarazione espressa e misurata del limite di tale indipendenza sul piano materiale del corpus. Incorpora verbatim l’edizione prima; ogni edizione successiva conterrà verbatim la presente. Resta sovrana la Regola di Ferro: dove la fonte documenta, l’opera certifica; dove la fonte tace, l’opera indaga e non afferma. Autore e direttore dell’opera: Luigi De Michele.</w:t>
      </w:r>
    </w:p>
    <w:p>
      <w:pPr>
        <w:pageBreakBefore/>
        <w:spacing w:before="240" w:after="120" w:line="276" w:lineRule="auto"/>
        <w:jc w:val="left"/>
      </w:pPr>
      <w:r>
        <w:rPr>
          <w:b/>
          <w:sz w:val="28"/>
          <w:szCs w:val="28"/>
        </w:rPr>
        <w:t xml:space="preserve">PARTE DODICESIMA — IL SECONDO ANELLO DI PROSSIMITÀ</w:t>
      </w:r>
    </w:p>
    <w:p>
      <w:pPr>
        <w:spacing w:before="240" w:after="120" w:line="276" w:lineRule="auto"/>
        <w:jc w:val="left"/>
      </w:pPr>
      <w:r>
        <w:rPr>
          <w:b/>
          <w:sz w:val="24"/>
          <w:szCs w:val="24"/>
        </w:rPr>
        <w:t xml:space="preserve">Metodo dell’espansione e misura della deriva</w:t>
      </w:r>
    </w:p>
    <w:p>
      <w:pPr>
        <w:spacing w:after="0" w:line="276" w:lineRule="auto"/>
        <w:ind w:firstLine="425"/>
        <w:jc w:val="both"/>
      </w:pPr>
      <w:r>
        <w:rPr/>
        <w:t xml:space="preserve">Cinquanta nodi emersi nel Primo Anello sono stati assunti come semi di secondo grado, con esclusione dei termini geografici e istituzionali generici il cui anello misurerebbe soltanto la lingua delle fonti. Di essi quarantanove risultano attivi nel corpus. Per ciascuno si sono raccolte tutte le finestre di quattrocento caratteri e se ne sono estratti i vicini con le medesime soglie dell’anello primo — almeno tre ricorrenze in almeno due fonti — computando insieme, per ogni seme, la frazione delle finestre che contiene ancora un termine del caso. Questa frazione, dichiarata voce per voce, è la misura della deriva: essa distingue i semi che nelle fonti vivono dentro il caso da quelli che vi compaiono di passaggio, appartenendo ad altre vicende.</w:t>
      </w:r>
    </w:p>
    <w:p>
      <w:pPr>
        <w:spacing w:after="0" w:line="276" w:lineRule="auto"/>
        <w:ind w:firstLine="425"/>
        <w:jc w:val="both"/>
      </w:pPr>
      <w:r>
        <w:rPr/>
        <w:t xml:space="preserve">Il gradiente misurato è il primo risultato dell’espansione, e va enunciato prima di ogni contenuto. All’estremo superiore, con affinità piena o quasi piena, stanno i nodi materiali del sequestro: il quarto uomo della prigione, l’appunto immobiliare, il canale calabrese, il contratto di via Gradoli, il canale ecclesiastico, il borsista straniero. All’estremo inferiore, con affinità inferiore a un quinto, stanno la banda romana considerata in sé, le origini dell’organizzazione armata, i vertici degli apparati, il banchiere vaticano, i depistaggi successivi: mondi che toccano il caso ma non vi appartengono, e che il Secondo Anello registra come contesto e non come caso. Fra i due estremi corre la fascia intermedia, dove si concentrano le istruttorie più delicate. La lettura che segue procede per fasce di affinità decrescente, perché questo ordine — e non quello della suggestione — è l’ordine del metodo.</w:t>
      </w:r>
    </w:p>
    <w:p>
      <w:pPr>
        <w:spacing w:before="240" w:after="120" w:line="276" w:lineRule="auto"/>
        <w:jc w:val="left"/>
      </w:pPr>
      <w:r>
        <w:rPr>
          <w:b/>
          <w:sz w:val="24"/>
          <w:szCs w:val="24"/>
        </w:rPr>
        <w:t xml:space="preserve">Fascia superiore: i nodi che vivono dentro il caso</w:t>
      </w:r>
    </w:p>
    <w:p>
      <w:pPr>
        <w:spacing w:after="0" w:line="276" w:lineRule="auto"/>
        <w:ind w:firstLine="425"/>
        <w:jc w:val="both"/>
      </w:pPr>
      <w:r>
        <w:rPr>
          <w:b/>
        </w:rPr>
        <w:t xml:space="preserve">Il quarto uomo e il quinto nome.</w:t>
      </w:r>
      <w:r>
        <w:rPr/>
        <w:t xml:space="preserve"> L’anello di Germano Maccari, ad affinità piena, reca accanto ai nomi attesi quello di </w:t>
      </w:r>
      <w:r>
        <w:rPr>
          <w:b/>
        </w:rPr>
        <w:t xml:space="preserve">Raimondo Etro</w:t>
      </w:r>
      <w:r>
        <w:rPr/>
        <w:t xml:space="preserve">, brigatista, che il corpus documenta audito dalla seconda Commissione nel gennaio duemiladiciassette — </w:t>
      </w:r>
      <w:r>
        <w:rPr>
          <w:b/>
        </w:rPr>
        <w:t xml:space="preserve">Livello A</w:t>
      </w:r>
      <w:r>
        <w:rPr/>
        <w:t xml:space="preserve"> quanto alla qualità e all’audizione. La coppia Maccari–Etro ha un significato metodologico che eccede i due nomi: entrambe le partecipazioni furono accertate in epoca successiva alle ricostruzioni a lungo ritenute complete, e la loro emersione nel medesimo anello conferma dall’interno ciò che il Registro ha già iscritto — che il perimetro degli esecutori è stato un insieme aperto assai più a lungo di quanto il racconto canonico ammettesse, e che ogni argomento fondato sulla completezza di quel perimetro va maneggiato come provvisorio.</w:t>
      </w:r>
    </w:p>
    <w:p>
      <w:pPr>
        <w:spacing w:after="0" w:line="276" w:lineRule="auto"/>
        <w:ind w:firstLine="425"/>
        <w:jc w:val="both"/>
      </w:pPr>
      <w:r>
        <w:rPr>
          <w:b/>
        </w:rPr>
        <w:t xml:space="preserve">Il musicista e il nome del vicolo.</w:t>
      </w:r>
      <w:r>
        <w:rPr/>
        <w:t xml:space="preserve"> L’anello di Igor Markevitch, ad affinità piena, si risolve alla lettura di pagina in un caso esemplare di fonte che si autoqualifica, e il Registro lo tratta come modello. L’elaborato parlamentare sulla dimensione sovranazionale ne fissa i dati biografici — musicista di origine ucraina, già sposato con la nobildonna </w:t>
      </w:r>
      <w:r>
        <w:rPr>
          <w:b/>
        </w:rPr>
        <w:t xml:space="preserve">Topazia Caetani di Sermoneta</w:t>
      </w:r>
      <w:r>
        <w:rPr/>
        <w:t xml:space="preserve"> — e questi sono </w:t>
      </w:r>
      <w:r>
        <w:rPr>
          <w:b/>
        </w:rPr>
        <w:t xml:space="preserve">Livello B</w:t>
      </w:r>
      <w:r>
        <w:rPr/>
        <w:t xml:space="preserve"> in quanto attestati da fonte parlamentare. La medesima fonte riferisce che il personaggio è ritenuto da alcuni elemento di primo piano nella struttura verticistica dell’organizzazione, e che, stando a ulteriori riletture che la fonte stessa definisce </w:t>
      </w:r>
      <w:r>
        <w:rPr>
          <w:b/>
        </w:rPr>
        <w:t xml:space="preserve">suggestive</w:t>
      </w:r>
      <w:r>
        <w:rPr/>
        <w:t xml:space="preserve">, avrebbe predisposto e gestito gli interrogatori del prigioniero: la fonte, cioè, marca da sé la distanza fra il dato e la lettura. Il Registro recepisce integralmente questa marcatura: il matrimonio è un fatto; la coincidenza fra il cognome della consorte e il nome della via del ritrovamento è un ponte onomastico che spiega perché il nodo sia stato più volte tirato in ballo; la lettura che ne fa il regista degli interrogatori resta </w:t>
      </w:r>
      <w:r>
        <w:rPr>
          <w:b/>
        </w:rPr>
        <w:t xml:space="preserve">Livello C</w:t>
      </w:r>
      <w:r>
        <w:rPr/>
        <w:t xml:space="preserve">, e vi resterebbe anche se dieci fonti la ripetessero, poiché la ripetizione di una suggestione non è una seconda fonte.</w:t>
      </w:r>
    </w:p>
    <w:p>
      <w:pPr>
        <w:spacing w:after="0" w:line="276" w:lineRule="auto"/>
        <w:ind w:firstLine="425"/>
        <w:jc w:val="both"/>
      </w:pPr>
      <w:r>
        <w:rPr>
          <w:b/>
        </w:rPr>
        <w:t xml:space="preserve">L’appunto immobiliare e il giudice.</w:t>
      </w:r>
      <w:r>
        <w:rPr/>
        <w:t xml:space="preserve"> L’anello di secondo grado dell’Immobiliare Savellia e di Palazzo Orsini precisa i termini già iscritti — l’utenza corrispondente all’appunto manoscritto rinvenuto in via Gradoli, la sede in via di Monte Savello, la marchesa il cui acronimo figurava nell’appunto — tutti di </w:t>
      </w:r>
      <w:r>
        <w:rPr>
          <w:b/>
        </w:rPr>
        <w:t xml:space="preserve">Livello B</w:t>
      </w:r>
      <w:r>
        <w:rPr/>
        <w:t xml:space="preserve"> in quanto contenuti in elaborato parlamentare. Vi emerge inoltre il nome di </w:t>
      </w:r>
      <w:r>
        <w:rPr>
          <w:b/>
        </w:rPr>
        <w:t xml:space="preserve">Ernesto Cudillo</w:t>
      </w:r>
      <w:r>
        <w:rPr/>
        <w:t xml:space="preserve">, che la lettura di pagina restituisce, su fonte diversa, quale consigliere istruttore della sentenza-ordinanza del marzo millenovecentottantatré che prosciolse con ampia formula gli imputati del procedimento sulla loggia, sentenza che la relazione parlamentare sottopone a critica espressa — </w:t>
      </w:r>
      <w:r>
        <w:rPr>
          <w:b/>
        </w:rPr>
        <w:t xml:space="preserve">Livello A</w:t>
      </w:r>
      <w:r>
        <w:rPr/>
        <w:t xml:space="preserve"> quanto all’atto e alla critica. La ragione della prossimità fra questo nome e il palazzo non è stata ancora letta in pagina: il Registro la assegna alla Camera Istruttoria e non la anticipa, limitandosi a rilevare che il medesimo nome ricorre in due luoghi sensibili del corpus per ragioni che potrebbero essere due, e indipendenti.</w:t>
      </w:r>
    </w:p>
    <w:p>
      <w:pPr>
        <w:spacing w:after="0" w:line="276" w:lineRule="auto"/>
        <w:ind w:firstLine="425"/>
        <w:jc w:val="both"/>
      </w:pPr>
      <w:r>
        <w:rPr>
          <w:b/>
        </w:rPr>
        <w:t xml:space="preserve">Il canale calabrese al secondo grado.</w:t>
      </w:r>
      <w:r>
        <w:rPr/>
        <w:t xml:space="preserve"> Gli anelli di Benito Cazora e di Sereno Freato, ad altissima affinità, portano il canale già iscritto a una precisione superiore. La lettura di pagina accerta, su fonte parlamentare, la dichiarazione di </w:t>
      </w:r>
      <w:r>
        <w:rPr>
          <w:b/>
        </w:rPr>
        <w:t xml:space="preserve">Giuseppe Messina</w:t>
      </w:r>
      <w:r>
        <w:rPr/>
        <w:t xml:space="preserve"> di avere ricevuto da </w:t>
      </w:r>
      <w:r>
        <w:rPr>
          <w:b/>
        </w:rPr>
        <w:t xml:space="preserve">Flavio Carboni</w:t>
      </w:r>
      <w:r>
        <w:rPr/>
        <w:t xml:space="preserve"> l’invito a incontrare, insieme al parlamentare calabrese, uno dei capi della mafia siciliana, e la circostanza che come luogo dell’incontro fu indicato come possibile </w:t>
      </w:r>
      <w:r>
        <w:rPr>
          <w:b/>
        </w:rPr>
        <w:t xml:space="preserve">un ufficio della Procura generale presso la Corte d’appello di Roma</w:t>
      </w:r>
      <w:r>
        <w:rPr/>
        <w:t xml:space="preserve"> — </w:t>
      </w:r>
      <w:r>
        <w:rPr>
          <w:b/>
        </w:rPr>
        <w:t xml:space="preserve">Livello B</w:t>
      </w:r>
      <w:r>
        <w:rPr/>
        <w:t xml:space="preserve"> quanto alla dichiarazione riferita in elaborato parlamentare, </w:t>
      </w:r>
      <w:r>
        <w:rPr>
          <w:b/>
        </w:rPr>
        <w:t xml:space="preserve">Livello C</w:t>
      </w:r>
      <w:r>
        <w:rPr/>
        <w:t xml:space="preserve"> quanto alla effettività dell’incontro. Il Registro rileva che questa singola finestra congiunge in un solo periodo il primo, il secondo, il sesto e il decimo Dominio, e che precisamente per questo va maneggiata con il massimo rigore: essa resta una dichiarazione, e la sua forza suggestiva non ne muta il livello. Nell’anello di Freato ricorre inoltre il nome di una società di trasporto valori che rimanda a vicende del decennio successivo: la ragione della prossimità non è stata letta e resta assegnata alla Camera.</w:t>
      </w:r>
    </w:p>
    <w:p>
      <w:pPr>
        <w:spacing w:after="0" w:line="276" w:lineRule="auto"/>
        <w:ind w:firstLine="425"/>
        <w:jc w:val="both"/>
      </w:pPr>
      <w:r>
        <w:rPr>
          <w:b/>
        </w:rPr>
        <w:t xml:space="preserve">Il borsista e l’assistente.</w:t>
      </w:r>
      <w:r>
        <w:rPr/>
        <w:t xml:space="preserve"> L’anello del nome Sokolov si risolve alla lettura nella testimonianza del professor </w:t>
      </w:r>
      <w:r>
        <w:rPr>
          <w:b/>
        </w:rPr>
        <w:t xml:space="preserve">Franco Tritto</w:t>
      </w:r>
      <w:r>
        <w:rPr/>
        <w:t xml:space="preserve">, assistente universitario della vittima e poi titolare della sua cattedra, il quale — riferisce l’elaborato parlamentare sull’ombra dei servizi orientali — notò nelle settimane precedenti il sequestro un borsista che volle conoscere il professore e si informò dei suoi spostamenti e della composizione della scorta, tornando in Italia anni dopo. La fonte qualifica essa stessa la circostanza come curiosa coincidenza generatrice di sospetti, e il Registro ne recepisce la misura: </w:t>
      </w:r>
      <w:r>
        <w:rPr>
          <w:b/>
        </w:rPr>
        <w:t xml:space="preserve">Livello B</w:t>
      </w:r>
      <w:r>
        <w:rPr/>
        <w:t xml:space="preserve"> quanto alla testimonianza e alla circostanza riferita, </w:t>
      </w:r>
      <w:r>
        <w:rPr>
          <w:b/>
        </w:rPr>
        <w:t xml:space="preserve">Livello C</w:t>
      </w:r>
      <w:r>
        <w:rPr/>
        <w:t xml:space="preserve"> quanto a ogni inferenza sul ruolo, con la nota che questa voce appartiene alla medesima classe della precedente — il dato è solido, la lettura è aperta, e la fonte ha avuto la probità di dirlo.</w:t>
      </w:r>
    </w:p>
    <w:p>
      <w:pPr>
        <w:spacing w:after="0" w:line="276" w:lineRule="auto"/>
        <w:ind w:firstLine="425"/>
        <w:jc w:val="both"/>
      </w:pPr>
      <w:r>
        <w:rPr>
          <w:b/>
        </w:rPr>
        <w:t xml:space="preserve">Gli anelli minori della fascia alta.</w:t>
      </w:r>
      <w:r>
        <w:rPr/>
        <w:t xml:space="preserve"> L’anello di via Fracchia restituisce i nomi dei quattro militanti uccisi nell’irruzione del marzo millenovecentottanta e quello di Guido Rossa — </w:t>
      </w:r>
      <w:r>
        <w:rPr>
          <w:b/>
        </w:rPr>
        <w:t xml:space="preserve">Livello A</w:t>
      </w:r>
      <w:r>
        <w:rPr/>
        <w:t xml:space="preserve"> i fatti, estranei al caso ma contigui alla sua eredità documentale, poiché in quell’appartamento fu rinvenuta copia di materiale della prigionia. L’anello del contratto di via Gradoli reca il nome del contraente formale, di </w:t>
      </w:r>
      <w:r>
        <w:rPr>
          <w:b/>
        </w:rPr>
        <w:t xml:space="preserve">Livello C</w:t>
      </w:r>
      <w:r>
        <w:rPr/>
        <w:t xml:space="preserve"> in quanto attestato allo stato dalla sola monografia tesistica. L’anello del canale ecclesiastico al secondo grado — il segretario particolare del Pontefice, il cappellano, il parlamentare che ne riferì — conferma i livelli già assegnati senza elevarli.</w:t>
      </w:r>
    </w:p>
    <w:p>
      <w:pPr>
        <w:spacing w:before="240" w:after="120" w:line="276" w:lineRule="auto"/>
        <w:jc w:val="left"/>
      </w:pPr>
      <w:r>
        <w:rPr>
          <w:b/>
          <w:sz w:val="24"/>
          <w:szCs w:val="24"/>
        </w:rPr>
        <w:t xml:space="preserve">Fascia intermedia: le istruttorie delicate</w:t>
      </w:r>
    </w:p>
    <w:p>
      <w:pPr>
        <w:spacing w:after="0" w:line="276" w:lineRule="auto"/>
        <w:ind w:firstLine="425"/>
        <w:jc w:val="both"/>
      </w:pPr>
      <w:r>
        <w:rPr>
          <w:b/>
        </w:rPr>
        <w:t xml:space="preserve">La catena del falsario.</w:t>
      </w:r>
      <w:r>
        <w:rPr/>
        <w:t xml:space="preserve"> L’anello di secondo grado di Antonio Chichiarelli produce l’accertamento più rilevante dell’intera espansione. La lettura di pagina, su elaborato parlamentare che cita testualmente l’ordinanza del giudice istruttore, stabilisce che </w:t>
      </w:r>
      <w:r>
        <w:rPr>
          <w:b/>
        </w:rPr>
        <w:t xml:space="preserve">Luciano Dal Bello</w:t>
      </w:r>
      <w:r>
        <w:rPr/>
        <w:t xml:space="preserve">, qualificato dalla fonte come confidente anche a significativi livelli e insieme comprimario nelle trame del falsario, era in contatto con il </w:t>
      </w:r>
      <w:r>
        <w:rPr>
          <w:b/>
        </w:rPr>
        <w:t xml:space="preserve">maresciallo Solinas</w:t>
      </w:r>
      <w:r>
        <w:rPr/>
        <w:t xml:space="preserve">, in forza al Nucleo di polizia giudiziaria dei carabinieri di Roma; che nel marzo millenovecentosettantanove Dal Bello informò il maresciallo di un progetto di attentato contro una personalità politica; e che il falsario, undici giorni dopo la morte del prigioniero, confezionò un ulteriore comunicato in codice contenente riferimenti alle operazioni di polizia condotte in via Gradoli — </w:t>
      </w:r>
      <w:r>
        <w:rPr>
          <w:b/>
        </w:rPr>
        <w:t xml:space="preserve">Livello B</w:t>
      </w:r>
      <w:r>
        <w:rPr/>
        <w:t xml:space="preserve"> l’intera catena, in quanto fondata su ordinanza istruttoria riportata in elaborato parlamentare. Il Registro ne trae, senza eccederla, la sola conclusione che il livello consente: l’autore del più celebre depistaggio dei cinquantacinque giorni disponeva, tramite il proprio sodale, di un canale verso un reparto investigativo, e mostrava di conoscere le operazioni in corso. Quale uso quel canale abbia avuto, e in quale direzione l’informazione corresse, il corpus non lo dice, e il Registro non lo afferma.</w:t>
      </w:r>
    </w:p>
    <w:p>
      <w:pPr>
        <w:spacing w:after="0" w:line="276" w:lineRule="auto"/>
        <w:ind w:firstLine="425"/>
        <w:jc w:val="both"/>
      </w:pPr>
      <w:r>
        <w:rPr>
          <w:b/>
        </w:rPr>
        <w:t xml:space="preserve">Il contatto tedesco.</w:t>
      </w:r>
      <w:r>
        <w:rPr/>
        <w:t xml:space="preserve"> L’anello di Patrizio Peci porta nel Registro l’arco internazionale meglio documentato del corpus: il terrorista della Rote Armee Fraktion </w:t>
      </w:r>
      <w:r>
        <w:rPr>
          <w:b/>
        </w:rPr>
        <w:t xml:space="preserve">Willy Peter Stoll</w:t>
      </w:r>
      <w:r>
        <w:rPr/>
        <w:t xml:space="preserve">, indicato dal collaboratore come colui che veniva in Italia prima del sequestro per incontrare Mario Moretti, ucciso a Düsseldorf con addosso documenti attestanti i contatti fra le due organizzazioni, e nominato fra i componenti del commando del sequestro dell’industriale tedesco dell’autunno precedente — </w:t>
      </w:r>
      <w:r>
        <w:rPr>
          <w:b/>
        </w:rPr>
        <w:t xml:space="preserve">Livello B</w:t>
      </w:r>
      <w:r>
        <w:rPr/>
        <w:t xml:space="preserve">, per convergenza fra dichiarazione del collaboratore e riscontri riferiti dall’elaborato sulla dimensione sovranazionale. Il parallelo fra i due sequestri, che la pubblicistica ha trattato per analogia, entra così nel Registro per la via corretta: non come somiglianza di forma ma come contatto documentato fra gli esecutori, con l’avvertenza che il contatto attesta la relazione fra le organizzazioni e non trasferisce all’una le determinazioni dell’altra.</w:t>
      </w:r>
    </w:p>
    <w:p>
      <w:pPr>
        <w:spacing w:after="0" w:line="276" w:lineRule="auto"/>
        <w:ind w:firstLine="425"/>
        <w:jc w:val="both"/>
      </w:pPr>
      <w:r>
        <w:rPr>
          <w:b/>
        </w:rPr>
        <w:t xml:space="preserve">La casa di viale Giulio Cesare al secondo grado.</w:t>
      </w:r>
      <w:r>
        <w:rPr/>
        <w:t xml:space="preserve"> L’anello di Giuliana Conforto conferma i livelli già iscritti e vi aggiunge il rinvenimento dell’arma — </w:t>
      </w:r>
      <w:r>
        <w:rPr>
          <w:b/>
        </w:rPr>
        <w:t xml:space="preserve">Livello A</w:t>
      </w:r>
      <w:r>
        <w:rPr/>
        <w:t xml:space="preserve"> — quale vicino più disperso; quello di Giorgio Conforto, ad affinità assai più bassa, mostra che il padre della locataria vive nelle fonti prevalentemente entro il tema dei rapporti con l’Unione Sovietica e non entro il caso: la deriva misurata coincide qui con la distinzione già scolpita fra la relazione familiare, documentata, e il ruolo operativo, mai documentato. L’anello della seduta spiritica al secondo grado attesta la presenza nel corpus dei nomi dei partecipanti accademici alla riunione bolognese — </w:t>
      </w:r>
      <w:r>
        <w:rPr>
          <w:b/>
        </w:rPr>
        <w:t xml:space="preserve">Livello B</w:t>
      </w:r>
      <w:r>
        <w:rPr/>
        <w:t xml:space="preserve"> quanto al fatto che dalla riunione emerse l’indicazione toponomastica poi riferita alle autorità, con la qualificazione, che il Registro mantiene, di circostanza mai spiegata in modo soddisfacente da alcuna delle letture concorrenti.</w:t>
      </w:r>
    </w:p>
    <w:p>
      <w:pPr>
        <w:spacing w:after="0" w:line="276" w:lineRule="auto"/>
        <w:ind w:firstLine="425"/>
        <w:jc w:val="both"/>
      </w:pPr>
      <w:r>
        <w:rPr>
          <w:b/>
        </w:rPr>
        <w:t xml:space="preserve">Le derive di fascia intermedia.</w:t>
      </w:r>
      <w:r>
        <w:rPr/>
        <w:t xml:space="preserve"> L’anello di Francesco Delfino scivola verso l’istruttoria bresciana — i nomi del giudice Arcai, del condannato Buzzi, di Delle Chiaie — e appartiene a quel caso, non a questo; l’anello di Giustino De Vuono si riduce al luogo di detenzione e a una prossimità con il nome di Moretti che resta da leggere; l’anello del Superclan e dei fondatori dell’istituto parigino aggiunge i nomi del difensore e del magistrato istruttore veneziano — </w:t>
      </w:r>
      <w:r>
        <w:rPr>
          <w:b/>
        </w:rPr>
        <w:t xml:space="preserve">Livello B</w:t>
      </w:r>
      <w:r>
        <w:rPr/>
        <w:t xml:space="preserve"> quanto alle audizioni e alle istruttorie, fermi i livelli già assegnati alla qualificazione dell’istituto.</w:t>
      </w:r>
    </w:p>
    <w:p>
      <w:pPr>
        <w:spacing w:before="240" w:after="120" w:line="276" w:lineRule="auto"/>
        <w:jc w:val="left"/>
      </w:pPr>
      <w:r>
        <w:rPr>
          <w:b/>
          <w:sz w:val="24"/>
          <w:szCs w:val="24"/>
        </w:rPr>
        <w:t xml:space="preserve">Fascia inferiore: la mappa del contesto</w:t>
      </w:r>
    </w:p>
    <w:p>
      <w:pPr>
        <w:spacing w:after="0" w:line="276" w:lineRule="auto"/>
        <w:ind w:firstLine="425"/>
        <w:jc w:val="both"/>
      </w:pPr>
      <w:r>
        <w:rPr>
          <w:b/>
        </w:rPr>
        <w:t xml:space="preserve">La banda considerata in sé.</w:t>
      </w:r>
      <w:r>
        <w:rPr/>
        <w:t xml:space="preserve"> Gli anelli degli esponenti della banda romana — con affinità fra l’otto e il diciannove per cento — restituiscono la banda e non il caso: i capi delle batterie, le zone, i collaboratori che ne ricostruirono la struttura, e la saldatura con l’eversione nera attraverso i rapporti, che le fonti attestano, fra taluni suoi esponenti e militanti dell’area armata di destra. Questa saldatura è dato rilevante per la materia generale e resta, per questo Registro, contesto: nessuna delle finestre lette la congiunge al sequestro, e la sua registrazione qui vale come confine dichiarato, non come pista.</w:t>
      </w:r>
    </w:p>
    <w:p>
      <w:pPr>
        <w:spacing w:after="0" w:line="276" w:lineRule="auto"/>
        <w:ind w:firstLine="425"/>
        <w:jc w:val="both"/>
      </w:pPr>
      <w:r>
        <w:rPr>
          <w:b/>
        </w:rPr>
        <w:t xml:space="preserve">I vertici degli apparati e la trappola dei due organigrammi.</w:t>
      </w:r>
      <w:r>
        <w:rPr/>
        <w:t xml:space="preserve"> L’anello di Walter Pelosi restituisce il quadro dei vertici — i direttori dei due servizi, i comandanti delle armi, il segretario del comitato esecutivo — ma la lettura di pagina impone una distinzione che il calcolo non vede e che il Registro scolpisce: l’organigramma che la fonte elenca in blocco è quello del giugno millenovecentottanta, riferito ad altra tragedia, e </w:t>
      </w:r>
      <w:r>
        <w:rPr>
          <w:b/>
        </w:rPr>
        <w:t xml:space="preserve">non può essere trasferito al marzo del settantotto</w:t>
      </w:r>
      <w:r>
        <w:rPr/>
        <w:t xml:space="preserve">. Per i cinquantacinque giorni valgono, su fonte parlamentare di prima grandezza, le funzioni effettivamente coeve: la direzione di un servizio dal novembre millenovecentosettantasette e dell’altro dal gennaio millenovecentosettantotto da parte di ufficiali i cui nomi figurano negli elenchi della loggia rinvenuti nel marzo millenovecentottantuno — </w:t>
      </w:r>
      <w:r>
        <w:rPr>
          <w:b/>
        </w:rPr>
        <w:t xml:space="preserve">Livello A</w:t>
      </w:r>
      <w:r>
        <w:rPr/>
        <w:t xml:space="preserve"> quanto alle funzioni, alle date e alla presenza negli elenchi, per attestazione della relazione parlamentare dedicata. Il dato coevo è dunque più circoscritto e insieme più solido di quello che l’anello suggeriva: durante il sequestro, i vertici di entrambi gli organismi informativi appartenevano agli elenchi di una associazione segreta, e questo è un fatto; ogni inferenza dal fatto alla condotta resta materia delle ipotesi concorrenti già formulate, e ai livelli già assegnati.</w:t>
      </w:r>
    </w:p>
    <w:p>
      <w:pPr>
        <w:spacing w:after="0" w:line="276" w:lineRule="auto"/>
        <w:ind w:firstLine="425"/>
        <w:jc w:val="both"/>
      </w:pPr>
      <w:r>
        <w:rPr>
          <w:b/>
        </w:rPr>
        <w:t xml:space="preserve">Le derive dichiarate.</w:t>
      </w:r>
      <w:r>
        <w:rPr/>
        <w:t xml:space="preserve"> L’anello del banchiere vaticano scivola verso il crack bancario, i nomi degli anni ottanta e la scomparsa della cittadina vaticana — vicende altrui, che il Registro nomina solo per dichiarare la deriva; l’inventario archivistico della Presidenza attesta peraltro, quale sottoprodotto dell’espansione, l’identità del generale già emerso senza nome nel Primo Anello, consigliere per l’ordine democratico e la sicurezza — </w:t>
      </w:r>
      <w:r>
        <w:rPr>
          <w:b/>
        </w:rPr>
        <w:t xml:space="preserve">Livello A</w:t>
      </w:r>
      <w:r>
        <w:rPr/>
        <w:t xml:space="preserve"> quanto alla funzione, per fonte inventariale. L’anello del fondatore dei comitati di resistenza scivola verso la stagione precedente; quello dell’ufficiale condannato per i depistaggi scivola verso la stagione successiva e verso una sigla eversiva meridionale del millenovecentottanta. Sono i confini del caso, e il Secondo Anello ha avuto, fra le sue funzioni, quella di disegnarli.</w:t>
      </w:r>
    </w:p>
    <w:p>
      <w:pPr>
        <w:spacing w:before="240" w:after="120" w:line="276" w:lineRule="auto"/>
        <w:jc w:val="left"/>
      </w:pPr>
      <w:r>
        <w:rPr>
          <w:b/>
          <w:sz w:val="24"/>
          <w:szCs w:val="24"/>
        </w:rPr>
        <w:t xml:space="preserve">L’effetto di piccolo mondo constatato</w:t>
      </w:r>
    </w:p>
    <w:p>
      <w:pPr>
        <w:spacing w:after="0" w:line="276" w:lineRule="auto"/>
        <w:ind w:firstLine="425"/>
        <w:jc w:val="both"/>
      </w:pPr>
      <w:r>
        <w:rPr/>
        <w:t xml:space="preserve">A due passi dal sequestro, la rete documentale tocca la strage di piazza Fontana, quella di Brescia, i depistaggi di Bologna, la tragedia del cielo di Ustica, il crollo di due imperi bancari, la scomparsa di una cittadina vaticana, il terrorismo tedesco e l’intera vicenda della loggia: ossia, per l’essenziale, la materia intera dell’opera maggiore. Questo esito era prevedibile in astratto ed è ora </w:t>
      </w:r>
      <w:r>
        <w:rPr>
          <w:b/>
        </w:rPr>
        <w:t xml:space="preserve">misurato in concreto</w:t>
      </w:r>
      <w:r>
        <w:rPr/>
        <w:t xml:space="preserve">, e il Registro ne fissa il significato con una distinzione finale che è la ragione stessa della Parte Dodicesima. La constatazione che il caso Moro non è isolabile dal sistema documentale che lo circonda è un risultato: essa smentisce ogni lettura che lo tratti come episodio chiuso, e giustifica l’esistenza di un Registro che ne segua le diramazioni. Ma la prossimità documentale </w:t>
      </w:r>
      <w:r>
        <w:rPr>
          <w:b/>
        </w:rPr>
        <w:t xml:space="preserve">non è connessione causale</w:t>
      </w:r>
      <w:r>
        <w:rPr/>
        <w:t xml:space="preserve">: che le fonti trattino insieme ciò che accadde insieme, o vicino, è un fatto della letteratura, non della storia. Il Secondo Anello consegna dunque alla Camera Istruttoria una mappa di frontiere, non un atlante di prove; e chi lo leggesse come il secondo avrebbe percorso, in due passi, l’intera parabola del pollo di Russell.</w:t>
      </w:r>
    </w:p>
    <w:p>
      <w:pPr>
        <w:spacing w:before="240" w:after="120" w:line="276" w:lineRule="auto"/>
        <w:jc w:val="left"/>
      </w:pPr>
      <w:r>
        <w:rPr>
          <w:b/>
          <w:sz w:val="24"/>
          <w:szCs w:val="24"/>
        </w:rPr>
        <w:t xml:space="preserve">Avvertenze specifiche: omonimie e falsi vicini</w:t>
      </w:r>
    </w:p>
    <w:p>
      <w:pPr>
        <w:spacing w:after="0" w:line="276" w:lineRule="auto"/>
        <w:ind w:firstLine="425"/>
        <w:jc w:val="both"/>
      </w:pPr>
      <w:r>
        <w:rPr/>
        <w:t xml:space="preserve">L’espansione ha prodotto due casi di scuola che il Registro iscrive come avvertenze permanenti. Il primo è l’omonimia interna: negli anelli della banda romana ricorre il cognome Moretti riferito a una esponente della banda, </w:t>
      </w:r>
      <w:r>
        <w:rPr>
          <w:b/>
        </w:rPr>
        <w:t xml:space="preserve">Fabiola Moretti</w:t>
      </w:r>
      <w:r>
        <w:rPr/>
        <w:t xml:space="preserve">, priva di qualunque rapporto con l’omonimo dirigente dell’organizzazione armata; il calcolo, cieco ai nomi propri, li conflerebbe, e la sola lettura li separa. Il secondo è il falso vicino per omonimia esterna: il cognome Varone, emerso nell’anello del parlamentare calabrese, conduce alla lettura verso omonimi condannati in tutt’altro procedimento e in tutt’altra materia; la voce originaria resta da istruire e quella letta è espunta come artefatto. Le due avvertenze si aggiungono al registro degli artefatti e valgono come regola: </w:t>
      </w:r>
      <w:r>
        <w:rPr>
          <w:b/>
        </w:rPr>
        <w:t xml:space="preserve">nessun cognome è un nodo</w:t>
      </w:r>
      <w:r>
        <w:rPr/>
        <w:t xml:space="preserve"> — il nodo è la persona, e la persona esiste solo dopo la lettura.</w:t>
      </w:r>
    </w:p>
    <w:p>
      <w:pPr>
        <w:spacing w:before="240" w:after="120" w:line="276" w:lineRule="auto"/>
        <w:jc w:val="left"/>
      </w:pPr>
      <w:r>
        <w:rPr>
          <w:b/>
          <w:sz w:val="24"/>
          <w:szCs w:val="24"/>
        </w:rPr>
        <w:t xml:space="preserve">Nodi ammessi al Registro dei nodi dalla Parte Dodicesima</w:t>
      </w:r>
    </w:p>
    <w:p>
      <w:pPr>
        <w:spacing w:after="0" w:line="276" w:lineRule="auto"/>
        <w:ind w:firstLine="425"/>
        <w:jc w:val="both"/>
      </w:pPr>
      <w:r>
        <w:rPr/>
        <w:t xml:space="preserve">Sono ammessi, con i livelli indicati: Raimondo Etro, </w:t>
      </w:r>
      <w:r>
        <w:rPr>
          <w:b/>
        </w:rPr>
        <w:t xml:space="preserve">Livello A</w:t>
      </w:r>
      <w:r>
        <w:rPr/>
        <w:t xml:space="preserve"> quanto alla qualità di brigatista e all’audizione; Topazia Caetani di Sermoneta, </w:t>
      </w:r>
      <w:r>
        <w:rPr>
          <w:b/>
        </w:rPr>
        <w:t xml:space="preserve">Livello B</w:t>
      </w:r>
      <w:r>
        <w:rPr/>
        <w:t xml:space="preserve"> quanto al matrimonio, con la qualificazione espressa che ogni lettura ulteriore del coniuge resta </w:t>
      </w:r>
      <w:r>
        <w:rPr>
          <w:b/>
        </w:rPr>
        <w:t xml:space="preserve">Livello C</w:t>
      </w:r>
      <w:r>
        <w:rPr/>
        <w:t xml:space="preserve">; Ernesto Cudillo, </w:t>
      </w:r>
      <w:r>
        <w:rPr>
          <w:b/>
        </w:rPr>
        <w:t xml:space="preserve">Livello A</w:t>
      </w:r>
      <w:r>
        <w:rPr/>
        <w:t xml:space="preserve"> quanto alla sentenza-ordinanza del millenovecentottantatré e alla critica parlamentare di essa, con riserva d’istruttoria sulla prossimità al palazzo; Giuseppe Messina e la dichiarazione sull’invito di Flavio Carboni, </w:t>
      </w:r>
      <w:r>
        <w:rPr>
          <w:b/>
        </w:rPr>
        <w:t xml:space="preserve">Livello B</w:t>
      </w:r>
      <w:r>
        <w:rPr/>
        <w:t xml:space="preserve"> la dichiarazione, </w:t>
      </w:r>
      <w:r>
        <w:rPr>
          <w:b/>
        </w:rPr>
        <w:t xml:space="preserve">Livello C</w:t>
      </w:r>
      <w:r>
        <w:rPr/>
        <w:t xml:space="preserve"> l’effettività; Flavio Carboni, </w:t>
      </w:r>
      <w:r>
        <w:rPr>
          <w:b/>
        </w:rPr>
        <w:t xml:space="preserve">Livello B</w:t>
      </w:r>
      <w:r>
        <w:rPr/>
        <w:t xml:space="preserve"> quanto al ruolo di tramite dichiarato; Franco Tritto, </w:t>
      </w:r>
      <w:r>
        <w:rPr>
          <w:b/>
        </w:rPr>
        <w:t xml:space="preserve">Livello B</w:t>
      </w:r>
      <w:r>
        <w:rPr/>
        <w:t xml:space="preserve"> quanto alla testimonianza sul borsista; Luciano Dal Bello e il maresciallo Solinas, </w:t>
      </w:r>
      <w:r>
        <w:rPr>
          <w:b/>
        </w:rPr>
        <w:t xml:space="preserve">Livello B</w:t>
      </w:r>
      <w:r>
        <w:rPr/>
        <w:t xml:space="preserve"> l’intera catena informativa, su ordinanza istruttoria riportata in fonte parlamentare; Willy Peter Stoll, </w:t>
      </w:r>
      <w:r>
        <w:rPr>
          <w:b/>
        </w:rPr>
        <w:t xml:space="preserve">Livello B</w:t>
      </w:r>
      <w:r>
        <w:rPr/>
        <w:t xml:space="preserve"> quanto ai contatti con Moretti e ai riscontri documentali; i quattro militanti di via Fracchia e Guido Rossa, </w:t>
      </w:r>
      <w:r>
        <w:rPr>
          <w:b/>
        </w:rPr>
        <w:t xml:space="preserve">Livello A</w:t>
      </w:r>
      <w:r>
        <w:rPr/>
        <w:t xml:space="preserve"> i fatti, quale contesto dichiarato; i vertici coevi dei due servizi con le date di direzione e la presenza negli elenchi della loggia, </w:t>
      </w:r>
      <w:r>
        <w:rPr>
          <w:b/>
        </w:rPr>
        <w:t xml:space="preserve">Livello A</w:t>
      </w:r>
      <w:r>
        <w:rPr/>
        <w:t xml:space="preserve"> su relazione parlamentare; il generale consigliere per l’ordine democratico e la sicurezza, </w:t>
      </w:r>
      <w:r>
        <w:rPr>
          <w:b/>
        </w:rPr>
        <w:t xml:space="preserve">Livello A</w:t>
      </w:r>
      <w:r>
        <w:rPr/>
        <w:t xml:space="preserve"> quanto alla funzione, per fonte inventariale.</w:t>
      </w:r>
    </w:p>
    <w:p>
      <w:pPr>
        <w:spacing w:before="240" w:after="120" w:line="276" w:lineRule="auto"/>
        <w:jc w:val="left"/>
      </w:pPr>
      <w:r>
        <w:rPr>
          <w:b/>
          <w:sz w:val="24"/>
          <w:szCs w:val="24"/>
        </w:rPr>
        <w:t xml:space="preserve">Assegnazioni alla Camera Istruttoria</w:t>
      </w:r>
    </w:p>
    <w:p>
      <w:pPr>
        <w:spacing w:after="0" w:line="276" w:lineRule="auto"/>
        <w:ind w:firstLine="425"/>
        <w:jc w:val="both"/>
      </w:pPr>
      <w:r>
        <w:rPr/>
        <w:t xml:space="preserve">Dalla Parte Dodicesima discendono, in ordine di priorità: prima, la lettura di pagina della prossimità fra il nome del consigliere istruttore e il palazzo, da risolvere o da espungere; seconda, l’istruttoria sulla ricorrenza della società di trasporto valori nell’anello del collaboratore politico della vittima, con divieto di anticipazione; terza, la verifica sistematica dell’organigramma coevo dei cinquantacinque giorni, funzione per funzione, contro la trappola dei due organigrammi; quarta, la lettura della prossimità fra il nome del detenuto calabrese e quello del dirigente dell’organizzazione; quinta, la risalita alla fonte primaria di ogni voce del Secondo Anello che poggi unicamente sulla monografia tesistica; sesta, la registrazione nel registro degli artefatti dell’omonimia Varone e dell’avvertenza Fabiola Moretti. Resta ferma, sovraordinata a tutte, la conversione del blocco stenografico, che di molte fra queste istruttorie è la condizione.</w:t>
      </w:r>
    </w:p>
    <w:p>
      <w:pPr>
        <w:pageBreakBefore/>
        <w:spacing w:before="240" w:after="120" w:line="276" w:lineRule="auto"/>
        <w:jc w:val="left"/>
      </w:pPr>
      <w:r>
        <w:rPr>
          <w:b/>
          <w:sz w:val="28"/>
          <w:szCs w:val="28"/>
        </w:rPr>
        <w:t xml:space="preserve">COLOPHON DELL’EDIZIONE TERZA</w:t>
      </w:r>
    </w:p>
    <w:p>
      <w:pPr>
        <w:spacing w:after="0" w:line="276" w:lineRule="auto"/>
        <w:ind w:firstLine="425"/>
        <w:jc w:val="both"/>
      </w:pPr>
      <w:r>
        <w:rPr/>
        <w:t xml:space="preserve">REGISTRO ANALITICO DEL CASO MORO, edizione terza, con il Secondo Anello di Prossimità, prodotta il due agosto duemilaventisei secondo il Protocollo Zero-Token e nello standard tipografico dell’opera: carattere Times New Roman di corpo dodici, formato A4, giustificazione integrale, rientro di prima riga, interlinea di uno virgola quindici, prosa continua, classificazione Savona in grassetto. Documento autonomo e autosufficiente, indipendente dal Registro Unico Federato di ITALIA NERA quanto a catena probatoria, apparato e istruttoria, con dichiarazione espressa del limite materiale di tale indipendenza. Incorpora verbatim l’edizione seconda e, per suo tramite, la prima; ogni edizione successiva conterrà verbatim la presente. Resta sovrana la Regola di Ferro: dove la fonte documenta, l’opera certifica; dove la fonte tace, l’opera indaga e non afferma. Autore e direttore dell’opera: Luigi De Michele.</w:t>
      </w:r>
    </w:p>
    <w:p>
      <w:pPr>
        <w:pageBreakBefore/>
        <w:spacing w:before="240" w:after="120" w:line="276" w:lineRule="auto"/>
        <w:jc w:val="left"/>
      </w:pPr>
      <w:r>
        <w:rPr>
          <w:b/>
          <w:sz w:val="28"/>
          <w:szCs w:val="28"/>
        </w:rPr>
        <w:t xml:space="preserve">PARTE TREDICESIMA — LA METODOLOGIA DEL SALTO DELLA QUAGLIA</w:t>
      </w:r>
    </w:p>
    <w:p>
      <w:pPr>
        <w:spacing w:before="60" w:after="0" w:line="276" w:lineRule="auto"/>
        <w:jc w:val="center"/>
      </w:pPr>
      <w:r>
        <w:rPr>
          <w:sz w:val="24"/>
          <w:szCs w:val="24"/>
        </w:rPr>
        <w:t xml:space="preserve">Metodologia di Luigi De Michele</w:t>
      </w:r>
    </w:p>
    <w:p>
      <w:pPr>
        <w:spacing w:before="240" w:after="120" w:line="276" w:lineRule="auto"/>
        <w:jc w:val="left"/>
      </w:pPr>
      <w:r>
        <w:rPr>
          <w:b/>
          <w:sz w:val="24"/>
          <w:szCs w:val="24"/>
        </w:rPr>
        <w:t xml:space="preserve">Definizione e ragione del nome</w:t>
      </w:r>
    </w:p>
    <w:p>
      <w:pPr>
        <w:spacing w:after="0" w:line="276" w:lineRule="auto"/>
        <w:ind w:firstLine="425"/>
        <w:jc w:val="both"/>
      </w:pPr>
      <w:r>
        <w:rPr/>
        <w:t xml:space="preserve">La Metodologia del Salto della Quaglia, elaborata dall’autore del presente Registro e qui formalizzata come strumento permanente dell’apparato, risponde a un problema che l’analisi di rete conosce bene e risolve male: il </w:t>
      </w:r>
      <w:r>
        <w:rPr>
          <w:b/>
        </w:rPr>
        <w:t xml:space="preserve">buco strutturale</w:t>
      </w:r>
      <w:r>
        <w:rPr/>
        <w:t xml:space="preserve">, la coppia di nodi che dovrebbero essere connessi e che nel grafo operativo non lo sono. L’analisi convenzionale, davanti al buco, ha due sole mosse — dichiararlo compartimentazione o dichiararlo lacuna — e in entrambi i casi si arresta. La metodologia qui formalizzata prescrive una terza mossa: cercare il legame </w:t>
      </w:r>
      <w:r>
        <w:rPr>
          <w:b/>
        </w:rPr>
        <w:t xml:space="preserve">su un piano diverso</w:t>
      </w:r>
      <w:r>
        <w:rPr/>
        <w:t xml:space="preserve"> da quello in cui il buco appare. Il nome è una risemantizzazione deliberata: nella lingua parlamentare dell’Ottocento il salto della quaglia designava il trasformismo, il passaggio d’un uomo da uno schieramento all’altro; nella presente metodologia designa il modo di volo dell’animale, che non procede in linea retta e in quota, dove il tiratore lo attende, ma per </w:t>
      </w:r>
      <w:r>
        <w:rPr>
          <w:b/>
        </w:rPr>
        <w:t xml:space="preserve">salti bassi, brevi e laterali, sotto la linea di tiro</w:t>
      </w:r>
      <w:r>
        <w:rPr/>
        <w:t xml:space="preserve">. Il potere informale si muove così: quasi mai lungo l’arco diretto fra due nodi operativi — che è l’arco sorvegliato, intercettabile, processabile — ma per salti su nodi terzi che appartengono a piani relazionali che nessuno sorveglia, perché nessuno li considera rete.</w:t>
      </w:r>
    </w:p>
    <w:p>
      <w:pPr>
        <w:spacing w:after="0" w:line="276" w:lineRule="auto"/>
        <w:ind w:firstLine="425"/>
        <w:jc w:val="both"/>
      </w:pPr>
      <w:r>
        <w:rPr/>
        <w:t xml:space="preserve">I piani del salto sono cinque, e la loro enumerazione è il cuore operativo della metodologia. Il piano </w:t>
      </w:r>
      <w:r>
        <w:rPr>
          <w:b/>
        </w:rPr>
        <w:t xml:space="preserve">rituale e di parentela cerimoniale</w:t>
      </w:r>
      <w:r>
        <w:rPr/>
        <w:t xml:space="preserve">: i testimoni di nozze, i padrini di battesimo e di cresima, il comparatico, i matrimoni di componimento — istituti che la criminologia delle mafie conosce come tecnologia di alleanza, e che saldano famiglie, cosche e domini con atti pubblici che nessuno legge come atti di rete. Il piano </w:t>
      </w:r>
      <w:r>
        <w:rPr>
          <w:b/>
        </w:rPr>
        <w:t xml:space="preserve">patrimoniale e notarile</w:t>
      </w:r>
      <w:r>
        <w:rPr/>
        <w:t xml:space="preserve">: le intestazioni, i contratti registrati e non registrati, le società, le compravendite, i lasciti — dove il rapporto corre fra i nomi che firmano, non fra quelli che contano. Il piano </w:t>
      </w:r>
      <w:r>
        <w:rPr>
          <w:b/>
        </w:rPr>
        <w:t xml:space="preserve">professionale</w:t>
      </w:r>
      <w:r>
        <w:rPr/>
        <w:t xml:space="preserve">: le consulenze, le perizie, le cattedre, gli studi condivisi — dove un medesimo tecnico serve domini che non si parlano, e li fa parlare. Il piano </w:t>
      </w:r>
      <w:r>
        <w:rPr>
          <w:b/>
        </w:rPr>
        <w:t xml:space="preserve">conviviale</w:t>
      </w:r>
      <w:r>
        <w:rPr/>
        <w:t xml:space="preserve">: le cene, i circoli, i salotti, i palchi — la prossimità fisica ricorrente che precede e accompagna ogni accordo. Il piano </w:t>
      </w:r>
      <w:r>
        <w:rPr>
          <w:b/>
        </w:rPr>
        <w:t xml:space="preserve">confidenziale</w:t>
      </w:r>
      <w:r>
        <w:rPr/>
        <w:t xml:space="preserve">: gli informatori, i confidenti, i canali di ritorno — dove l’informazione attraversa la frontiera fra i domini portata da chi appartiene a entrambi senza appartenere a nessuno.</w:t>
      </w:r>
    </w:p>
    <w:p>
      <w:pPr>
        <w:spacing w:before="240" w:after="120" w:line="276" w:lineRule="auto"/>
        <w:jc w:val="left"/>
      </w:pPr>
      <w:r>
        <w:rPr>
          <w:b/>
          <w:sz w:val="24"/>
          <w:szCs w:val="24"/>
        </w:rPr>
        <w:t xml:space="preserve">Fondamento teorico</w:t>
      </w:r>
    </w:p>
    <w:p>
      <w:pPr>
        <w:spacing w:after="0" w:line="276" w:lineRule="auto"/>
        <w:ind w:firstLine="425"/>
        <w:jc w:val="both"/>
      </w:pPr>
      <w:r>
        <w:rPr/>
        <w:t xml:space="preserve">La metodologia non nasce nel vuoto e dichiara le proprie ascendenze, che appartengono per intero al canone dell’opera. Da Granovetter assume il teorema della forza dei legami deboli: l’informazione e l’opportunità non viaggiano sui legami forti, ridondanti e sorvegliati, ma sui legami deboli e laterali, che sono precisamente i legami dei cinque piani. Dall’analisi dei buchi strutturali di Burt assume la nozione del vantaggio di posizione di chi cavalca la discontinuità — e la rovescia in strumento di ricerca: dove Burt cerca il broker, il Salto della Quaglia cerca il piano su cui il broker opera. Da Luhmann assume l’accoppiamento strutturale fra sistemi a codice diverso: il nodo di salto è l’operatore materiale dell’accoppiamento, colui nel quale due codici — l’operativo e il rituale, il criminale e il notarile — coesistono senza confondersi. Dalla criminologia delle organizzazioni mafiose assume infine il dato, documentato da un secolo di atti, che i matrimoni, i comparatici e le testimonianze di nozze sono la contabilità pubblica delle alleanze private, tenuta in registri — parrocchiali, di stato civile, notarili — che l’analista quasi mai apre.</w:t>
      </w:r>
    </w:p>
    <w:p>
      <w:pPr>
        <w:spacing w:before="240" w:after="120" w:line="276" w:lineRule="auto"/>
        <w:jc w:val="left"/>
      </w:pPr>
      <w:r>
        <w:rPr>
          <w:b/>
          <w:sz w:val="24"/>
          <w:szCs w:val="24"/>
        </w:rPr>
        <w:t xml:space="preserve">Le cinque regole</w:t>
      </w:r>
    </w:p>
    <w:p>
      <w:pPr>
        <w:spacing w:after="0" w:line="276" w:lineRule="auto"/>
        <w:ind w:firstLine="425"/>
        <w:jc w:val="both"/>
      </w:pPr>
      <w:r>
        <w:rPr/>
        <w:t xml:space="preserve">Prima regola, </w:t>
      </w:r>
      <w:r>
        <w:rPr>
          <w:b/>
        </w:rPr>
        <w:t xml:space="preserve">dell’eterogeneità del piano</w:t>
      </w:r>
      <w:r>
        <w:rPr/>
        <w:t xml:space="preserve">: il nodo di salto va cercato su un piano di natura diversa da quella dei nodi che collega; se il buco è fra due nodi operativi, il salto è rituale, patrimoniale, professionale, conviviale o confidenziale, mai operativo — un salto sullo stesso piano non è un salto, è un arco mancato. Seconda regola, </w:t>
      </w:r>
      <w:r>
        <w:rPr>
          <w:b/>
        </w:rPr>
        <w:t xml:space="preserve">dell’atto</w:t>
      </w:r>
      <w:r>
        <w:rPr/>
        <w:t xml:space="preserve">: ogni salto ipotizzato è di </w:t>
      </w:r>
      <w:r>
        <w:rPr>
          <w:b/>
        </w:rPr>
        <w:t xml:space="preserve">Livello C</w:t>
      </w:r>
      <w:r>
        <w:rPr/>
        <w:t xml:space="preserve"> finché l’atto che lo incarna non è prodotto — l’atto di matrimonio con la lista dei testimoni, il registro parrocchiale, l’atto notarile, la visura, il contratto, il verbale di confidenza — e la produzione dell’atto lo eleva al livello che l’atto consente, mai oltre. Terza regola, </w:t>
      </w:r>
      <w:r>
        <w:rPr>
          <w:b/>
        </w:rPr>
        <w:t xml:space="preserve">del canale e dell’uso</w:t>
      </w:r>
      <w:r>
        <w:rPr/>
        <w:t xml:space="preserve">: il salto documentato attesta un </w:t>
      </w:r>
      <w:r>
        <w:rPr>
          <w:b/>
        </w:rPr>
        <w:t xml:space="preserve">canale di possibilità</w:t>
      </w:r>
      <w:r>
        <w:rPr/>
        <w:t xml:space="preserve">, non la sua attivazione; che il canale sia stato percorso, quando, da che cosa e in quale direzione, è oggetto di prova separata, e la responsabilità — di chiunque — comincia soltanto dove l’uso è provato. Quarta regola, </w:t>
      </w:r>
      <w:r>
        <w:rPr>
          <w:b/>
        </w:rPr>
        <w:t xml:space="preserve">della falsificazione</w:t>
      </w:r>
      <w:r>
        <w:rPr/>
        <w:t xml:space="preserve">: ogni salto reca le proprie condizioni di confutazione, e ne sono tipiche due — l’estraneità accertata del nodo terzo e la posteriorità dell’arco rituale o patrimoniale rispetto ai fatti che dovrebbe spiegare, poiché un canale aperto dopo non spiega un flusso avvenuto prima. Quinta regola, </w:t>
      </w:r>
      <w:r>
        <w:rPr>
          <w:b/>
        </w:rPr>
        <w:t xml:space="preserve">del salto dell’analista</w:t>
      </w:r>
      <w:r>
        <w:rPr/>
        <w:t xml:space="preserve">: la quaglia impone il proprio modo di volo anche a chi la insegue — l’analista che cerca il salto deve cambiare classe di fonti, uscire dagli atti giudiziari e parlamentari ed entrare negli archivi di stato civile, nei registri parrocchiali, nei repertori notarili, nelle visure camerali, nelle liste dei testimoni e dei padrini; chi cerca il piano rituale nelle carte processuali cerca la quaglia in quota, dove la quaglia non vola.</w:t>
      </w:r>
    </w:p>
    <w:p>
      <w:pPr>
        <w:spacing w:before="240" w:after="120" w:line="276" w:lineRule="auto"/>
        <w:jc w:val="left"/>
      </w:pPr>
      <w:r>
        <w:rPr>
          <w:b/>
          <w:sz w:val="24"/>
          <w:szCs w:val="24"/>
        </w:rPr>
        <w:t xml:space="preserve">I casi già documentati nel corpus</w:t>
      </w:r>
    </w:p>
    <w:p>
      <w:pPr>
        <w:spacing w:after="0" w:line="276" w:lineRule="auto"/>
        <w:ind w:firstLine="425"/>
        <w:jc w:val="both"/>
      </w:pPr>
      <w:r>
        <w:rPr/>
        <w:t xml:space="preserve">La metodologia non è, nel corpus, una proposta: è una pratica già attestata, e il Registro ne fissa i casi. Il primo, e il più puro, è di fonte parlamentare: l’elaborato sulla dimensione sovranazionale, tracciando l’azionariato di una società, annota che una delle azioniste compare, nel gennaio millenovecentonovantadue, come </w:t>
      </w:r>
      <w:r>
        <w:rPr>
          <w:b/>
        </w:rPr>
        <w:t xml:space="preserve">testimone di nozze</w:t>
      </w:r>
      <w:r>
        <w:rPr/>
        <w:t xml:space="preserve"> nel matrimonio del figlio di Bettino Craxi, e che testimoni dello sposo erano l’azionista di maggioranza — che risulterà latitante in Nicaragua — e l’allora segretario generale aggiunto della maggiore confederazione sindacale — </w:t>
      </w:r>
      <w:r>
        <w:rPr>
          <w:b/>
        </w:rPr>
        <w:t xml:space="preserve">Livello B</w:t>
      </w:r>
      <w:r>
        <w:rPr/>
        <w:t xml:space="preserve">, in quanto attestazione parlamentare. La fonte, cioè, pratica essa stessa il tracciamento per testimoni di nozze come tecnica di rete: usa la lista dei testimoni come visura delle alleanze. Il Registro assume questo precedente come legittimazione documentale della metodologia: ciò che qui si formalizza, gli atti già lo facevano.</w:t>
      </w:r>
    </w:p>
    <w:p>
      <w:pPr>
        <w:spacing w:after="0" w:line="276" w:lineRule="auto"/>
        <w:ind w:firstLine="425"/>
        <w:jc w:val="both"/>
      </w:pPr>
      <w:r>
        <w:rPr/>
        <w:t xml:space="preserve">Il secondo caso è il matrimonio fra il musicista ucraino e la nobildonna della casata il cui nome è quello della via del ritrovamento: il salto è onomastico-sociale, dall’ambiente artistico all’aristocrazia romana proprietaria dei palazzi, ed è stato già iscritto ai suoi livelli — il matrimonio </w:t>
      </w:r>
      <w:r>
        <w:rPr>
          <w:b/>
        </w:rPr>
        <w:t xml:space="preserve">Livello B</w:t>
      </w:r>
      <w:r>
        <w:rPr/>
        <w:t xml:space="preserve">, ogni lettura ulteriore </w:t>
      </w:r>
      <w:r>
        <w:rPr>
          <w:b/>
        </w:rPr>
        <w:t xml:space="preserve">Livello C</w:t>
      </w:r>
      <w:r>
        <w:rPr/>
        <w:t xml:space="preserve">. Il terzo è l’arco professionale fra le titolari dei due appartamenti del caso, maturato in un medesimo centro di ricerca: due luoghi operativamente cruciali risultano collegati non sul piano operativo ma su quello professionale delle proprietarie — </w:t>
      </w:r>
      <w:r>
        <w:rPr>
          <w:b/>
        </w:rPr>
        <w:t xml:space="preserve">Livello B</w:t>
      </w:r>
      <w:r>
        <w:rPr/>
        <w:t xml:space="preserve"> la segnalazione di polizia che lo attesta — ed è il salto già assegnato a istruttoria. Il quarto è la </w:t>
      </w:r>
      <w:r>
        <w:rPr>
          <w:b/>
        </w:rPr>
        <w:t xml:space="preserve">simmetria dei due criminologi</w:t>
      </w:r>
      <w:r>
        <w:rPr/>
        <w:t xml:space="preserve">: un professore, consulente della struttura di crisi ministeriale, il cui nome figura negli elenchi della loggia; un altro professore della medesima disciplina, consulente — riferiscono le fonti — del sodalizio criminale romano e in rapporto con l’eversione di destra, parimenti indicato negli elenchi. Due nodi che non si toccano nel grafo operativo e che coincidono su tre piani — professionale, associativo, peritale — configurando il caso di scuola del salto per piano professionale: la perizia forense come corridoio fra i domini. La simmetria è </w:t>
      </w:r>
      <w:r>
        <w:rPr>
          <w:b/>
        </w:rPr>
        <w:t xml:space="preserve">Livello C</w:t>
      </w:r>
      <w:r>
        <w:rPr/>
        <w:t xml:space="preserve"> in quanto lettura, i singoli profili ai livelli propri, e l’istruttoria è aperta. Il quinto è il piano confidenziale già accertato: la catena fra il falsario, il suo sodale confidente e il maresciallo del nucleo di polizia giudiziaria — </w:t>
      </w:r>
      <w:r>
        <w:rPr>
          <w:b/>
        </w:rPr>
        <w:t xml:space="preserve">Livello B</w:t>
      </w:r>
      <w:r>
        <w:rPr/>
        <w:t xml:space="preserve"> — che è un salto documentato dal piano criminale al piano investigativo. Il sesto, infine, è il piano notarile del caso: l’intestazione dell’appartamento della prigione, il contratto non registrato di via Gradoli, l’utenza della società immobiliare nell’appunto manoscritto — tre atti, o assenze d’atto, che sono altrettante porte del piano patrimoniale.</w:t>
      </w:r>
    </w:p>
    <w:p>
      <w:pPr>
        <w:spacing w:after="0" w:line="276" w:lineRule="auto"/>
        <w:ind w:firstLine="425"/>
        <w:jc w:val="both"/>
      </w:pPr>
      <w:r>
        <w:rPr/>
        <w:t xml:space="preserve">A questi si aggiunge la segnalazione investigativa che il Salto della Quaglia genera per prima applicazione propria, e che il Registro formula al livello che le compete. Nell’anello del sacerdote indicato come canale di ritorno compaiono, per prossimità, l’istituto finanziario vaticano e una banca del gruppo poi travolto dal crack: se — e il Registro sottolinea il se — fra il religioso e la dirigenza dell’istituto sussistesse un legame di </w:t>
      </w:r>
      <w:r>
        <w:rPr>
          <w:b/>
        </w:rPr>
        <w:t xml:space="preserve">parentela diretta</w:t>
      </w:r>
      <w:r>
        <w:rPr/>
        <w:t xml:space="preserve">, il canale spirituale della trattativa e il canale finanziario vaticano risulterebbero collegati sul piano familiare, che è il piano di salto per eccellenza. Allo stato del corpus questa è </w:t>
      </w:r>
      <w:r>
        <w:rPr>
          <w:b/>
        </w:rPr>
        <w:t xml:space="preserve">ipotesi di Livello C generata da prossimità</w:t>
      </w:r>
      <w:r>
        <w:rPr/>
        <w:t xml:space="preserve">: il Registro non la afferma, la assegna alla Camera Istruttoria come istruttoria nominata — la verifica anagrafica del legame — con le condizioni di falsificazione della quarta regola, e la iscrive qui come dimostrazione del funzionamento della metodologia: il salto si ipotizza dal calcolo, si verifica nell’anagrafe, e soltanto l’atto lo promuove.</w:t>
      </w:r>
    </w:p>
    <w:p>
      <w:pPr>
        <w:pageBreakBefore/>
        <w:spacing w:before="240" w:after="120" w:line="276" w:lineRule="auto"/>
        <w:jc w:val="left"/>
      </w:pPr>
      <w:r>
        <w:rPr>
          <w:b/>
          <w:sz w:val="28"/>
          <w:szCs w:val="28"/>
        </w:rPr>
        <w:t xml:space="preserve">PARTE QUATTORDICESIMA — CENSIMENTO INTEGRALE E DEFINITIVO DEI NODI DEGLI ANELLI</w:t>
      </w:r>
    </w:p>
    <w:p>
      <w:pPr>
        <w:spacing w:after="0" w:line="276" w:lineRule="auto"/>
        <w:ind w:firstLine="425"/>
        <w:jc w:val="both"/>
      </w:pPr>
      <w:r>
        <w:rPr/>
        <w:t xml:space="preserve">Il presente censimento chiude, in via definitiva quanto alla completezza, l’iscrizione dei nodi emersi dai due Anelli e non ancora iscritti nelle Parti precedenti. Esso è organizzato per Domini; ogni nodo reca inline il proprio livello; le voci prive di lettura di pagina sono iscritte con riserva d’istruttoria espressa, poiché la certificazione riguarda il censimento e mai il legame. I nomi ricorrenti negli anelli come mero rumore grammaticale o come frammenti di estrazione sono stati espunti a monte e non compaiono; le espunzioni motivate e gli artefatti sono raccolti in coda.</w:t>
      </w:r>
    </w:p>
    <w:p>
      <w:pPr>
        <w:spacing w:after="0" w:line="276" w:lineRule="auto"/>
        <w:ind w:firstLine="425"/>
        <w:jc w:val="both"/>
      </w:pPr>
      <w:r>
        <w:rPr>
          <w:b/>
        </w:rPr>
        <w:t xml:space="preserve">Dominio settimo, l’organizzazione armata e la sua area.</w:t>
      </w:r>
      <w:r>
        <w:rPr/>
        <w:t xml:space="preserve"> Sono iscritti: Bruno Seghetti e Salvatore Ricciardi, militanti della colonna romana, </w:t>
      </w:r>
      <w:r>
        <w:rPr>
          <w:b/>
        </w:rPr>
        <w:t xml:space="preserve">Livello A</w:t>
      </w:r>
      <w:r>
        <w:rPr/>
        <w:t xml:space="preserve"> quanto alle qualità, emersi nell’anello dell’intestataria della prigione; Antonio Savasta e Mara Nanni, </w:t>
      </w:r>
      <w:r>
        <w:rPr>
          <w:b/>
        </w:rPr>
        <w:t xml:space="preserve">Livello B</w:t>
      </w:r>
      <w:r>
        <w:rPr/>
        <w:t xml:space="preserve">, per le posizioni processuali riferite dalle fonti; Lorenzo Betassa, Piero Panciarelli, Riccardo Dura e Lorenzo Micaletto, i militanti uccisi o coinvolti nell’irruzione genovese del marzo millenovecentottanta, </w:t>
      </w:r>
      <w:r>
        <w:rPr>
          <w:b/>
        </w:rPr>
        <w:t xml:space="preserve">Livello A</w:t>
      </w:r>
      <w:r>
        <w:rPr/>
        <w:t xml:space="preserve"> i fatti, già iscritti come gruppo e qui nominati singolarmente; Roberto Peci, fratello del collaboratore, sequestrato e ucciso nell’ottantuno per rappresaglia, </w:t>
      </w:r>
      <w:r>
        <w:rPr>
          <w:b/>
        </w:rPr>
        <w:t xml:space="preserve">Livello A</w:t>
      </w:r>
      <w:r>
        <w:rPr/>
        <w:t xml:space="preserve">, quale terminale della vicenda del collaboratore; Giovanni Senzani, </w:t>
      </w:r>
      <w:r>
        <w:rPr>
          <w:b/>
        </w:rPr>
        <w:t xml:space="preserve">Livello B</w:t>
      </w:r>
      <w:r>
        <w:rPr/>
        <w:t xml:space="preserve"> quanto al ruolo nella stagione successiva, con la dichiarazione di estraneità al sequestro da lui resa e riferita dalle fonti, che resta dichiarazione; la rivista Controinformazione, </w:t>
      </w:r>
      <w:r>
        <w:rPr>
          <w:b/>
        </w:rPr>
        <w:t xml:space="preserve">Livello B</w:t>
      </w:r>
      <w:r>
        <w:rPr/>
        <w:t xml:space="preserve"> quanto alla sua esistenza e area, quale organo di frontiera fra il settimo e l’ottavo Dominio; l’area dell’autonomia con Potere Operaio e il nome di Franco Piperno, </w:t>
      </w:r>
      <w:r>
        <w:rPr>
          <w:b/>
        </w:rPr>
        <w:t xml:space="preserve">Livello B</w:t>
      </w:r>
      <w:r>
        <w:rPr/>
        <w:t xml:space="preserve"> le appartenenze, </w:t>
      </w:r>
      <w:r>
        <w:rPr>
          <w:b/>
        </w:rPr>
        <w:t xml:space="preserve">Livello C</w:t>
      </w:r>
      <w:r>
        <w:rPr/>
        <w:t xml:space="preserve"> ogni ruolo nella vicenda, ferma l’istruttoria sulla mediazione tentata nei cinquantacinque giorni; Lotta Continua quale contesto d’area, </w:t>
      </w:r>
      <w:r>
        <w:rPr>
          <w:b/>
        </w:rPr>
        <w:t xml:space="preserve">Livello A</w:t>
      </w:r>
      <w:r>
        <w:rPr/>
        <w:t xml:space="preserve"> l’esistenza.</w:t>
      </w:r>
    </w:p>
    <w:p>
      <w:pPr>
        <w:spacing w:after="0" w:line="276" w:lineRule="auto"/>
        <w:ind w:firstLine="425"/>
        <w:jc w:val="both"/>
      </w:pPr>
      <w:r>
        <w:rPr>
          <w:b/>
        </w:rPr>
        <w:t xml:space="preserve">Dominio primo, la criminalità.</w:t>
      </w:r>
      <w:r>
        <w:rPr/>
        <w:t xml:space="preserve"> Sono iscritti, dagli anelli della banda romana e con la fonte enciclopedica quale supporto prevalente e quindi con </w:t>
      </w:r>
      <w:r>
        <w:rPr>
          <w:b/>
        </w:rPr>
        <w:t xml:space="preserve">Livello C</w:t>
      </w:r>
      <w:r>
        <w:rPr/>
        <w:t xml:space="preserve"> d’ordinanza salvo diversa indicazione: Maurizio Abbatino e Antonio Mancini, quali collaboratori le cui ricostruzioni fondano la conoscenza della banda, </w:t>
      </w:r>
      <w:r>
        <w:rPr>
          <w:b/>
        </w:rPr>
        <w:t xml:space="preserve">Livello B</w:t>
      </w:r>
      <w:r>
        <w:rPr/>
        <w:t xml:space="preserve"> in quanto dichiaranti processuali; Enrico De Pedis, Edoardo Toscano, Domenico Balducci, Amleto Fabiani, Giorgio Paradisi, quali esponenti, </w:t>
      </w:r>
      <w:r>
        <w:rPr>
          <w:b/>
        </w:rPr>
        <w:t xml:space="preserve">Livello C</w:t>
      </w:r>
      <w:r>
        <w:rPr/>
        <w:t xml:space="preserve"> nel corpus, con l’avvertenza che il primo è l’assone documentale verso la vicenda della cittadina vaticana, già dichiarata deriva e confine; Raffaele Cutolo e la Nuova Camorra Organizzata, </w:t>
      </w:r>
      <w:r>
        <w:rPr>
          <w:b/>
        </w:rPr>
        <w:t xml:space="preserve">Livello B</w:t>
      </w:r>
      <w:r>
        <w:rPr/>
        <w:t xml:space="preserve"> quanto all’esistenza e al rapporto con l’esponente della banda attestato dalle fonti, e quale ponte verso l’assone campano; Massimo Sparti, </w:t>
      </w:r>
      <w:r>
        <w:rPr>
          <w:b/>
        </w:rPr>
        <w:t xml:space="preserve">Livello C</w:t>
      </w:r>
      <w:r>
        <w:rPr/>
        <w:t xml:space="preserve"> nel corpus, quale giunzione dichiarata fra la banda e l’area armata di destra; il professor Aldo Semerari, </w:t>
      </w:r>
      <w:r>
        <w:rPr>
          <w:b/>
        </w:rPr>
        <w:t xml:space="preserve">Livello B</w:t>
      </w:r>
      <w:r>
        <w:rPr/>
        <w:t xml:space="preserve"> quanto ai profili che le fonti gli attribuiscono — psichiatra forense, presenza negli elenchi della loggia, consulenza per il sodalizio, rapporti con l’eversione di destra — e nodo della simmetria peritale iscritta nella Parte Tredicesima; Toni Chichiarelli quale variante onomastica del falsario già iscritto, unificata d’ufficio.</w:t>
      </w:r>
    </w:p>
    <w:p>
      <w:pPr>
        <w:spacing w:after="0" w:line="276" w:lineRule="auto"/>
        <w:ind w:firstLine="425"/>
        <w:jc w:val="both"/>
      </w:pPr>
      <w:r>
        <w:rPr>
          <w:b/>
        </w:rPr>
        <w:t xml:space="preserve">Dominio secondo, la politica.</w:t>
      </w:r>
      <w:r>
        <w:rPr/>
        <w:t xml:space="preserve"> Sono iscritti: Pietro Ingrao, </w:t>
      </w:r>
      <w:r>
        <w:rPr>
          <w:b/>
        </w:rPr>
        <w:t xml:space="preserve">Livello B</w:t>
      </w:r>
      <w:r>
        <w:rPr/>
        <w:t xml:space="preserve">, quale bersaglio del progetto di attentato contenuto nel borsello dell’aprile millenovecentosettantanove, su ordinanza istruttoria riportata in fonte parlamentare — iscrizione che muta la natura del nodo: non contesto, ma obiettivo designato in un documento della medesima officina del depistaggio; Paolo Emilio Taviani, </w:t>
      </w:r>
      <w:r>
        <w:rPr>
          <w:b/>
        </w:rPr>
        <w:t xml:space="preserve">Livello B</w:t>
      </w:r>
      <w:r>
        <w:rPr/>
        <w:t xml:space="preserve">, per le ricorrenze negli anelli degli apparati e delle audizioni; Flaminio Piccoli e Arnaldo Forlani, </w:t>
      </w:r>
      <w:r>
        <w:rPr>
          <w:b/>
        </w:rPr>
        <w:t xml:space="preserve">Livello B</w:t>
      </w:r>
      <w:r>
        <w:rPr/>
        <w:t xml:space="preserve"> le funzioni; Enrico Berlinguer, </w:t>
      </w:r>
      <w:r>
        <w:rPr>
          <w:b/>
        </w:rPr>
        <w:t xml:space="preserve">Livello A</w:t>
      </w:r>
      <w:r>
        <w:rPr/>
        <w:t xml:space="preserve"> la funzione e il disegno politico cui il sequestro si abbatté; Giovanni Galloni, </w:t>
      </w:r>
      <w:r>
        <w:rPr>
          <w:b/>
        </w:rPr>
        <w:t xml:space="preserve">Livello B</w:t>
      </w:r>
      <w:r>
        <w:rPr/>
        <w:t xml:space="preserve"> la collocazione correntizia, attestata — circostanza di rilievo autonomo — in un documento d’analisi dell’intelligence statunitense sulle correnti democristiane presente nel corpus, la cui esistenza è </w:t>
      </w:r>
      <w:r>
        <w:rPr>
          <w:b/>
        </w:rPr>
        <w:t xml:space="preserve">Livello A</w:t>
      </w:r>
      <w:r>
        <w:rPr/>
        <w:t xml:space="preserve">; Claudio Vitalone, </w:t>
      </w:r>
      <w:r>
        <w:rPr>
          <w:b/>
        </w:rPr>
        <w:t xml:space="preserve">Livello B</w:t>
      </w:r>
      <w:r>
        <w:rPr/>
        <w:t xml:space="preserve">, quale magistrato poi parlamentare ricorrente nelle finestre della prima ora e nel canale dell’invito; i luoghi Piazza del Gesù e Palazzo Chigi quali toponimi di funzione, </w:t>
      </w:r>
      <w:r>
        <w:rPr>
          <w:b/>
        </w:rPr>
        <w:t xml:space="preserve">Livello A</w:t>
      </w:r>
      <w:r>
        <w:rPr/>
        <w:t xml:space="preserve">.</w:t>
      </w:r>
    </w:p>
    <w:p>
      <w:pPr>
        <w:spacing w:after="0" w:line="276" w:lineRule="auto"/>
        <w:ind w:firstLine="425"/>
        <w:jc w:val="both"/>
      </w:pPr>
      <w:r>
        <w:rPr>
          <w:b/>
        </w:rPr>
        <w:t xml:space="preserve">Dominio terzo, gli apparati informativi.</w:t>
      </w:r>
      <w:r>
        <w:rPr/>
        <w:t xml:space="preserve"> Sono iscritti: Federico Umberto D’Amato, </w:t>
      </w:r>
      <w:r>
        <w:rPr>
          <w:b/>
        </w:rPr>
        <w:t xml:space="preserve">Livello B</w:t>
      </w:r>
      <w:r>
        <w:rPr/>
        <w:t xml:space="preserve">, quale direttore dell’ufficio riservato ricorrente negli anelli; Francesco Pazienza, </w:t>
      </w:r>
      <w:r>
        <w:rPr>
          <w:b/>
        </w:rPr>
        <w:t xml:space="preserve">Livello B</w:t>
      </w:r>
      <w:r>
        <w:rPr/>
        <w:t xml:space="preserve">, per il rapporto con il direttore di un servizio attestato dalla relazione parlamentare sulla loggia; la voce Stay Behind e il Reparto Antieversione quali strutture nominate, </w:t>
      </w:r>
      <w:r>
        <w:rPr>
          <w:b/>
        </w:rPr>
        <w:t xml:space="preserve">Livello B</w:t>
      </w:r>
      <w:r>
        <w:rPr/>
        <w:t xml:space="preserve"> le esistenze; con l’avvertenza, permanente, che questo Dominio resta quello a più alta densità di </w:t>
      </w:r>
      <w:r>
        <w:rPr>
          <w:b/>
        </w:rPr>
        <w:t xml:space="preserve">Livello C</w:t>
      </w:r>
      <w:r>
        <w:rPr/>
        <w:t xml:space="preserve"> dell’intero Registro.</w:t>
      </w:r>
    </w:p>
    <w:p>
      <w:pPr>
        <w:spacing w:after="0" w:line="276" w:lineRule="auto"/>
        <w:ind w:firstLine="425"/>
        <w:jc w:val="both"/>
      </w:pPr>
      <w:r>
        <w:rPr>
          <w:b/>
        </w:rPr>
        <w:t xml:space="preserve">Dominio nono e Dominio decimo, le armi e la giurisdizione.</w:t>
      </w:r>
      <w:r>
        <w:rPr/>
        <w:t xml:space="preserve"> Sono iscritti: il colonnello Antonio Varisco, </w:t>
      </w:r>
      <w:r>
        <w:rPr>
          <w:b/>
        </w:rPr>
        <w:t xml:space="preserve">Livello A</w:t>
      </w:r>
      <w:r>
        <w:rPr/>
        <w:t xml:space="preserve"> quanto alla funzione presso il tribunale e all’uccisione del luglio millenovecentosettantanove, iscritto quale nodo singolo e non quale voce di serie, essendo la serie già respinta; il generale Umberto Cappuzzo e il prefetto Giovanni Rinaldo Coronas, </w:t>
      </w:r>
      <w:r>
        <w:rPr>
          <w:b/>
        </w:rPr>
        <w:t xml:space="preserve">Livello A</w:t>
      </w:r>
      <w:r>
        <w:rPr/>
        <w:t xml:space="preserve"> le funzioni alle date che le fonti attestano, con l’avvertenza della trappola dei due organigrammi già scolpita; il colonnello Cornacchia, iscritto con riserva d’istruttoria, non essendo la finestra stata letta. Per la giurisdizione: Francesco Monastero, </w:t>
      </w:r>
      <w:r>
        <w:rPr>
          <w:b/>
        </w:rPr>
        <w:t xml:space="preserve">Livello A</w:t>
      </w:r>
      <w:r>
        <w:rPr/>
        <w:t xml:space="preserve">, quale giudice istruttore autore dell’ordinanza che fonda la catena del falsario; Ernesto Cudillo, già iscritto; i magistrati della prima ora — De Matteo, Sica, Infelisi — e quelli della lunga istruttoria — Imposimato, Priore, Caselli, Turone, Baglione — </w:t>
      </w:r>
      <w:r>
        <w:rPr>
          <w:b/>
        </w:rPr>
        <w:t xml:space="preserve">Livello A</w:t>
      </w:r>
      <w:r>
        <w:rPr/>
        <w:t xml:space="preserve"> le funzioni, iscritti quali nodi di giurisdizione; la Corte di Cassazione quale sede, </w:t>
      </w:r>
      <w:r>
        <w:rPr>
          <w:b/>
        </w:rPr>
        <w:t xml:space="preserve">Livello A</w:t>
      </w:r>
      <w:r>
        <w:rPr/>
        <w:t xml:space="preserve">.</w:t>
      </w:r>
    </w:p>
    <w:p>
      <w:pPr>
        <w:spacing w:after="0" w:line="276" w:lineRule="auto"/>
        <w:ind w:firstLine="425"/>
        <w:jc w:val="both"/>
      </w:pPr>
      <w:r>
        <w:rPr>
          <w:b/>
        </w:rPr>
        <w:t xml:space="preserve">Dominio quinto e Dominio sesto, la mediazione e il denaro.</w:t>
      </w:r>
      <w:r>
        <w:rPr/>
        <w:t xml:space="preserve"> Sono iscritti: il padre Morlion, </w:t>
      </w:r>
      <w:r>
        <w:rPr>
          <w:b/>
        </w:rPr>
        <w:t xml:space="preserve">Livello C</w:t>
      </w:r>
      <w:r>
        <w:rPr/>
        <w:t xml:space="preserve">, la cui carta intestata le fonti collocano fra i materiali dell’appartamento di viale Giulio Cesare, con riserva di risalita alla fonte primaria; l’Istituto per le Opere di Religione e la Banca Unione quali enti emersi nell’anello del canale ecclesiastico, </w:t>
      </w:r>
      <w:r>
        <w:rPr>
          <w:b/>
        </w:rPr>
        <w:t xml:space="preserve">Livello B</w:t>
      </w:r>
      <w:r>
        <w:rPr/>
        <w:t xml:space="preserve"> le esistenze e le vicende, </w:t>
      </w:r>
      <w:r>
        <w:rPr>
          <w:b/>
        </w:rPr>
        <w:t xml:space="preserve">Livello C</w:t>
      </w:r>
      <w:r>
        <w:rPr/>
        <w:t xml:space="preserve"> ogni legame con il caso, ferma la segnalazione di salto familiare formulata nella Parte Tredicesima e assegnata alla Camera; il Banco Ambrosiano e Roberto Calvi, </w:t>
      </w:r>
      <w:r>
        <w:rPr>
          <w:b/>
        </w:rPr>
        <w:t xml:space="preserve">Livello A</w:t>
      </w:r>
      <w:r>
        <w:rPr/>
        <w:t xml:space="preserve"> le vicende proprie, iscritti quali derive dichiarate; la società di vigilanza e trasporto valori ricorrente negli anelli del falsario e del collaboratore politico, </w:t>
      </w:r>
      <w:r>
        <w:rPr>
          <w:b/>
        </w:rPr>
        <w:t xml:space="preserve">Livello C</w:t>
      </w:r>
      <w:r>
        <w:rPr/>
        <w:t xml:space="preserve">, con istruttoria già assegnata.</w:t>
      </w:r>
    </w:p>
    <w:p>
      <w:pPr>
        <w:spacing w:after="0" w:line="276" w:lineRule="auto"/>
        <w:ind w:firstLine="425"/>
        <w:jc w:val="both"/>
      </w:pPr>
      <w:r>
        <w:rPr>
          <w:b/>
        </w:rPr>
        <w:t xml:space="preserve">Dominio ottavo, l’informazione.</w:t>
      </w:r>
      <w:r>
        <w:rPr/>
        <w:t xml:space="preserve"> Sono iscritti: Corrado Guerzoni, </w:t>
      </w:r>
      <w:r>
        <w:rPr>
          <w:b/>
        </w:rPr>
        <w:t xml:space="preserve">Livello B</w:t>
      </w:r>
      <w:r>
        <w:rPr/>
        <w:t xml:space="preserve">, portavoce della vittima e fonte di dichiarazioni ricorrenti; Luca Villoresi, </w:t>
      </w:r>
      <w:r>
        <w:rPr>
          <w:b/>
        </w:rPr>
        <w:t xml:space="preserve">Livello C</w:t>
      </w:r>
      <w:r>
        <w:rPr/>
        <w:t xml:space="preserve">, giornalista ricorrente nell’anello della prigione; il settimanale straniero e il quotidiano ticinese emersi negli anelli delle origini e dei depistaggi, </w:t>
      </w:r>
      <w:r>
        <w:rPr>
          <w:b/>
        </w:rPr>
        <w:t xml:space="preserve">Livello B</w:t>
      </w:r>
      <w:r>
        <w:rPr/>
        <w:t xml:space="preserve"> le esistenze, quali canali di pubblicazione di materiali d’apparato — funzione che li iscrive alla frontiera fra l’ottavo e il terzo Dominio.</w:t>
      </w:r>
    </w:p>
    <w:p>
      <w:pPr>
        <w:spacing w:after="0" w:line="276" w:lineRule="auto"/>
        <w:ind w:firstLine="425"/>
        <w:jc w:val="both"/>
      </w:pPr>
      <w:r>
        <w:rPr>
          <w:b/>
        </w:rPr>
        <w:t xml:space="preserve">Eventi e vicende di confine.</w:t>
      </w:r>
      <w:r>
        <w:rPr/>
        <w:t xml:space="preserve"> Sono iscritti: la strage dell’Italicus dell’agosto millenovecentosettantaquattro, con la circostanza — riferita dalle fonti al </w:t>
      </w:r>
      <w:r>
        <w:rPr>
          <w:b/>
        </w:rPr>
        <w:t xml:space="preserve">Livello C</w:t>
      </w:r>
      <w:r>
        <w:rPr/>
        <w:t xml:space="preserve">, in quanto poggiante sulla monografia e su testimonianze di cerchia — che la vittima del sequestro si trovasse a bordo del treno e ne fosse scesa poco prima della partenza per ragioni d’ufficio: circostanza che, ove elevata da atto, retrodaterebbe di quattro anni l’esposizione del bersaglio, e che è perciò assegnata a istruttoria nominata; il sequestro dell’assessore campano del millenovecentottantuno, </w:t>
      </w:r>
      <w:r>
        <w:rPr>
          <w:b/>
        </w:rPr>
        <w:t xml:space="preserve">Livello B</w:t>
      </w:r>
      <w:r>
        <w:rPr/>
        <w:t xml:space="preserve"> su fonte che riporta la commissione parlamentare antimafia, iscritto quale </w:t>
      </w:r>
      <w:r>
        <w:rPr>
          <w:b/>
        </w:rPr>
        <w:t xml:space="preserve">termine di confronto strutturale</w:t>
      </w:r>
      <w:r>
        <w:rPr/>
        <w:t xml:space="preserve">: la trattativa che nel settantotto fu negata risulta, tre anni dopo, condotta — e l’asimmetria delle due gestioni è un dato che ogni ipotesi sulla fermezza deve spiegare, nell’uno e nell’altro senso; il commissario Luigi Calabresi e la vicenda di piazza Fontana quali contesto d’origine, </w:t>
      </w:r>
      <w:r>
        <w:rPr>
          <w:b/>
        </w:rPr>
        <w:t xml:space="preserve">Livello A</w:t>
      </w:r>
      <w:r>
        <w:rPr/>
        <w:t xml:space="preserve"> i fatti propri; la sigla eversiva meridionale e l’appunto sull’incontro con l’organizzazione straniera del millenovecentottanta, </w:t>
      </w:r>
      <w:r>
        <w:rPr>
          <w:b/>
        </w:rPr>
        <w:t xml:space="preserve">Livello B</w:t>
      </w:r>
      <w:r>
        <w:rPr/>
        <w:t xml:space="preserve"> l’appunto, quale confine della stagione successiva; la voce Falange, iscritta con riserva d’istruttoria integrale, non essendo stata letta.</w:t>
      </w:r>
    </w:p>
    <w:p>
      <w:pPr>
        <w:spacing w:after="0" w:line="276" w:lineRule="auto"/>
        <w:ind w:firstLine="425"/>
        <w:jc w:val="both"/>
      </w:pPr>
      <w:r>
        <w:rPr>
          <w:b/>
        </w:rPr>
        <w:t xml:space="preserve">Espunzioni e artefatti della Parte Quattordicesima.</w:t>
      </w:r>
      <w:r>
        <w:rPr/>
        <w:t xml:space="preserve"> Sono espunti, con la solennità che il metodo prescrive: la voce Igor Caetani, artefatto di estrazione generato dall’adiacenza tipografica fra il nome del musicista e il cognome della consorte, che non designa persona alcuna nel corpus; gli omonimi Varone di procedimento campano, già espunti, restando aperta l’istruttoria sul Francesco Varone dell’anello calabrese; le voci grammaticali e i frammenti — fra cui un participio scambiato per cognome nell’anello della riunione bolognese — espunti d’ufficio; resta iscritta, quale avvertenza permanente, l’omonimia interna della banda già scolpita. Con queste espunzioni, il censimento dei due Anelli è chiuso: </w:t>
      </w:r>
      <w:r>
        <w:rPr>
          <w:b/>
        </w:rPr>
        <w:t xml:space="preserve">ogni voce sopra soglia è iscritta, espunta o assegnata</w:t>
      </w:r>
      <w:r>
        <w:rPr/>
        <w:t xml:space="preserve">, e la completezza è certificata.</w:t>
      </w:r>
    </w:p>
    <w:p>
      <w:pPr>
        <w:pageBreakBefore/>
        <w:spacing w:before="240" w:after="120" w:line="276" w:lineRule="auto"/>
        <w:jc w:val="left"/>
      </w:pPr>
      <w:r>
        <w:rPr>
          <w:b/>
          <w:sz w:val="28"/>
          <w:szCs w:val="28"/>
        </w:rPr>
        <w:t xml:space="preserve">PARTE QUINDICESIMA — GLI ASSONI PERIFERICI: DOVE PUNTA LA RETE VERSO L’ESTERNO</w:t>
      </w:r>
    </w:p>
    <w:p>
      <w:pPr>
        <w:spacing w:after="0" w:line="276" w:lineRule="auto"/>
        <w:ind w:firstLine="425"/>
        <w:jc w:val="both"/>
      </w:pPr>
      <w:r>
        <w:rPr/>
        <w:t xml:space="preserve">Il Registro chiama assoni le terminazioni periferiche del Secondo Anello: le direttrici lungo le quali la rete del caso, giunta al proprio margine, punta verso l’esterno — verso altri Paesi, altri casi, altri decenni. La registrazione degli assoni ha, nel nuovo statuto, funzione investigativa precisa: ciascun assone è una </w:t>
      </w:r>
      <w:r>
        <w:rPr>
          <w:b/>
        </w:rPr>
        <w:t xml:space="preserve">direzione di istruttoria</w:t>
      </w:r>
      <w:r>
        <w:rPr/>
        <w:t xml:space="preserve">, non una connessione; indica dove la Camera dovrà guardare, non che cosa troverà. Ogni assone è descritto con il nodo di uscita, la direzione e il livello del supporto.</w:t>
      </w:r>
    </w:p>
    <w:p>
      <w:pPr>
        <w:spacing w:after="0" w:line="276" w:lineRule="auto"/>
        <w:ind w:firstLine="425"/>
        <w:jc w:val="both"/>
      </w:pPr>
      <w:r>
        <w:rPr>
          <w:b/>
        </w:rPr>
        <w:t xml:space="preserve">Assone germanico.</w:t>
      </w:r>
      <w:r>
        <w:rPr/>
        <w:t xml:space="preserve"> Nodo di uscita: Mario Moretti; direzione: la Rote Armee Fraktion e il sequestro dell’industriale tedesco dell’autunno settantasette; supporto: le dichiarazioni del collaboratore sui viaggi del terrorista tedesco poi ucciso con addosso i documenti dei contatti — </w:t>
      </w:r>
      <w:r>
        <w:rPr>
          <w:b/>
        </w:rPr>
        <w:t xml:space="preserve">Livello B</w:t>
      </w:r>
      <w:r>
        <w:rPr/>
        <w:t xml:space="preserve">. È l’assone meglio documentato, e la sua istruttoria naturale è la comparazione strutturale fra i due sequestri, da condursi come isomorfismo e non come analogia.</w:t>
      </w:r>
    </w:p>
    <w:p>
      <w:pPr>
        <w:spacing w:after="0" w:line="276" w:lineRule="auto"/>
        <w:ind w:firstLine="425"/>
        <w:jc w:val="both"/>
      </w:pPr>
      <w:r>
        <w:rPr>
          <w:b/>
        </w:rPr>
        <w:t xml:space="preserve">Assone francese.</w:t>
      </w:r>
      <w:r>
        <w:rPr/>
        <w:t xml:space="preserve"> Nodi di uscita: i fondatori dell’istituto parigino e, per altra via, la latitanza parigina di militanti; direzione: la capitale francese quale retrovia dichiarata dalle fonti; supporto: </w:t>
      </w:r>
      <w:r>
        <w:rPr>
          <w:b/>
        </w:rPr>
        <w:t xml:space="preserve">Livello B</w:t>
      </w:r>
      <w:r>
        <w:rPr/>
        <w:t xml:space="preserve"> le esistenze e le istruttorie, </w:t>
      </w:r>
      <w:r>
        <w:rPr>
          <w:b/>
        </w:rPr>
        <w:t xml:space="preserve">Livello C</w:t>
      </w:r>
      <w:r>
        <w:rPr/>
        <w:t xml:space="preserve"> ogni funzione direttiva. Vi afferisce, per il suo margine, anche il documento informativo francese della conoscenza anticipata, già iscritto quale terza lacuna.</w:t>
      </w:r>
    </w:p>
    <w:p>
      <w:pPr>
        <w:spacing w:after="0" w:line="276" w:lineRule="auto"/>
        <w:ind w:firstLine="425"/>
        <w:jc w:val="both"/>
      </w:pPr>
      <w:r>
        <w:rPr>
          <w:b/>
        </w:rPr>
        <w:t xml:space="preserve">Assone orientale.</w:t>
      </w:r>
      <w:r>
        <w:rPr/>
        <w:t xml:space="preserve"> Nodi di uscita: il borsista segnalato dall’assistente della vittima, il padre della locataria di viale Giulio Cesare, e — sul piano materiale — l’arma dell’omicidio, di fabbricazione cecoslovacca; direzione: gli apparati d’oltrecortina; supporto: </w:t>
      </w:r>
      <w:r>
        <w:rPr>
          <w:b/>
        </w:rPr>
        <w:t xml:space="preserve">Livello B</w:t>
      </w:r>
      <w:r>
        <w:rPr/>
        <w:t xml:space="preserve"> le circostanze riferite da fonte parlamentare, </w:t>
      </w:r>
      <w:r>
        <w:rPr>
          <w:b/>
        </w:rPr>
        <w:t xml:space="preserve">Livello A</w:t>
      </w:r>
      <w:r>
        <w:rPr/>
        <w:t xml:space="preserve"> il dato tecnico dell’arma, </w:t>
      </w:r>
      <w:r>
        <w:rPr>
          <w:b/>
        </w:rPr>
        <w:t xml:space="preserve">Livello C</w:t>
      </w:r>
      <w:r>
        <w:rPr/>
        <w:t xml:space="preserve"> ogni inferenza di direzione. L’assone tocca inoltre, per il tramite delle origini dell’editore milanese, la Cecoslovacchia degli anni precedenti, quale contesto e non quale caso.</w:t>
      </w:r>
    </w:p>
    <w:p>
      <w:pPr>
        <w:spacing w:after="0" w:line="276" w:lineRule="auto"/>
        <w:ind w:firstLine="425"/>
        <w:jc w:val="both"/>
      </w:pPr>
      <w:r>
        <w:rPr>
          <w:b/>
        </w:rPr>
        <w:t xml:space="preserve">Assone atlantico.</w:t>
      </w:r>
      <w:r>
        <w:rPr/>
        <w:t xml:space="preserve"> Nodi di uscita: il consulente statunitense della struttura di crisi, la carta intestata del religioso statunitense fra i materiali dell’appartamento, il documento d’analisi sulle correnti democristiane; direzione: gli apparati e gli ambienti nordamericani; supporto: </w:t>
      </w:r>
      <w:r>
        <w:rPr>
          <w:b/>
        </w:rPr>
        <w:t xml:space="preserve">Livello B</w:t>
      </w:r>
      <w:r>
        <w:rPr/>
        <w:t xml:space="preserve"> la presenza e il ruolo consultivo, </w:t>
      </w:r>
      <w:r>
        <w:rPr>
          <w:b/>
        </w:rPr>
        <w:t xml:space="preserve">Livello A</w:t>
      </w:r>
      <w:r>
        <w:rPr/>
        <w:t xml:space="preserve"> l’esistenza del documento d’analisi, </w:t>
      </w:r>
      <w:r>
        <w:rPr>
          <w:b/>
        </w:rPr>
        <w:t xml:space="preserve">Livello C</w:t>
      </w:r>
      <w:r>
        <w:rPr/>
        <w:t xml:space="preserve"> le autodichiarazioni tarde e ogni carta non risalita. È l’assone dove più netta è la forbice fra la solidità dei fatti minori e la fragilità delle affermazioni maggiori, e il vaglio investigativo deve tenerla aperta.</w:t>
      </w:r>
    </w:p>
    <w:p>
      <w:pPr>
        <w:spacing w:after="0" w:line="276" w:lineRule="auto"/>
        <w:ind w:firstLine="425"/>
        <w:jc w:val="both"/>
      </w:pPr>
      <w:r>
        <w:rPr>
          <w:b/>
        </w:rPr>
        <w:t xml:space="preserve">Assone vaticano-finanziario.</w:t>
      </w:r>
      <w:r>
        <w:rPr/>
        <w:t xml:space="preserve"> Nodi di uscita: il canale ecclesiastico di ritorno e l’anello che lo circonda; direzione: l’istituto finanziario della Santa Sede e il sistema bancario che vi si intrecciò; supporto: </w:t>
      </w:r>
      <w:r>
        <w:rPr>
          <w:b/>
        </w:rPr>
        <w:t xml:space="preserve">Livello B</w:t>
      </w:r>
      <w:r>
        <w:rPr/>
        <w:t xml:space="preserve"> il canale, </w:t>
      </w:r>
      <w:r>
        <w:rPr>
          <w:b/>
        </w:rPr>
        <w:t xml:space="preserve">Livello C</w:t>
      </w:r>
      <w:r>
        <w:rPr/>
        <w:t xml:space="preserve"> il salto familiare ipotizzato nella Parte Tredicesima, che di questo assone è l’istruttoria nominata. Le vicende bancarie degli anni successivi restano derive dichiarate.</w:t>
      </w:r>
    </w:p>
    <w:p>
      <w:pPr>
        <w:spacing w:after="0" w:line="276" w:lineRule="auto"/>
        <w:ind w:firstLine="425"/>
        <w:jc w:val="both"/>
      </w:pPr>
      <w:r>
        <w:rPr>
          <w:b/>
        </w:rPr>
        <w:t xml:space="preserve">Assone calabrese.</w:t>
      </w:r>
      <w:r>
        <w:rPr/>
        <w:t xml:space="preserve"> Nodi di uscita: il boss accusato da un collaboratore, il collaboratore medesimo, il detenuto già della legione straniera; direzione: la ’ndrangheta del versante ionico e le sue proiezioni; supporto: </w:t>
      </w:r>
      <w:r>
        <w:rPr>
          <w:b/>
        </w:rPr>
        <w:t xml:space="preserve">Livello C</w:t>
      </w:r>
      <w:r>
        <w:rPr/>
        <w:t xml:space="preserve"> le presenze in via Fani, </w:t>
      </w:r>
      <w:r>
        <w:rPr>
          <w:b/>
        </w:rPr>
        <w:t xml:space="preserve">Livello B</w:t>
      </w:r>
      <w:r>
        <w:rPr/>
        <w:t xml:space="preserve"> la catena parlamentare della telefonata e della fotografia mancante. Vi appartiene, sul piano rituale, la tradizione dei matrimoni di componimento delle faide, che è materia propria del Salto della Quaglia e la cui istruttoria richiede il salto di fonte verso i registri.</w:t>
      </w:r>
    </w:p>
    <w:p>
      <w:pPr>
        <w:spacing w:after="0" w:line="276" w:lineRule="auto"/>
        <w:ind w:firstLine="425"/>
        <w:jc w:val="both"/>
      </w:pPr>
      <w:r>
        <w:rPr>
          <w:b/>
        </w:rPr>
        <w:t xml:space="preserve">Assone siciliano.</w:t>
      </w:r>
      <w:r>
        <w:rPr/>
        <w:t xml:space="preserve"> Nodo di uscita: la dichiarazione sull’invito a incontrare uno dei capi; direzione: Cosa Nostra e i suoi tramiti d’affari; supporto: </w:t>
      </w:r>
      <w:r>
        <w:rPr>
          <w:b/>
        </w:rPr>
        <w:t xml:space="preserve">Livello B</w:t>
      </w:r>
      <w:r>
        <w:rPr/>
        <w:t xml:space="preserve"> la dichiarazione, </w:t>
      </w:r>
      <w:r>
        <w:rPr>
          <w:b/>
        </w:rPr>
        <w:t xml:space="preserve">Livello C</w:t>
      </w:r>
      <w:r>
        <w:rPr/>
        <w:t xml:space="preserve"> l’effettività. L’indicazione del luogo possibile — un ufficio della giurisdizione — fa di questo assone il più delicato sul piano istituzionale, e la sua istruttoria esige il massimo rigore della terza regola: canale di possibilità, non uso provato.</w:t>
      </w:r>
    </w:p>
    <w:p>
      <w:pPr>
        <w:spacing w:after="0" w:line="276" w:lineRule="auto"/>
        <w:ind w:firstLine="425"/>
        <w:jc w:val="both"/>
      </w:pPr>
      <w:r>
        <w:rPr>
          <w:b/>
        </w:rPr>
        <w:t xml:space="preserve">Assone campano.</w:t>
      </w:r>
      <w:r>
        <w:rPr/>
        <w:t xml:space="preserve"> Nodi di uscita: il capo della nuova organizzazione carceraria e il suo rapporto con l’esponente della banda romana; direzione: il sequestro dell’assessore del millenovecentottantuno e la trattativa che vi fu condotta; supporto: </w:t>
      </w:r>
      <w:r>
        <w:rPr>
          <w:b/>
        </w:rPr>
        <w:t xml:space="preserve">Livello B</w:t>
      </w:r>
      <w:r>
        <w:rPr/>
        <w:t xml:space="preserve">. È l’assone del confronto strutturale, e la sua istruttoria è già formulata: spiegare l’asimmetria fra le due gestioni.</w:t>
      </w:r>
    </w:p>
    <w:p>
      <w:pPr>
        <w:spacing w:after="0" w:line="276" w:lineRule="auto"/>
        <w:ind w:firstLine="425"/>
        <w:jc w:val="both"/>
      </w:pPr>
      <w:r>
        <w:rPr>
          <w:b/>
        </w:rPr>
        <w:t xml:space="preserve">Assone nero.</w:t>
      </w:r>
      <w:r>
        <w:rPr/>
        <w:t xml:space="preserve"> Nodi di uscita: la giunzione fra la banda e l’area armata di destra, la simmetria peritale, l’appunto sull’incontro del millenovecentottanta; direzione: le stragi della stagione — da piazza Fontana a Brescia alla stazione — e i loro depistaggi; supporto: </w:t>
      </w:r>
      <w:r>
        <w:rPr>
          <w:b/>
        </w:rPr>
        <w:t xml:space="preserve">Livello B</w:t>
      </w:r>
      <w:r>
        <w:rPr/>
        <w:t xml:space="preserve"> le giunzioni attestate, </w:t>
      </w:r>
      <w:r>
        <w:rPr>
          <w:b/>
        </w:rPr>
        <w:t xml:space="preserve">Livello C</w:t>
      </w:r>
      <w:r>
        <w:rPr/>
        <w:t xml:space="preserve"> ogni estensione. È l’assone che più direttamente si giunge con la materia dell’opera maggiore, e proprio qui il Registro ribadisce che la giunzione documentale non è conferma reciproca.</w:t>
      </w:r>
    </w:p>
    <w:p>
      <w:pPr>
        <w:spacing w:after="0" w:line="276" w:lineRule="auto"/>
        <w:ind w:firstLine="425"/>
        <w:jc w:val="both"/>
      </w:pPr>
      <w:r>
        <w:rPr>
          <w:b/>
        </w:rPr>
        <w:t xml:space="preserve">Assone mediorientale.</w:t>
      </w:r>
      <w:r>
        <w:rPr/>
        <w:t xml:space="preserve"> Nodi di uscita: l’accordo di non belligeranza noto con il nome della vittima, i nomi dei dirigenti dell’organizzazione palestinese ricorrenti negli anelli; direzione: il Mediterraneo orientale e i traffici che l’accordo governava; supporto: </w:t>
      </w:r>
      <w:r>
        <w:rPr>
          <w:b/>
        </w:rPr>
        <w:t xml:space="preserve">Livello C</w:t>
      </w:r>
      <w:r>
        <w:rPr/>
        <w:t xml:space="preserve"> allo stato del corpus, con la conversione del blocco stenografico quale condizione dichiarata dell’istruttoria.</w:t>
      </w:r>
    </w:p>
    <w:p>
      <w:pPr>
        <w:spacing w:after="0" w:line="276" w:lineRule="auto"/>
        <w:ind w:firstLine="425"/>
        <w:jc w:val="both"/>
      </w:pPr>
      <w:r>
        <w:rPr>
          <w:b/>
        </w:rPr>
        <w:t xml:space="preserve">Assone elvetico e assone della cittadina vaticana.</w:t>
      </w:r>
      <w:r>
        <w:rPr/>
        <w:t xml:space="preserve"> Il primo raccoglie le ricorrenze svizzere — i soggiorni della marchesa, i transiti dei militanti, il quotidiano ticinese dei materiali d’apparato — </w:t>
      </w:r>
      <w:r>
        <w:rPr>
          <w:b/>
        </w:rPr>
        <w:t xml:space="preserve">Livello C</w:t>
      </w:r>
      <w:r>
        <w:rPr/>
        <w:t xml:space="preserve"> quale direzione cumulativa da istruire sul piano patrimoniale, che è il suo piano naturale. Il secondo è il confine già dichiarato: la vicenda della cittadina scomparsa e della sua coetanea, toccata dagli anelli per il tramite dell’esponente della banda e dell’inventario presidenziale, resta fuori dal caso e dentro la mappa — il Registro ne fissa la giunzione e vi si arresta.</w:t>
      </w:r>
    </w:p>
    <w:p>
      <w:pPr>
        <w:spacing w:after="0" w:line="276" w:lineRule="auto"/>
        <w:ind w:firstLine="425"/>
        <w:jc w:val="both"/>
      </w:pPr>
      <w:r>
        <w:rPr>
          <w:b/>
        </w:rPr>
        <w:t xml:space="preserve">Chiusura della Parte.</w:t>
      </w:r>
      <w:r>
        <w:rPr/>
        <w:t xml:space="preserve"> Dodici assoni, dodici direzioni d’istruttoria: la rete del caso, censita fino al secondo grado, mostra di che cosa il caso è frontiera. Nessun assone è una prova; ciascuno è un mandato. E la loro carta complessiva consegna al vaglio investigativo la sua prima risultanza d’insieme: il sequestro non giace al centro di un cerchio vuoto, ma al punto di incrocio di direttrici che lo precedono e gli sopravvivono — il che non dimostra alcuna regia, e dimostra però che ogni ipotesi formulata come se il caso fosse un’isola parte da una geografia falsa.</w:t>
      </w:r>
    </w:p>
    <w:p>
      <w:pPr>
        <w:pageBreakBefore/>
        <w:spacing w:before="240" w:after="120" w:line="276" w:lineRule="auto"/>
        <w:jc w:val="left"/>
      </w:pPr>
      <w:r>
        <w:rPr>
          <w:b/>
          <w:sz w:val="28"/>
          <w:szCs w:val="28"/>
        </w:rPr>
        <w:t xml:space="preserve">PARTE SEDICESIMA — IL VAGLIO INVESTIGATIVO: PRIME RISULTANZE E ISTRUTTORIE</w:t>
      </w:r>
    </w:p>
    <w:p>
      <w:pPr>
        <w:spacing w:after="0" w:line="276" w:lineRule="auto"/>
        <w:ind w:firstLine="425"/>
        <w:jc w:val="both"/>
      </w:pPr>
      <w:r>
        <w:rPr/>
        <w:t xml:space="preserve">In applicazione del nuovo statuto, il Registro formula le prime risultanze del vaglio, nella forma che la codifica impone: canali di possibilità documentati, ipotesi con condizioni di falsificazione, istruttorie nominate — nessuna attribuzione di responsabilità. Primo: è documentato al </w:t>
      </w:r>
      <w:r>
        <w:rPr>
          <w:b/>
        </w:rPr>
        <w:t xml:space="preserve">Livello B</w:t>
      </w:r>
      <w:r>
        <w:rPr/>
        <w:t xml:space="preserve"> un canale informativo fra l’officina del principale depistaggio e un reparto investigativo, per il tramite di un confidente; l’uso, il verso e i beneficiari del canale sono ignoti, e la loro determinazione è l’istruttoria prima. Secondo: è documentata al </w:t>
      </w:r>
      <w:r>
        <w:rPr>
          <w:b/>
        </w:rPr>
        <w:t xml:space="preserve">Livello B</w:t>
      </w:r>
      <w:r>
        <w:rPr/>
        <w:t xml:space="preserve"> una dichiarazione secondo cui un tramite d’affari propose l’incontro fra un parlamentare e un capo mafioso indicando quale sede possibile un ufficio della giurisdizione; l’effettività è indimostrata, e la verifica della dichiarazione — riscontri, date, moventi del dichiarante — è l’istruttoria seconda. Terzo: è formulata al </w:t>
      </w:r>
      <w:r>
        <w:rPr>
          <w:b/>
        </w:rPr>
        <w:t xml:space="preserve">Livello C</w:t>
      </w:r>
      <w:r>
        <w:rPr/>
        <w:t xml:space="preserve"> la simmetria dei due criminologi degli elenchi, l’uno presso la struttura di crisi e l’altro presso il sodalizio criminale; la sua elevazione o la sua caduta dipendono dalla lettura integrale delle rispettive posizioni, che è l’istruttoria terza. Quarto: è formulata al </w:t>
      </w:r>
      <w:r>
        <w:rPr>
          <w:b/>
        </w:rPr>
        <w:t xml:space="preserve">Livello C</w:t>
      </w:r>
      <w:r>
        <w:rPr/>
        <w:t xml:space="preserve"> l’ipotesi del salto familiare nel canale vaticano; la verifica anagrafica è l’istruttoria quarta. Quinto: è iscritta al </w:t>
      </w:r>
      <w:r>
        <w:rPr>
          <w:b/>
        </w:rPr>
        <w:t xml:space="preserve">Livello C</w:t>
      </w:r>
      <w:r>
        <w:rPr/>
        <w:t xml:space="preserve"> la circostanza dell’Italicus, la cui elevazione richiede atto coevo ed è l’istruttoria quinta. Sesto: è iscritto al </w:t>
      </w:r>
      <w:r>
        <w:rPr>
          <w:b/>
        </w:rPr>
        <w:t xml:space="preserve">Livello B</w:t>
      </w:r>
      <w:r>
        <w:rPr/>
        <w:t xml:space="preserve"> il confronto strutturale con la gestione del sequestro campano, la cui spiegazione è l’istruttoria sesta, comune a tutte le ipotesi concorrenti della Parte Ottava. Restano ferme, sovraordinate, la conversione del blocco stenografico e le assegnazioni delle Parti precedenti, che questa Parte non sostituisce ma ordina.</w:t>
      </w:r>
    </w:p>
    <w:p>
      <w:pPr>
        <w:pageBreakBefore/>
        <w:spacing w:before="240" w:after="120" w:line="276" w:lineRule="auto"/>
        <w:jc w:val="left"/>
      </w:pPr>
      <w:r>
        <w:rPr>
          <w:b/>
          <w:sz w:val="28"/>
          <w:szCs w:val="28"/>
        </w:rPr>
        <w:t xml:space="preserve">COLOPHON DELL’EDIZIONE QUARTA</w:t>
      </w:r>
    </w:p>
    <w:p>
      <w:pPr>
        <w:spacing w:after="0" w:line="276" w:lineRule="auto"/>
        <w:ind w:firstLine="425"/>
        <w:jc w:val="both"/>
      </w:pPr>
      <w:r>
        <w:rPr/>
        <w:t xml:space="preserve">REGISTRO ANALITICO DEL CASO MORO, edizione quarta, definitiva quanto al censimento degli Anelli, con la Metodologia del Salto della Quaglia di Luigi De Michele, prodotta il due agosto duemilaventisei secondo il Protocollo Zero-Token e nello standard tipografico dell’opera: carattere Times New Roman di corpo dodici, formato A4, giustificazione integrale, rientro di prima riga, interlinea di uno virgola quindici, prosa continua, classificazione Savona in grassetto. Documento autonomo e autosufficiente, indipendente dal Registro Unico Federato di ITALIA NERA quanto a catena probatoria, apparato e istruttoria, con dichiarazione espressa del limite materiale di tale indipendenza. Le Parti dedicate agli Anelli sono tenute a fini investigativi secondo la codifica scolpita in frontespizio: istruttoria di ipotesi, mai attribuzione di responsabilità; la certificazione riguarda la completezza del censimento e mai i legami. Incorpora verbatim l’edizione terza e, per suo tramite, la seconda e la prima; ogni edizione successiva conterrà verbatim la presente. Resta sovrana la Regola di Ferro: dove la fonte documenta, l’opera certifica; dove la fonte tace, l’opera indaga e non afferma. Autore e direttore dell’opera: Luigi De Michele.</w:t>
      </w:r>
    </w:p>
    <w:p>
      <w:pPr>
        <w:pageBreakBefore/>
        <w:spacing w:before="240" w:after="120" w:line="276" w:lineRule="auto"/>
        <w:jc w:val="left"/>
      </w:pPr>
      <w:r>
        <w:rPr>
          <w:b/>
          <w:sz w:val="28"/>
          <w:szCs w:val="28"/>
        </w:rPr>
        <w:t xml:space="preserve">PARTE DICIASSETTESIMA — LA CLASSIFICAZIONE DI DESCARTES</w:t>
      </w:r>
    </w:p>
    <w:p>
      <w:pPr>
        <w:spacing w:before="60" w:after="0" w:line="276" w:lineRule="auto"/>
        <w:jc w:val="center"/>
      </w:pPr>
      <w:r>
        <w:rPr>
          <w:sz w:val="24"/>
          <w:szCs w:val="24"/>
        </w:rPr>
        <w:t xml:space="preserve">Metodologia di Luigi De Michele</w:t>
      </w:r>
    </w:p>
    <w:p>
      <w:pPr>
        <w:spacing w:before="240" w:after="120" w:line="276" w:lineRule="auto"/>
        <w:jc w:val="left"/>
      </w:pPr>
      <w:r>
        <w:rPr>
          <w:b/>
          <w:sz w:val="24"/>
          <w:szCs w:val="24"/>
        </w:rPr>
        <w:t xml:space="preserve">Definizione e principio</w:t>
      </w:r>
    </w:p>
    <w:p>
      <w:pPr>
        <w:spacing w:after="0" w:line="276" w:lineRule="auto"/>
        <w:ind w:firstLine="425"/>
        <w:jc w:val="both"/>
      </w:pPr>
      <w:r>
        <w:rPr/>
        <w:t xml:space="preserve">La Classificazione di Descartes, elaborata dall’autore del presente Registro e qui formalizzata quale ordinamento probatorio unico dei Documenti Morotei, si enuncia in una proposizione sola: </w:t>
      </w:r>
      <w:r>
        <w:rPr>
          <w:b/>
        </w:rPr>
        <w:t xml:space="preserve">tutto ciò che è un dubbio resta un dubbio, e non è classificabile, fintantoché non è sciolto</w:t>
      </w:r>
      <w:r>
        <w:rPr/>
        <w:t xml:space="preserve">. Da questa proposizione discende l’intero ordinamento, che conosce tre stati e tre soltanto. Lo stato di </w:t>
      </w:r>
      <w:r>
        <w:rPr>
          <w:b/>
        </w:rPr>
        <w:t xml:space="preserve">sciolto</w:t>
      </w:r>
      <w:r>
        <w:rPr/>
        <w:t xml:space="preserve">: l’asserzione la cui evidenza è chiara e distinta — l’atto prodotto, il fatto accertato nella sede propria, il dato tecnico verificato — e che il Registro certifica. Lo stato di </w:t>
      </w:r>
      <w:r>
        <w:rPr>
          <w:b/>
        </w:rPr>
        <w:t xml:space="preserve">dissolto</w:t>
      </w:r>
      <w:r>
        <w:rPr/>
        <w:t xml:space="preserve">: il dubbio sciolto in senso negativo — l’artefatto smascherato, l’omonimia separata, la voce espunta con motivazione — che il Registro archivia nel registro delle espunzioni. E lo stato di </w:t>
      </w:r>
      <w:r>
        <w:rPr>
          <w:b/>
        </w:rPr>
        <w:t xml:space="preserve">dubbio</w:t>
      </w:r>
      <w:r>
        <w:rPr/>
        <w:t xml:space="preserve">: tutto il resto, senza eccezione e senza gradazione. Il dubbio è uno stato </w:t>
      </w:r>
      <w:r>
        <w:rPr>
          <w:b/>
        </w:rPr>
        <w:t xml:space="preserve">unico e indiviso</w:t>
      </w:r>
      <w:r>
        <w:rPr/>
        <w:t xml:space="preserve">: non esistono dubbi forti e dubbi deboli, dubbi probabili e dubbi remoti, dubbi di serie prima e di serie seconda — esistono dubbi pendenti, ciascuno con la propria condizione di scioglimento, tutti egualmente aperti dinanzi all’istruttoria. La differenza radicale rispetto all’ordinamento deposto sta qui: la classificazione previgente graduava il dubbio, e la graduazione — per quanto onesta — era essa stessa un giudizio, che pesava sul corso dell’indagine, orientava le priorità, e rischiava di trasformare un’etichetta provvisoria in un destino. Il nuovo ordinamento restituisce al dubbio la sua natura: non un voto, ma una domanda.</w:t>
      </w:r>
    </w:p>
    <w:p>
      <w:pPr>
        <w:spacing w:after="0" w:line="276" w:lineRule="auto"/>
        <w:ind w:firstLine="425"/>
        <w:jc w:val="both"/>
      </w:pPr>
      <w:r>
        <w:rPr/>
        <w:t xml:space="preserve">Corollario primo: </w:t>
      </w:r>
      <w:r>
        <w:rPr>
          <w:b/>
        </w:rPr>
        <w:t xml:space="preserve">il dubbio non decide</w:t>
      </w:r>
      <w:r>
        <w:rPr/>
        <w:t xml:space="preserve">. Nessuna pista è chiusa, retrocessa o promossa in ragione del suo stato; l’istruttoria procede su ogni dubbio pendente secondo il proprio ordine, e lo stato di dubbio non interferisce mai sul corso della ricerca investigativa. Corollario secondo: </w:t>
      </w:r>
      <w:r>
        <w:rPr>
          <w:b/>
        </w:rPr>
        <w:t xml:space="preserve">il dubbio non si eredita graduato</w:t>
      </w:r>
      <w:r>
        <w:rPr/>
        <w:t xml:space="preserve">. Le catene di dubbi — che l’apparato conosceva come ipotesi al quadrato e al cubo — restano catene di domande: la loro lunghezza è un dato istruttorio, non un declassamento. Corollario terzo: </w:t>
      </w:r>
      <w:r>
        <w:rPr>
          <w:b/>
        </w:rPr>
        <w:t xml:space="preserve">lo scioglimento è l’unico evento classificatorio</w:t>
      </w:r>
      <w:r>
        <w:rPr/>
        <w:t xml:space="preserve">. Un dubbio muta stato in due soli modi: per evidenza chiara e distinta che lo scioglie in certificazione, o per dissoluzione che lo scioglie in espunzione; ogni altro movimento — l’accumulo di conferme, la ripetizione delle fonti, la suggestione convergente — lo lascia esattamente dov’era: pendente.</w:t>
      </w:r>
    </w:p>
    <w:p>
      <w:pPr>
        <w:spacing w:before="240" w:after="120" w:line="276" w:lineRule="auto"/>
        <w:jc w:val="left"/>
      </w:pPr>
      <w:r>
        <w:rPr>
          <w:b/>
          <w:sz w:val="24"/>
          <w:szCs w:val="24"/>
        </w:rPr>
        <w:t xml:space="preserve">Fondamento: le quattro regole del Metodo e il dubbio che lavora</w:t>
      </w:r>
    </w:p>
    <w:p>
      <w:pPr>
        <w:spacing w:after="0" w:line="276" w:lineRule="auto"/>
        <w:ind w:firstLine="425"/>
        <w:jc w:val="both"/>
      </w:pPr>
      <w:r>
        <w:rPr/>
        <w:t xml:space="preserve">Il fondamento è cartesiano nel senso proprio e testuale. La prima regola del Discorso sul Metodo — non accogliere mai nulla per vero che non si conosca evidentemente essere tale, e non comprendere nei propri giudizi niente più di ciò che si presenti alla mente tanto chiaramente e distintamente da escludere ogni occasione di dubbio — è il criterio dello </w:t>
      </w:r>
      <w:r>
        <w:rPr>
          <w:b/>
        </w:rPr>
        <w:t xml:space="preserve">scioglimento</w:t>
      </w:r>
      <w:r>
        <w:rPr/>
        <w:t xml:space="preserve">: essa fissa l’asticella della certificazione, e la fissa più in alto di qualunque triangolazione, poiché tre fonti possono errare insieme e l’evidenza chiara e distinta no. La seconda regola — dividere ciascuna difficoltà in tante parti quante è possibile e necessario per meglio risolverla — è la norma della </w:t>
      </w:r>
      <w:r>
        <w:rPr>
          <w:b/>
        </w:rPr>
        <w:t xml:space="preserve">scomposizione del dubbio</w:t>
      </w:r>
      <w:r>
        <w:rPr/>
        <w:t xml:space="preserve">: il dubbio composto non si affronta intero, si scinde in dubbi semplici, ciascuno con la propria condizione di scioglimento; l’apparato la praticava già senza nominarla, ogni volta che separava il documento dall’inferenza, il canale dall’uso, il matrimonio dalla lettura. La terza regola — condurre con ordine i pensieri, cominciando dagli oggetti più semplici e più facili a conoscersi, per salire a poco a poco ai più composti — è la norma dell’</w:t>
      </w:r>
      <w:r>
        <w:rPr>
          <w:b/>
        </w:rPr>
        <w:t xml:space="preserve">ordine di scioglimento</w:t>
      </w:r>
      <w:r>
        <w:rPr/>
        <w:t xml:space="preserve">: l’istruttoria muove dai dubbi semplici, il cui scioglimento è a portata d’atto, verso i composti, che dai semplici dipendono; e questa, non un’etichetta, è la sola fonte legittima di priorità. La quarta regola — fare ovunque enumerazioni tanto complete e revisioni tanto generali da essere sicuri di non omettere nulla — è la norma del </w:t>
      </w:r>
      <w:r>
        <w:rPr>
          <w:b/>
        </w:rPr>
        <w:t xml:space="preserve">censimento integrale</w:t>
      </w:r>
      <w:r>
        <w:rPr/>
        <w:t xml:space="preserve">, che l’apparato già osserva come propria legge fondamentale.</w:t>
      </w:r>
    </w:p>
    <w:p>
      <w:pPr>
        <w:spacing w:after="0" w:line="276" w:lineRule="auto"/>
        <w:ind w:firstLine="425"/>
        <w:jc w:val="both"/>
      </w:pPr>
      <w:r>
        <w:rPr/>
        <w:t xml:space="preserve">Due precisazioni cartesiane completano il fondamento. La prima: il dubbio adottato è il dubbio </w:t>
      </w:r>
      <w:r>
        <w:rPr>
          <w:b/>
        </w:rPr>
        <w:t xml:space="preserve">metodico</w:t>
      </w:r>
      <w:r>
        <w:rPr/>
        <w:t xml:space="preserve">, non l’iperbolico — l’apparato non finge che un genio maligno falsifichi ogni carta, non sospende il mondo: sospende il giudizio, che è cosa diversa, e lo sospende in vista dello scioglimento, non della paralisi. La seconda: dal Discorso l’apparato assume anche la </w:t>
      </w:r>
      <w:r>
        <w:rPr>
          <w:b/>
        </w:rPr>
        <w:t xml:space="preserve">morale provvisoria</w:t>
      </w:r>
      <w:r>
        <w:rPr/>
        <w:t xml:space="preserve"> — le massime che consentono di agire mentre si dubita — e la traduce in norma operativa: la pendenza del dubbio non sospende mai l’istruttoria; mentre il dubbio pende, la ricerca cammina secondo protocolli provvisori, e questo è precisamente il senso del comando che vieta alle classificazioni ogni interferenza sul corso investigativo.</w:t>
      </w:r>
    </w:p>
    <w:p>
      <w:pPr>
        <w:spacing w:before="240" w:after="120" w:line="276" w:lineRule="auto"/>
        <w:jc w:val="left"/>
      </w:pPr>
      <w:r>
        <w:rPr>
          <w:b/>
          <w:sz w:val="24"/>
          <w:szCs w:val="24"/>
        </w:rPr>
        <w:t xml:space="preserve">Arricchimenti: il dubbio che genera, il dubbio che si scioglie</w:t>
      </w:r>
    </w:p>
    <w:p>
      <w:pPr>
        <w:spacing w:after="0" w:line="276" w:lineRule="auto"/>
        <w:ind w:firstLine="425"/>
        <w:jc w:val="both"/>
      </w:pPr>
      <w:r>
        <w:rPr/>
        <w:t xml:space="preserve">La metodologia si migliora, come prescritto, per innesto di tre tradizioni che il canone dell’opera già ospita, e che il fondamento cartesiano ordina in sistema. Da Peirce assume la fisiologia del dubbio: il dubbio è un’irritazione che spinge alla lotta per raggiungere la credenza — la celebre fissazione della credenza — e la sola lotta legittima è l’indagine; onde il dubbio pendente non è un difetto del Registro ma il suo </w:t>
      </w:r>
      <w:r>
        <w:rPr>
          <w:b/>
        </w:rPr>
        <w:t xml:space="preserve">motore</w:t>
      </w:r>
      <w:r>
        <w:rPr/>
        <w:t xml:space="preserve">, e l’abduzione peirceiana — l’inferenza alla spiegazione che, se vera, renderebbe il fatto ovvio — è la forma logica con cui il dubbio genera le ipotesi da istruire. Da Popper assume il meccanismo dello scioglimento in assenza d’atto: quando l’evidenza chiara e distinta non è disponibile, un dubbio può avviarsi allo scioglimento soltanto per </w:t>
      </w:r>
      <w:r>
        <w:rPr>
          <w:b/>
        </w:rPr>
        <w:t xml:space="preserve">resistenza alla confutazione</w:t>
      </w:r>
      <w:r>
        <w:rPr/>
        <w:t xml:space="preserve"> — sopravvivendo a tentativi seri e dichiarati di falsificazione — mai per accumulo di conferme, che lasciano il dubbio dov’era. Da Heuer assume la disciplina della competizione: il dubbio che ammette più spiegazioni si istruisce con la matrice delle ipotesi concorrenti, e si scioglie per eliminazione delle alternative, non per elezione della preferita. E dalla scuola storica — Bloch, Ginzburg — assume la via maestra dello scioglimento documentale: la risalita alla fonte primaria, la critica esterna dell’autenticità e interna dell’attendibilità, che restano le mani con cui il Registro scioglie ciò che scioglie. Così arricchita, la Classificazione di Descartes si enuncia per intero: </w:t>
      </w:r>
      <w:r>
        <w:rPr>
          <w:b/>
        </w:rPr>
        <w:t xml:space="preserve">il dubbio è unico e non graduato; genera per abduzione; si istruisce per competizione; si scioglie per evidenza, per resistenza alla confutazione, o per dissoluzione; e mentre pende, non comanda</w:t>
      </w:r>
      <w:r>
        <w:rPr/>
        <w:t xml:space="preserve">.</w:t>
      </w:r>
    </w:p>
    <w:p>
      <w:pPr>
        <w:spacing w:before="240" w:after="120" w:line="276" w:lineRule="auto"/>
        <w:jc w:val="left"/>
      </w:pPr>
      <w:r>
        <w:rPr>
          <w:b/>
          <w:sz w:val="24"/>
          <w:szCs w:val="24"/>
        </w:rPr>
        <w:t xml:space="preserve">Tavola di conversione dei marchi storici</w:t>
      </w:r>
    </w:p>
    <w:p>
      <w:pPr>
        <w:spacing w:after="0" w:line="276" w:lineRule="auto"/>
        <w:ind w:firstLine="425"/>
        <w:jc w:val="both"/>
      </w:pPr>
      <w:r>
        <w:rPr/>
        <w:t xml:space="preserve">Le edizioni incorporate recano i marchi dell’ordinamento deposto, che restano intangibili quale testo storico e si rileggono così. Il marchio di </w:t>
      </w:r>
      <w:r>
        <w:rPr>
          <w:b/>
        </w:rPr>
        <w:t xml:space="preserve">Livello A</w:t>
      </w:r>
      <w:r>
        <w:rPr/>
        <w:t xml:space="preserve"> designa un’asserzione che l’ordinamento previgente riteneva documentata per convergenza di fonti: essa è candidata allo stato di </w:t>
      </w:r>
      <w:r>
        <w:rPr>
          <w:b/>
        </w:rPr>
        <w:t xml:space="preserve">sciolto</w:t>
      </w:r>
      <w:r>
        <w:rPr/>
        <w:t xml:space="preserve">, ma la candidatura non è automatica — la conversione esige la verifica che l’evidenza sia chiara e distinta nel senso della prima regola, e fino a quella verifica l’asserzione è un dubbio pendente ad alta priorità di scioglimento. I marchi di </w:t>
      </w:r>
      <w:r>
        <w:rPr>
          <w:b/>
        </w:rPr>
        <w:t xml:space="preserve">Livello B</w:t>
      </w:r>
      <w:r>
        <w:rPr/>
        <w:t xml:space="preserve"> e di </w:t>
      </w:r>
      <w:r>
        <w:rPr>
          <w:b/>
        </w:rPr>
        <w:t xml:space="preserve">Livello C</w:t>
      </w:r>
      <w:r>
        <w:rPr/>
        <w:t xml:space="preserve"> designavano gradazioni del dubbio: la gradazione è abolita, ed entrambi si convertono nello stato unico di </w:t>
      </w:r>
      <w:r>
        <w:rPr>
          <w:b/>
        </w:rPr>
        <w:t xml:space="preserve">dubbio pendente</w:t>
      </w:r>
      <w:r>
        <w:rPr/>
        <w:t xml:space="preserve">, senza che la vecchia lettera conservi alcun peso — la distinzione fra ciò che era B e ciò che era C sopravvive soltanto come informazione consultiva, per chi voglia interrogare il Decalogo. Le espunzioni motivate delle edizioni precedenti si convertono nello stato di </w:t>
      </w:r>
      <w:r>
        <w:rPr>
          <w:b/>
        </w:rPr>
        <w:t xml:space="preserve">dissolto</w:t>
      </w:r>
      <w:r>
        <w:rPr/>
        <w:t xml:space="preserve"> e non si riaprono se non per fatto nuovo. Questa tavola governa ogni citazione interna: da oggi, chi cita un’edizione incorporata cita il testo storico e legge lo stato con gli occhi del nuovo ordinamento.</w:t>
      </w:r>
    </w:p>
    <w:p>
      <w:pPr>
        <w:pageBreakBefore/>
        <w:spacing w:before="240" w:after="120" w:line="276" w:lineRule="auto"/>
        <w:jc w:val="left"/>
      </w:pPr>
      <w:r>
        <w:rPr>
          <w:b/>
          <w:sz w:val="28"/>
          <w:szCs w:val="28"/>
        </w:rPr>
        <w:t xml:space="preserve">PARTE DICIOTTESIMA — IL DECALOGO DELLE CLASSIFICAZIONI CONSULTIVE</w:t>
      </w:r>
    </w:p>
    <w:p>
      <w:pPr>
        <w:spacing w:after="0" w:line="276" w:lineRule="auto"/>
        <w:ind w:firstLine="425"/>
        <w:jc w:val="both"/>
      </w:pPr>
      <w:r>
        <w:rPr/>
        <w:t xml:space="preserve">Il comando prescrive che le classificazioni esistano senza potere: non una, ma le dieci più importanti e riconosciute al mondo, custodite a scopo esclusivamente conoscitivo e informativo, accessibili soltanto quando l’autore decida di propria iniziativa di consultarle. Il Registro le istituisce quale </w:t>
      </w:r>
      <w:r>
        <w:rPr>
          <w:b/>
        </w:rPr>
        <w:t xml:space="preserve">Decalogo delle Classificazioni Consultive</w:t>
      </w:r>
      <w:r>
        <w:rPr/>
        <w:t xml:space="preserve">, con due clausole scolpite in apertura. Clausola di impotenza: nessuna voce del Decalogo ha potere decisionale, non ammette né respinge né gradua alcunché ai fini del Registro, e nessun atto istruttorio può motivarsi con una sua risultanza. Clausola di accesso: il Decalogo tace per difetto; si apre soltanto su richiesta espressa dell’autore, voce per voce, e ogni consultazione è annotata come tale — un’informazione presa, mai un giudizio reso.</w:t>
      </w:r>
    </w:p>
    <w:p>
      <w:pPr>
        <w:spacing w:after="0" w:line="276" w:lineRule="auto"/>
        <w:ind w:firstLine="425"/>
        <w:jc w:val="both"/>
      </w:pPr>
      <w:r>
        <w:rPr>
          <w:b/>
        </w:rPr>
        <w:t xml:space="preserve">Prima voce — la Classificazione Savona.</w:t>
      </w:r>
      <w:r>
        <w:rPr/>
        <w:t xml:space="preserve"> La triangolazione delle fonti della criminologia analitica, già ordinamento del Registro: tre fonti indipendenti di natura diversa per la connessione documentata, due per l’indiziaria, una per l’ipotetica. Deposta dal trono, resta la più affine alla materia e la prima da consultare quando si voglia sapere quanta convergenza di fonti sorregga un’asserzione. </w:t>
      </w:r>
      <w:r>
        <w:rPr>
          <w:b/>
        </w:rPr>
        <w:t xml:space="preserve">Seconda voce — il sistema alfanumerico dell’Alleanza atlantica</w:t>
      </w:r>
      <w:r>
        <w:rPr/>
        <w:t xml:space="preserve">, detto dell’Ammiragliato: la doppia scala che incrocia l’affidabilità della fonte, dalla completamente affidabile alla inattendibile, con la credibilità dell’informazione, dalla confermata da altre fonti alla non giudicabile — lo standard degli apparati informativi occidentali, utile a distinguere ciò che la fonte è da ciò che la fonte dice. </w:t>
      </w:r>
      <w:r>
        <w:rPr>
          <w:b/>
        </w:rPr>
        <w:t xml:space="preserve">Terza voce — gli standard analitici della comunità d’intelligence statunitense</w:t>
      </w:r>
      <w:r>
        <w:rPr/>
        <w:t xml:space="preserve">: il linguaggio estimativo delle probabilità verbali, nella tradizione di Sherman Kent — dal quasi certo al remoto — accoppiato ai gradi di fiducia dell’analista, alto, moderato, basso; utile a chi voglia esprimere, senza numeri, quanto un’analisi si fidi di sé stessa. </w:t>
      </w:r>
      <w:r>
        <w:rPr>
          <w:b/>
        </w:rPr>
        <w:t xml:space="preserve">Quarta voce — il metro probabilistico dell’assessment britannico</w:t>
      </w:r>
      <w:r>
        <w:rPr/>
        <w:t xml:space="preserve">: le fasce percentuali standardizzate che ancorano le parole ai numeri, dalla possibilità remota sotto il cinque per cento al quasi certo sopra il novantacinque; utile quando il linguaggio verbale rischia l’ambiguità. </w:t>
      </w:r>
      <w:r>
        <w:rPr>
          <w:b/>
        </w:rPr>
        <w:t xml:space="preserve">Quinta voce — gli standard giudiziari della prova</w:t>
      </w:r>
      <w:r>
        <w:rPr/>
        <w:t xml:space="preserve">: la scala processuale che va dall’oltre ogni ragionevole dubbio del penale al più probabile che non del civile, con la disciplina italiana degli indizi che debbono essere gravi, precisi e concordanti; è la voce da consultare quando ci si chieda che cosa reggerebbe in un’aula.</w:t>
      </w:r>
    </w:p>
    <w:p>
      <w:pPr>
        <w:spacing w:after="0" w:line="276" w:lineRule="auto"/>
        <w:ind w:firstLine="425"/>
        <w:jc w:val="both"/>
      </w:pPr>
      <w:r>
        <w:rPr>
          <w:b/>
        </w:rPr>
        <w:t xml:space="preserve">Sesta voce — il sistema di valutazione dell’evidenza scientifica</w:t>
      </w:r>
      <w:r>
        <w:rPr/>
        <w:t xml:space="preserve">, nella forma consolidata dalla comunità internazionale della medicina delle prove: qualità dell’evidenza alta, moderata, bassa, molto bassa, secondo il disegno degli studi e i rischi di distorsione; utile come specchio metodologico quando il Registro maneggi dati seriali o statistici. </w:t>
      </w:r>
      <w:r>
        <w:rPr>
          <w:b/>
        </w:rPr>
        <w:t xml:space="preserve">Settima voce — la critica storica delle fonti</w:t>
      </w:r>
      <w:r>
        <w:rPr/>
        <w:t xml:space="preserve">: la tradizione che da Langlois e Seignobos giunge a Bloch — critica esterna dell’autenticità, critica interna dell’attendibilità, gerarchia delle fonti primarie, secondarie e terziarie; è la voce più antica del Decalogo e quella che il Registro pratica comunque, per formazione, in ogni risalita. </w:t>
      </w:r>
      <w:r>
        <w:rPr>
          <w:b/>
        </w:rPr>
        <w:t xml:space="preserve">Ottava voce — i sistemi di valutazione delle polizie europee</w:t>
      </w:r>
      <w:r>
        <w:rPr/>
        <w:t xml:space="preserve">, nelle forme a doppia e tripla matrice: valutazione della fonte, valutazione dell’informazione, codici di trattamento; utile a chi voglia sapere come un’informazione circolerebbe negli apparati investigativi. </w:t>
      </w:r>
      <w:r>
        <w:rPr>
          <w:b/>
        </w:rPr>
        <w:t xml:space="preserve">Nona voce — l’analisi strutturata della prova</w:t>
      </w:r>
      <w:r>
        <w:rPr/>
        <w:t xml:space="preserve">, da Wigmore alle tecniche analitiche strutturate contemporanee: la scomposizione della prova in catene inferenziali esplicite, di cui la matrice delle ipotesi concorrenti è la discendente operativa; utile quando un dubbio composto vada disegnato prima che istruito. </w:t>
      </w:r>
      <w:r>
        <w:rPr>
          <w:b/>
        </w:rPr>
        <w:t xml:space="preserve">Decima voce — la probabilità bayesiana</w:t>
      </w:r>
      <w:r>
        <w:rPr/>
        <w:t xml:space="preserve">: la quantificazione del grado di credenza e il suo aggiornamento all’arrivo di ogni evidenza, nella tradizione che da Bayes e Laplace giunge a de Finetti; è la voce formale del Decalogo, da consultare quando si voglia sapere non che cosa credere, ma quanto coerentemente si stia credendo. Dieci voci, dieci tradizioni, nessun potere: il Decalogo è una biblioteca, non un tribunale.</w:t>
      </w:r>
    </w:p>
    <w:p>
      <w:pPr>
        <w:pageBreakBefore/>
        <w:spacing w:before="240" w:after="120" w:line="276" w:lineRule="auto"/>
        <w:jc w:val="left"/>
      </w:pPr>
      <w:r>
        <w:rPr>
          <w:b/>
          <w:sz w:val="28"/>
          <w:szCs w:val="28"/>
        </w:rPr>
        <w:t xml:space="preserve">PARTE DICIANNOVESIMA — LA RICLASSIFICAZIONE CARTESIANA DEL REGISTRO</w:t>
      </w:r>
    </w:p>
    <w:p>
      <w:pPr>
        <w:spacing w:after="0" w:line="276" w:lineRule="auto"/>
        <w:ind w:firstLine="425"/>
        <w:jc w:val="both"/>
      </w:pPr>
      <w:r>
        <w:rPr/>
        <w:t xml:space="preserve">In applicazione del nuovo ordinamento, il Registro riclassifica il proprio intero contenuto nei tre stati. La riclassificazione è integrale quanto al metodo e sintetica quanto alla forma: essa non riscrive le Parti incorporate — che restano testo storico — ma dichiara lo stato attuale di ciascun capitolo della conoscenza, e istituisce il </w:t>
      </w:r>
      <w:r>
        <w:rPr>
          <w:b/>
        </w:rPr>
        <w:t xml:space="preserve">Registro dei Dubbi Pendenti</w:t>
      </w:r>
      <w:r>
        <w:rPr/>
        <w:t xml:space="preserve">, che del rinnovamento è il frutto operativo.</w:t>
      </w:r>
    </w:p>
    <w:p>
      <w:pPr>
        <w:spacing w:after="0" w:line="276" w:lineRule="auto"/>
        <w:ind w:firstLine="425"/>
        <w:jc w:val="both"/>
      </w:pPr>
      <w:r>
        <w:rPr>
          <w:b/>
        </w:rPr>
        <w:t xml:space="preserve">Il registro degli sciolti.</w:t>
      </w:r>
      <w:r>
        <w:rPr/>
        <w:t xml:space="preserve"> Sono nello stato di sciolto, per evidenza chiara e distinta: la dinamica materiale dell’agguato del sedici marzo quale evento — il luogo, l’ora, le vittime della scorta, il rapimento; la morte del prigioniero e il ritrovamento del nove maggio; le condanne definitive pronunciate nelle sedi proprie a carico degli esecutori accertati, quali atti; l’arresto del ventinove maggio settantanove in viale Giulio Cesare e il rinvenimento dell’arma, quali atti di polizia giudiziaria documentati; l’esistenza, le date e il tenore testuale degli atti parlamentari, delle ordinanze e delle sentenze citate, in quanto testi; le funzioni istituzionali coeve con le loro date, ove attestate da fonte inventariale o normativa; il furto di Ponte Brolla quale accertamento tecnico binazionale; il documento del volo dirottato quale testo riprodotto. Lo stato di sciolto certifica il fatto o l’atto, mai la sua interpretazione: che cosa gli atti significhino resta, dove resta, dubbio.</w:t>
      </w:r>
    </w:p>
    <w:p>
      <w:pPr>
        <w:spacing w:after="0" w:line="276" w:lineRule="auto"/>
        <w:ind w:firstLine="425"/>
        <w:jc w:val="both"/>
      </w:pPr>
      <w:r>
        <w:rPr>
          <w:b/>
        </w:rPr>
        <w:t xml:space="preserve">Il registro dei dissolti.</w:t>
      </w:r>
      <w:r>
        <w:rPr/>
        <w:t xml:space="preserve"> Sono nello stato di dissolto, e non si riaprono se non per fatto nuovo: la voce Igor Caetani, artefatto di adiacenza tipografica; gli omonimi Varone di procedimento estraneo; il participio scambiato per cognome; la serie inferenziale di coloro che videro le carte e morirono, respinta per selezione dei morti; la conflazione fra l’esponente della banda e il dirigente dell’organizzazione, separata per omonimia; la conflazione fra i due Malagugini, padre e figlio, separata per omonimia; gli archi computazionali caduti al test di prossimità nelle istruttorie delle edizioni precedenti.</w:t>
      </w:r>
    </w:p>
    <w:p>
      <w:pPr>
        <w:spacing w:after="0" w:line="276" w:lineRule="auto"/>
        <w:ind w:firstLine="425"/>
        <w:jc w:val="both"/>
      </w:pPr>
      <w:r>
        <w:rPr>
          <w:b/>
        </w:rPr>
        <w:t xml:space="preserve">Il Registro dei Dubbi Pendenti.</w:t>
      </w:r>
      <w:r>
        <w:rPr/>
        <w:t xml:space="preserve"> Segue l’enumerazione — nel senso della quarta regola: completa quanto ai dubbi maggiori, generale quanto alla revisione — dei dubbi che il Registro tiene aperti, ciascuno con la propria condizione di scioglimento. Nessun ordine di importanza è implicato dall’ordine di elenco, che è ordine di materia; la priorità istruttoria discende dalla terza regola, dai semplici ai composti, e da nient’altro. Dubbio primo: se e che cosa il canale di Beirut abbia trasmesso, prima e durante i cinquantacinque giorni, oltre il documento del diciassette febbraio; si scioglie con la risalita integrale agli atti della seconda Commissione. Dubbio secondo: quale uso, verso e beneficiari abbia avuto il canale fra il falsario, il confidente e il maresciallo; si scioglie con la lettura integrale dell’ordinanza e dei fascicoli del nucleo. Dubbio terzo: se l’incontro proposto dal tramite d’affari sia mai avvenuto, e perché fu indicato un ufficio della Procura generale; si scioglie con i riscontri della dichiarazione. Dubbio quarto: che cosa spieghi la convergenza di due piste indipendenti sul medesimo ufficio; è dubbio composto, che si scioglie dopo il secondo e il terzo. Dubbio quinto: se fra il religioso del canale di ritorno e la dirigenza dell’istituto finanziario sussista parentela diretta; si scioglie in anagrafe. Dubbio sesto: se la simmetria dei due criminologi degli elenchi sia struttura o coincidenza; si scioglie con la lettura integrale delle due posizioni. Dubbio settimo: se il musicista abbia avuto un ruolo qualsiasi oltre il matrimonio; si scioglie, se si scioglie, solo per atto nuovo. Dubbio ottavo: quale ruolo abbia avuto il padre della locataria; si scioglie con le carte dei servizi dell’Est, ove accessibili. Dubbio nono: quanto delle autodichiarazioni tarde del consulente straniero sia riscontrabile; si scioglie per confronto con gli atti coevi della struttura di crisi. Dubbio decimo: se la discesa dal treno dell’agosto settantaquattro sia attestabile da atto coevo; si scioglie in archivio ferroviario o di scorta. Dubbio undicesimo: quale sia la posizione processuale integrale del terzo esecutore sotto la giurisdizione elvetica; si scioglie con gli atti di quella giurisdizione. Dubbio dodicesimo: perché il nome del consigliere istruttore ricorra presso il palazzo; si scioglie con la lettura della finestra e degli atti immobiliari. Dubbio tredicesimo: perché la società di trasporto valori ricorra presso il collaboratore politico; si scioglie con la lettura delle finestre e degli atti societari. Dubbio quattordicesimo: quale fosse, funzione per funzione, l’organigramma coevo integrale dei cinquantacinque giorni; si scioglie per compilazione documentale, contro la trappola dei due organigrammi. Dubbio quindicesimo: che cosa accadde nella riunione bolognese del due aprile; resta dubbio, e la sua condizione di scioglimento — un partecipante che dica, un atto che emerga — è dichiarata improbabile ma non impossibile. Dubbio sedicesimo: chi nominò mediatore l’uomo del boss milanese, e se la dichiarazione sui servizi sia riscontrata; si scioglie con la risalita alle fonti processuali delle dichiarazioni. Dubbio diciassettesimo: quali anni, forme e consapevolezza abbia avuto la protezione parigina del gruppo; si scioglie con gli atti dell’istruttoria veneziana e le fonti francesi. Dubbio diciottesimo: a quale ordigno si riferisca l’accertamento elvetico, e quali altri ritrovamenti appartengano allo stock; si scioglie con la lettura integrale dell’elaborato. Dubbio diciannovesimo: che cosa contenga il blocco stenografico non ancora convertito; è il dubbio strumentale sovraordinato, condizione di scioglimento di molti altri, e si scioglie con la conversione, che resta la priorità assoluta dell’apparato. Dubbio ventesimo, e ultimo dell’enumerazione presente: se il perimetro degli esecutori sia oggi completo; la serie a tre termini insegna che questo dubbio non si presume mai sciolto, e la sua condizione è negativa — resta pendente finché ogni nuova emersione non sia esclusa.</w:t>
      </w:r>
    </w:p>
    <w:p>
      <w:pPr>
        <w:spacing w:after="0" w:line="276" w:lineRule="auto"/>
        <w:ind w:firstLine="425"/>
        <w:jc w:val="both"/>
      </w:pPr>
      <w:r>
        <w:rPr>
          <w:b/>
        </w:rPr>
        <w:t xml:space="preserve">Chiusura della Parte.</w:t>
      </w:r>
      <w:r>
        <w:rPr/>
        <w:t xml:space="preserve"> Venti dubbi enumerati, tre stati, nessuna gradazione: il Registro, riclassificato, mostra il proprio volto cartesiano — poche certezze scolpite, un registro di errori dissolti che nessuno riaprirà per distrazione, e un motore di venti domande, ciascuna con la propria chiave. Chi cercasse in questa Parte la vecchia gerarchia delle etichette non la troverà: troverà, al suo posto, l’ordine delle cose da fare.</w:t>
      </w:r>
    </w:p>
    <w:p>
      <w:pPr>
        <w:pageBreakBefore/>
        <w:spacing w:before="240" w:after="120" w:line="276" w:lineRule="auto"/>
        <w:jc w:val="left"/>
      </w:pPr>
      <w:r>
        <w:rPr>
          <w:b/>
          <w:sz w:val="28"/>
          <w:szCs w:val="28"/>
        </w:rPr>
        <w:t xml:space="preserve">COLOPHON DELL’EDIZIONE QUINTA</w:t>
      </w:r>
    </w:p>
    <w:p>
      <w:pPr>
        <w:spacing w:after="0" w:line="276" w:lineRule="auto"/>
        <w:ind w:firstLine="425"/>
        <w:jc w:val="both"/>
      </w:pPr>
      <w:r>
        <w:rPr/>
        <w:t xml:space="preserve">REGISTRO ANALITICO DEL CASO MORO, edizione quinta, il Rinnovamento Cartesiano, primo dei Tre Documenti Morotei, con la Classificazione di Descartes di Luigi De Michele e il Decalogo delle Classificazioni Consultive, prodotta il due agosto duemilaventisei secondo il Protocollo Zero-Token e nello standard tipografico dell’opera: carattere Times New Roman di corpo dodici, formato A4, giustificazione integrale, rientro di prima riga, interlinea di uno virgola quindici, prosa continua. L’ordinamento probatorio è la Classificazione di Descartes: tre stati — sciolto, dubbio, dissolto — nessuna gradazione del dubbio, nessun potere decisionale delle classificazioni consultive, che si aprono soltanto su richiesta espressa dell’autore. Incorpora verbatim l’edizione quarta e, per suo tramite, la terza, la seconda e la prima, i cui marchi storici si leggono secondo la tavola di conversione; ogni edizione successiva conterrà verbatim la presente. Resta sovrana la Regola di Ferro: dove la fonte documenta, l’opera certifica; dove la fonte tace, l’opera indaga e non afferma. Autore e direttore dell’opera: Luigi De Michele.</w:t>
      </w:r>
    </w:p>
    <w:sectPr>
      <w:pgSz w:w="11906" w:h="16838"/>
      <w:pgMar w:top="1440" w:right="1440" w:bottom="1440" w:left="1440" w:header="708" w:footer="708" w:gutter="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it-IT"/>
      </w:rPr>
    </w:rPrDefault>
    <w:pPrDefault>
      <w:pPr>
        <w:spacing w:after="0" w:line="276"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