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60" w:after="0" w:line="276" w:lineRule="auto"/>
        <w:jc w:val="center"/>
      </w:pPr>
      <w:r>
        <w:rPr>
          <w:b/>
          <w:sz w:val="32"/>
          <w:szCs w:val="32"/>
        </w:rPr>
        <w:t xml:space="preserve">REGISTRO SPECULARE DEL CASO MORO</w:t>
      </w:r>
    </w:p>
    <w:p>
      <w:pPr>
        <w:spacing w:before="60" w:after="0" w:line="276" w:lineRule="auto"/>
        <w:jc w:val="center"/>
      </w:pPr>
      <w:r>
        <w:rPr>
          <w:sz w:val="24"/>
          <w:szCs w:val="24"/>
        </w:rPr>
        <w:t xml:space="preserve">Gli Anelli Profondi — dal Secondo al Quarto Anello di Prossimità</w:t>
      </w:r>
    </w:p>
    <w:p>
      <w:pPr>
        <w:spacing w:before="60" w:after="0" w:line="276" w:lineRule="auto"/>
        <w:jc w:val="center"/>
      </w:pPr>
      <w:r>
        <w:rPr>
          <w:b/>
          <w:sz w:val="28"/>
          <w:szCs w:val="28"/>
        </w:rPr>
        <w:t xml:space="preserve">Edizione Prima</w:t>
      </w:r>
    </w:p>
    <w:p>
      <w:pPr>
        <w:spacing w:before="60" w:after="0" w:line="276" w:lineRule="auto"/>
        <w:jc w:val="center"/>
      </w:pPr>
      <w:r>
        <w:rPr>
          <w:b/>
          <w:sz w:val="26"/>
          <w:szCs w:val="26"/>
        </w:rPr>
        <w:t xml:space="preserve">con la Metodologia del Triplo Salto Carpiato</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 e dichiarazione di specularità.</w:t>
      </w:r>
      <w:r>
        <w:rPr/>
        <w:t xml:space="preserve"> Il presente Registro è il secondo pannello di un dittico. Esso è </w:t>
      </w:r>
      <w:r>
        <w:rPr>
          <w:b/>
        </w:rPr>
        <w:t xml:space="preserve">speculare</w:t>
      </w:r>
      <w:r>
        <w:rPr/>
        <w:t xml:space="preserve"> al Registro Analitico del Caso Moro nella sua edizione quarta: ne replica per intero la struttura, la nota metodologica, lo standard probatorio Savona, la Regola di Ferro, lo statuto investigativo e la sua codifica, e se ne distingue per il solo oggetto — non più il nucleo del caso e i suoi primi due Anelli, ma gli </w:t>
      </w:r>
      <w:r>
        <w:rPr>
          <w:b/>
        </w:rPr>
        <w:t xml:space="preserve">Anelli Profondi</w:t>
      </w:r>
      <w:r>
        <w:rPr/>
        <w:t xml:space="preserve">, il terzo e il quarto grado di prossimità, raggiunti muovendo dal secondo. La specularità comporta una dipendenza genetica che va dichiarata e non nascosta: i semi di questo Registro sono i nodi qualificati del Secondo Anello del Registro gemello, sicché i due documenti condividono la frontiera e nessuno dei due può essere letto come conferma dell’altro. Per il resto, il presente Registro è autonomo e autosufficiente: la sua catena estrattiva è stata eseguita ex novo, il suo apparato è proprio, la sua cumulatività — ogni edizione futura conterrà verbatim la presente — comincia da qui.</w:t>
      </w:r>
    </w:p>
    <w:p>
      <w:pPr>
        <w:spacing w:after="0" w:line="276" w:lineRule="auto"/>
        <w:ind w:firstLine="425"/>
        <w:jc w:val="both"/>
      </w:pPr>
      <w:r>
        <w:rPr>
          <w:b/>
        </w:rPr>
        <w:t xml:space="preserve">Statuto investigativo.</w:t>
      </w:r>
      <w:r>
        <w:rPr/>
        <w:t xml:space="preserve"> Il Registro nasce direttamente sotto lo statuto investigativo, con la codifica identica a quella del gemello, che si riproduce quale norma: il vaglio è istruttoria di ipotesi con condizioni di falsificazione, mai attribuzione di responsabilità; nessuna responsabilità è affermata che non sia già accertata in sede propria, per i viventi vale la presunzione piena; la classificazione Savona resta sovrana, poiché il fine investigativo trasforma le domande e non le prove; ciò che eccede la ricerca storica ha per destinazione le sedi competenti. La certificazione, anche qui, ha un oggetto solo: la </w:t>
      </w:r>
      <w:r>
        <w:rPr>
          <w:b/>
        </w:rPr>
        <w:t xml:space="preserve">completezza del censimento</w:t>
      </w:r>
      <w:r>
        <w:rPr/>
        <w:t xml:space="preserve"> degli Anelli terzo e quarto secondo le soglie dichiarate — mai i legami.</w:t>
      </w:r>
    </w:p>
    <w:p>
      <w:pPr>
        <w:spacing w:after="0" w:line="276" w:lineRule="auto"/>
        <w:ind w:firstLine="425"/>
        <w:jc w:val="both"/>
      </w:pPr>
      <w:r>
        <w:rPr>
          <w:b/>
        </w:rPr>
        <w:t xml:space="preserve">Avvertenza sulla profondità.</w:t>
      </w:r>
      <w:r>
        <w:rPr/>
        <w:t xml:space="preserve"> Un Registro dedicato al terzo e al quarto grado di prossimità è, per costruzione, un documento che lavora al limite del metodo: a questa distanza dal nucleo, la prossimità documentale ha smesso da due passi di essere prossimità al caso, e ogni catena è un’ipotesi elevata al cubo. Il Registro esiste precisamente per questo: perché l’unica alternativa onesta all’esplorazione indisciplinata della profondità è l’esplorazione disciplinata — e la disciplina, qui, ha un nome e una forma: la Metodologia del Triplo Salto Carpiato.</w:t>
      </w:r>
    </w:p>
    <w:p>
      <w:pPr>
        <w:pageBreakBefore/>
        <w:spacing w:before="240" w:after="120" w:line="276" w:lineRule="auto"/>
        <w:jc w:val="left"/>
      </w:pPr>
      <w:r>
        <w:rPr>
          <w:b/>
          <w:sz w:val="28"/>
          <w:szCs w:val="28"/>
        </w:rPr>
        <w:t xml:space="preserve">PARTE PRIMA — LA METODOLOGIA DEL TRIPLO SALTO CARPIATO</w:t>
      </w:r>
    </w:p>
    <w:p>
      <w:pPr>
        <w:spacing w:before="60" w:after="0" w:line="276" w:lineRule="auto"/>
        <w:jc w:val="center"/>
      </w:pPr>
      <w:r>
        <w:rPr>
          <w:sz w:val="24"/>
          <w:szCs w:val="24"/>
        </w:rPr>
        <w:t xml:space="preserve">Metodologia di Luigi De Michele</w:t>
      </w:r>
    </w:p>
    <w:p>
      <w:pPr>
        <w:spacing w:before="240" w:after="120" w:line="276" w:lineRule="auto"/>
        <w:jc w:val="left"/>
      </w:pPr>
      <w:r>
        <w:rPr>
          <w:b/>
          <w:sz w:val="24"/>
          <w:szCs w:val="24"/>
        </w:rPr>
        <w:t xml:space="preserve">Definizione e ragione del nome</w:t>
      </w:r>
    </w:p>
    <w:p>
      <w:pPr>
        <w:spacing w:after="0" w:line="276" w:lineRule="auto"/>
        <w:ind w:firstLine="425"/>
        <w:jc w:val="both"/>
      </w:pPr>
      <w:r>
        <w:rPr/>
        <w:t xml:space="preserve">La Metodologia del Triplo Salto Carpiato, elaborata dall’autore del presente Registro quale complemento della Metodologia del Salto della Quaglia e qui formalizzata come strumento permanente dell’apparato, governa l’espansione della rete oltre il secondo grado di prossimità. Il nome è preso dal tuffo, e ogni suo elemento è un vincolo. Il </w:t>
      </w:r>
      <w:r>
        <w:rPr>
          <w:b/>
        </w:rPr>
        <w:t xml:space="preserve">triplo</w:t>
      </w:r>
      <w:r>
        <w:rPr/>
        <w:t xml:space="preserve"> designa le tre rotazioni complete che l’analisi compie: la prima dal Secondo al Terzo Anello, la seconda dal Terzo al Quarto, e la terza — che è la rotazione decisiva, quella che i tuffatori chiamano l’apertura — </w:t>
      </w:r>
      <w:r>
        <w:rPr>
          <w:b/>
        </w:rPr>
        <w:t xml:space="preserve">il ritorno al nucleo</w:t>
      </w:r>
      <w:r>
        <w:rPr/>
        <w:t xml:space="preserve">: nessuna espansione è compiuta finché non ruota su se stessa e non torna a guardare il caso da cui è partita. Il </w:t>
      </w:r>
      <w:r>
        <w:rPr>
          <w:b/>
        </w:rPr>
        <w:t xml:space="preserve">carpiato</w:t>
      </w:r>
      <w:r>
        <w:rPr/>
        <w:t xml:space="preserve"> designa la posizione del corpo: raccolto, piegato, con la minima superficie esposta — fuor di metafora, l’insieme dei vincoli che impediscono all’espansione di aprirsi in dispersione: soglie che crescono con la distanza, censimento integrale contro ogni selezione compiacente, divieto assoluto di transitività iterata. E il </w:t>
      </w:r>
      <w:r>
        <w:rPr>
          <w:b/>
        </w:rPr>
        <w:t xml:space="preserve">salto</w:t>
      </w:r>
      <w:r>
        <w:rPr/>
        <w:t xml:space="preserve"> resta ciò che era nella metodologia sorella: il movimento controllato, misurato, di cui si risponde. Il tuffo, infine, porta con sé il proprio criterio di giudizio, che è il più severo di tutti: si giudica </w:t>
      </w:r>
      <w:r>
        <w:rPr>
          <w:b/>
        </w:rPr>
        <w:t xml:space="preserve">all’ingresso in acqua</w:t>
      </w:r>
      <w:r>
        <w:rPr/>
        <w:t xml:space="preserve">. Un tuffo di qualunque difficoltà, eseguito con qualunque eleganza, che entri in acqua storto — che non rientri, cioè, nel caso — è un tuffo fallito; e lo spruzzo che solleva, la deriva, si misura e si dichiara.</w:t>
      </w:r>
    </w:p>
    <w:p>
      <w:pPr>
        <w:spacing w:after="0" w:line="276" w:lineRule="auto"/>
        <w:ind w:firstLine="425"/>
        <w:jc w:val="both"/>
      </w:pPr>
      <w:r>
        <w:rPr/>
        <w:t xml:space="preserve">La metodologia risponde a un’obiezione che essa stessa formula prima di chiunque: a che serve spingersi al terzo e al quarto grado, se già al secondo la prossimità non è più prossimità? La risposta è duplice, e i risultati di questo Registro la dimostrano. In primo luogo, la profondità serve a </w:t>
      </w:r>
      <w:r>
        <w:rPr>
          <w:b/>
        </w:rPr>
        <w:t xml:space="preserve">misurare la frontiera</w:t>
      </w:r>
      <w:r>
        <w:rPr/>
        <w:t xml:space="preserve">: solo chi percorre gli anelli esterni sa dove il caso finisce, e un caso di cui non si conosce la fine è un caso di cui si può dire qualunque cosa. In secondo luogo — ed è la funzione propria dell’ingresso in acqua — la via lunga scopre nodi che la via corta non aveva visto: nomi che nessun anello vicino conteneva e che, una volta emersi in profondità, rivelano di possedere un </w:t>
      </w:r>
      <w:r>
        <w:rPr>
          <w:b/>
        </w:rPr>
        <w:t xml:space="preserve">arco diretto e indipendente con il nucleo</w:t>
      </w:r>
      <w:r>
        <w:rPr/>
        <w:t xml:space="preserve">. Questi nodi, e soltanto questi, il tuffo consegna al Registro; e alcuni di essi, come le Parti seguenti documentano, valgono da soli l’intera immersione.</w:t>
      </w:r>
    </w:p>
    <w:p>
      <w:pPr>
        <w:spacing w:before="240" w:after="120" w:line="276" w:lineRule="auto"/>
        <w:jc w:val="left"/>
      </w:pPr>
      <w:r>
        <w:rPr>
          <w:b/>
          <w:sz w:val="24"/>
          <w:szCs w:val="24"/>
        </w:rPr>
        <w:t xml:space="preserve">Fondamento teorico</w:t>
      </w:r>
    </w:p>
    <w:p>
      <w:pPr>
        <w:spacing w:after="0" w:line="276" w:lineRule="auto"/>
        <w:ind w:firstLine="425"/>
        <w:jc w:val="both"/>
      </w:pPr>
      <w:r>
        <w:rPr/>
        <w:t xml:space="preserve">Il fondamento è, ancora una volta, interamente interno al canone dell’opera. Dal principio di consilienza di Whewell, ripreso da Wilson, la metodologia assume il criterio dell’ingresso in acqua: due vie indipendenti che convergono sul medesimo punto valgono più di dieci vie che ne ripetono una — e il ciclo chiuso, il nodo raggiunto per la via lunga degli anelli e insieme legato al nucleo per la via corta di un arco diretto, è la </w:t>
      </w:r>
      <w:r>
        <w:rPr>
          <w:b/>
        </w:rPr>
        <w:t xml:space="preserve">consilienza fatta topologia</w:t>
      </w:r>
      <w:r>
        <w:rPr/>
        <w:t xml:space="preserve">. Dalla metodologia delle ipotesi concorrenti di Heuer assume la divisione del lavoro fra le due vie: la via lunga genera l’ipotesi, la via corta indipendente la testa — mai la stessa via per entrambe le funzioni. Dalla teoria delle reti assume la nozione di chiusura del ciclo quale unica struttura che, a grande distanza, distingue il segnale dal rumore: il cammino aperto di lunghezza tre o quattro non prova nulla, il ciclo chiuso è un fatto della rete. E da Popper assume il senso complessivo dell’immersione: l’espansione profonda è il tentativo di falsificazione della centralità del nucleo — se a quattro salti tutto rientrasse nel caso, il caso sarebbe onnipresente, e l’onnipresenza è il sintomo del pregiudizio delle fonti o dell’analista; se nulla rientrasse, gli anelli profondi sarebbero puro rumore e l’immersione andrebbe dichiarata sterile. La misura di ciò che rientra, dichiarata in cifre, è il verdetto dell’esperimento.</w:t>
      </w:r>
    </w:p>
    <w:p>
      <w:pPr>
        <w:spacing w:before="240" w:after="120" w:line="276" w:lineRule="auto"/>
        <w:jc w:val="left"/>
      </w:pPr>
      <w:r>
        <w:rPr>
          <w:b/>
          <w:sz w:val="24"/>
          <w:szCs w:val="24"/>
        </w:rPr>
        <w:t xml:space="preserve">Le cinque regole</w:t>
      </w:r>
    </w:p>
    <w:p>
      <w:pPr>
        <w:spacing w:after="0" w:line="276" w:lineRule="auto"/>
        <w:ind w:firstLine="425"/>
        <w:jc w:val="both"/>
      </w:pPr>
      <w:r>
        <w:rPr/>
        <w:t xml:space="preserve">Prima regola, </w:t>
      </w:r>
      <w:r>
        <w:rPr>
          <w:b/>
        </w:rPr>
        <w:t xml:space="preserve">della piattaforma</w:t>
      </w:r>
      <w:r>
        <w:rPr/>
        <w:t xml:space="preserve">: il tuffo parte soltanto da semi iscritti e qualificati al grado precedente — nessun seme improvvisato, nessuna partenza dal bordo vasca; la piattaforma di questo Registro è il Secondo Anello del gemello, voce per voce. Seconda regola, </w:t>
      </w:r>
      <w:r>
        <w:rPr>
          <w:b/>
        </w:rPr>
        <w:t xml:space="preserve">della rotazione completa</w:t>
      </w:r>
      <w:r>
        <w:rPr/>
        <w:t xml:space="preserve">: ogni anello è censito per intero, alle soglie dichiarate, prima che una sola voce ne venga discussa; a questa distanza, con centinaia di nodi disponibili, la selezione preventiva è la frode dell’analista — chi sceglie prima di censire può dimostrare qualunque tesi, e il censimento integrale è l’unico antidoto. Terza regola, </w:t>
      </w:r>
      <w:r>
        <w:rPr>
          <w:b/>
        </w:rPr>
        <w:t xml:space="preserve">della carpiatura</w:t>
      </w:r>
      <w:r>
        <w:rPr/>
        <w:t xml:space="preserve">: tre ipotesi concatenate sono un’ipotesi al cubo, e nessuna catena di grado terzo o quarto è mai, in quanto catena, elevabile oltre il </w:t>
      </w:r>
      <w:r>
        <w:rPr>
          <w:b/>
        </w:rPr>
        <w:t xml:space="preserve">Livello C</w:t>
      </w:r>
      <w:r>
        <w:rPr/>
        <w:t xml:space="preserve">; le soglie di ammissione crescono con la distanza, e ciò che al primo anello era registrabile al quarto è soltanto misurabile. Quarta regola, </w:t>
      </w:r>
      <w:r>
        <w:rPr>
          <w:b/>
        </w:rPr>
        <w:t xml:space="preserve">dell’ingresso in acqua</w:t>
      </w:r>
      <w:r>
        <w:rPr/>
        <w:t xml:space="preserve">: un nodo degli anelli profondi entra nel Registro dei nodi se e soltanto se chiude il ciclo — se, scoperto per la via lunga, esibisce un arco diretto e indipendente con il nucleo del caso, documentato alle soglie proprie; chi non rientra resta nella carta della saturazione, quale contesto misurato e non iscritto. Quinta regola, </w:t>
      </w:r>
      <w:r>
        <w:rPr>
          <w:b/>
        </w:rPr>
        <w:t xml:space="preserve">dello spruzzo</w:t>
      </w:r>
      <w:r>
        <w:rPr/>
        <w:t xml:space="preserve">: la deriva sollevata dall’immersione — quanti nodi toccati, quanti estranei, quale affinità media, quale frazione dell’universo documentale — si misura e si dichiara in cifre; un’espansione che non dichiara il proprio spruzzo è un tuffo giudicato senza giuria, e il Registro non ne ammette.</w:t>
      </w:r>
    </w:p>
    <w:p>
      <w:pPr>
        <w:pageBreakBefore/>
        <w:spacing w:before="240" w:after="120" w:line="276" w:lineRule="auto"/>
        <w:jc w:val="left"/>
      </w:pPr>
      <w:r>
        <w:rPr>
          <w:b/>
          <w:sz w:val="28"/>
          <w:szCs w:val="28"/>
        </w:rPr>
        <w:t xml:space="preserve">PARTE SECONDA — IL TERZO ANELLO: ESTRAZIONE E MISURA</w:t>
      </w:r>
    </w:p>
    <w:p>
      <w:pPr>
        <w:spacing w:after="0" w:line="276" w:lineRule="auto"/>
        <w:ind w:firstLine="425"/>
        <w:jc w:val="both"/>
      </w:pPr>
      <w:r>
        <w:rPr/>
        <w:t xml:space="preserve">La piattaforma del tuffo è costituita da sessantanove semi di terzo grado, tutti nodi qualificati del Secondo Anello del Registro gemello: gli esecutori tardivamente accertati, i vertici coevi degli apparati, i magistrati delle due stagioni, i nodi del canale calabrese e di quello carcerario, i terminali tedeschi, i nomi della banda, i periti, i luoghi immobiliari. Sessantotto risultano attivi nel corpus. L’estrazione, condotta con finestre di trecentottanta caratteri e soglie di almeno tre ricorrenze in almeno due fonti, ha raggiunto </w:t>
      </w:r>
      <w:r>
        <w:rPr>
          <w:b/>
        </w:rPr>
        <w:t xml:space="preserve">trecentocinquantaquattro nodi</w:t>
      </w:r>
      <w:r>
        <w:rPr/>
        <w:t xml:space="preserve">, dei quali </w:t>
      </w:r>
      <w:r>
        <w:rPr>
          <w:b/>
        </w:rPr>
        <w:t xml:space="preserve">duecentonovantasei nuovi</w:t>
      </w:r>
      <w:r>
        <w:rPr/>
        <w:t xml:space="preserve"> — mai toccati dai primi due Anelli — con un’</w:t>
      </w:r>
      <w:r>
        <w:rPr>
          <w:b/>
        </w:rPr>
        <w:t xml:space="preserve">affinità media al caso del trentasei per cento</w:t>
      </w:r>
      <w:r>
        <w:rPr/>
        <w:t xml:space="preserve">: un grado sopra, l’affinità mediana correva ancora fra il cinquanta e il cento; la degradazione è monotona, misurata, ed è essa stessa un dato.</w:t>
      </w:r>
    </w:p>
    <w:p>
      <w:pPr>
        <w:spacing w:after="0" w:line="276" w:lineRule="auto"/>
        <w:ind w:firstLine="425"/>
        <w:jc w:val="both"/>
      </w:pPr>
      <w:r>
        <w:rPr/>
        <w:t xml:space="preserve">La fascia superiore del Terzo Anello, ad affinità piena o quasi, è popolata dai semi che vivono dentro il caso anche a questa distanza: la consorte del musicista, il cui anello si risolve nei dati biografici già iscritti; il terrorista tedesco, il cui anello conduce a Milano, a Monte Nevoso e al nome del venezuelano; il giudice istruttore dell’ordinanza, il cui anello congiunge la Duchessa, il falsario e la magistratura inquirente; i nomi calabresi, il cui anello si chiude su se stesso — Morabito, Nirta, i cognomi delle famiglie ioniche — confermando la compattezza documentale di quel versante; e il brigatista audito nel duemiladiciassette, il cui anello produce la prima emersione capitale dell’immersione, di cui alla Parte Quarta. La fascia intermedia raccoglie i magistrati — attorno al Procuratore della prima ora ruotano i nomi dei sostituti e, per due volte, quello del </w:t>
      </w:r>
      <w:r>
        <w:rPr>
          <w:b/>
        </w:rPr>
        <w:t xml:space="preserve">Procuratore generale</w:t>
      </w:r>
      <w:r>
        <w:rPr/>
        <w:t xml:space="preserve">, che l’inventario presidenziale consente di identificare con certezza documentale — e i nodi politici, il cui anello restituisce il quadro correntizio già iscritto. La fascia inferiore, sotto il trenta per cento, è la banda considerata in sé, l’eversione nera della stagione successiva, gli apparati fotografati in altri anni: contesto misurato, che la quarta regola trattiene fuori dal Registro dei nodi.</w:t>
      </w:r>
    </w:p>
    <w:p>
      <w:pPr>
        <w:pageBreakBefore/>
        <w:spacing w:before="240" w:after="120" w:line="276" w:lineRule="auto"/>
        <w:jc w:val="left"/>
      </w:pPr>
      <w:r>
        <w:rPr>
          <w:b/>
          <w:sz w:val="28"/>
          <w:szCs w:val="28"/>
        </w:rPr>
        <w:t xml:space="preserve">PARTE TERZA — IL QUARTO ANELLO E LA MISURA DELLA SATURAZIONE</w:t>
      </w:r>
    </w:p>
    <w:p>
      <w:pPr>
        <w:spacing w:after="0" w:line="276" w:lineRule="auto"/>
        <w:ind w:firstLine="425"/>
        <w:jc w:val="both"/>
      </w:pPr>
      <w:r>
        <w:rPr/>
        <w:t xml:space="preserve">Gli ottanta nodi nuovi più ricorrenti del Terzo Anello sono stati assunti come semi di quarto grado — settantacinque attivi — e l’ultima rotazione ha raggiunto </w:t>
      </w:r>
      <w:r>
        <w:rPr>
          <w:b/>
        </w:rPr>
        <w:t xml:space="preserve">trecentoventuno nodi</w:t>
      </w:r>
      <w:r>
        <w:rPr/>
        <w:t xml:space="preserve">, dei quali soltanto </w:t>
      </w:r>
      <w:r>
        <w:rPr>
          <w:b/>
        </w:rPr>
        <w:t xml:space="preserve">centotrentatré nuovi</w:t>
      </w:r>
      <w:r>
        <w:rPr/>
        <w:t xml:space="preserve">, con un’affinità media scesa al </w:t>
      </w:r>
      <w:r>
        <w:rPr>
          <w:b/>
        </w:rPr>
        <w:t xml:space="preserve">venticinque per cento</w:t>
      </w:r>
      <w:r>
        <w:rPr/>
        <w:t xml:space="preserve">. La decrescita dei nuovi ingressi è il primo segnale che l’immersione ha toccato il proprio fondale utile: la rete comincia a ripiegarsi su se stessa, i vicini dei vicini sono sempre più spesso nodi già noti, e il tuffo — come deve — decelera.</w:t>
      </w:r>
    </w:p>
    <w:p>
      <w:pPr>
        <w:spacing w:after="0" w:line="276" w:lineRule="auto"/>
        <w:ind w:firstLine="425"/>
        <w:jc w:val="both"/>
      </w:pPr>
      <w:r>
        <w:rPr/>
        <w:t xml:space="preserve">La misura dello spruzzo, prescritta dalla quinta regola, dà il risultato più importante della Parte. L’universo documentale del corpus conta </w:t>
      </w:r>
      <w:r>
        <w:rPr>
          <w:b/>
        </w:rPr>
        <w:t xml:space="preserve">diecimilaseicentotrentanove</w:t>
      </w:r>
      <w:r>
        <w:rPr/>
        <w:t xml:space="preserve"> nodi candidati sopra la frequenza minima; l’intera immersione profonda — Terzo e Quarto Anello cumulati — ne ha toccati </w:t>
      </w:r>
      <w:r>
        <w:rPr>
          <w:b/>
        </w:rPr>
        <w:t xml:space="preserve">cinquecentodue</w:t>
      </w:r>
      <w:r>
        <w:rPr/>
        <w:t xml:space="preserve">, ossia il </w:t>
      </w:r>
      <w:r>
        <w:rPr>
          <w:b/>
        </w:rPr>
        <w:t xml:space="preserve">cinque per cento</w:t>
      </w:r>
      <w:r>
        <w:rPr/>
        <w:t xml:space="preserve">. Questo numero smentisce, in concreto, il timore che l’espansione iterata dissolva ogni rete nel piccolo mondo totale: con la carpiatura — le soglie raccolte, il filtro delle fonti multiple — quattro gradi di distanza coprono una frazione minima dell’universo, e l’espansione resta governata. Ma lo stesso numero fissa anche il limite inverso: il novantacinque per cento del corpus resta fuori dalla rete del caso anche alla massima profondità esplorata, e chiunque affermi che nel caso Moro convergerebbe tutto — ogni nome, ogni vicenda, ogni carta della Repubblica — afferma cosa che la misura smentisce. Il caso è vasto e non è infinito; ha una frontiera, e ora la frontiera ha una cifra.</w:t>
      </w:r>
    </w:p>
    <w:p>
      <w:pPr>
        <w:pageBreakBefore/>
        <w:spacing w:before="240" w:after="120" w:line="276" w:lineRule="auto"/>
        <w:jc w:val="left"/>
      </w:pPr>
      <w:r>
        <w:rPr>
          <w:b/>
          <w:sz w:val="28"/>
          <w:szCs w:val="28"/>
        </w:rPr>
        <w:t xml:space="preserve">PARTE QUARTA — GLI INGRESSI IN ACQUA: I CICLI CHIUSI</w:t>
      </w:r>
    </w:p>
    <w:p>
      <w:pPr>
        <w:spacing w:after="0" w:line="276" w:lineRule="auto"/>
        <w:ind w:firstLine="425"/>
        <w:jc w:val="both"/>
      </w:pPr>
      <w:r>
        <w:rPr/>
        <w:t xml:space="preserve">L’applicazione della quarta regola all’insieme dei quattrocentoventinove nodi nuovi degli anelli profondi ha prodotto </w:t>
      </w:r>
      <w:r>
        <w:rPr>
          <w:b/>
        </w:rPr>
        <w:t xml:space="preserve">sessantuno ingressi in acqua</w:t>
      </w:r>
      <w:r>
        <w:rPr/>
        <w:t xml:space="preserve">: nodi scoperti per la via lunga che esibiscono un arco diretto e indipendente con il nucleo, con affinità propria non inferiore al quarantacinque per cento. Uno su sette: la maggioranza dei nodi profondi non rientra, e resta nella carta della saturazione; il settimo che rientra è il raccolto del tuffo. Le voci capitali, sottoposte a lettura di pagina, sono iscritte di seguito con i loro livelli; la certificazione, come sempre, riguarda il censimento e non i legami.</w:t>
      </w:r>
    </w:p>
    <w:p>
      <w:pPr>
        <w:spacing w:after="0" w:line="276" w:lineRule="auto"/>
        <w:ind w:firstLine="425"/>
        <w:jc w:val="both"/>
      </w:pPr>
      <w:r>
        <w:rPr>
          <w:b/>
        </w:rPr>
        <w:t xml:space="preserve">Il terzo nome della serie aperta.</w:t>
      </w:r>
      <w:r>
        <w:rPr/>
        <w:t xml:space="preserve"> L’anello del brigatista audito nel duemiladiciassette conduce ad </w:t>
      </w:r>
      <w:r>
        <w:rPr>
          <w:b/>
        </w:rPr>
        <w:t xml:space="preserve">Alvaro Lojacono</w:t>
      </w:r>
      <w:r>
        <w:rPr/>
        <w:t xml:space="preserve">, che la fonte parlamentare attesta divenuto cittadino svizzero e presente in via Fani secondo l’accusa — </w:t>
      </w:r>
      <w:r>
        <w:rPr>
          <w:b/>
        </w:rPr>
        <w:t xml:space="preserve">Livello B</w:t>
      </w:r>
      <w:r>
        <w:rPr/>
        <w:t xml:space="preserve">, con la qualificazione della fonte recepita alla lettera. Con Maccari ed Etro, Lojacono è il terzo nome della medesima serie: partecipazioni accertate o contestate in epoca tarda, sotto giurisdizioni diverse, con esiti diversi — e la serie, ormai a tre termini, promuove da osservazione a </w:t>
      </w:r>
      <w:r>
        <w:rPr>
          <w:b/>
        </w:rPr>
        <w:t xml:space="preserve">pattern iscritto</w:t>
      </w:r>
      <w:r>
        <w:rPr/>
        <w:t xml:space="preserve"> la provvisorietà del perimetro degli esecutori. La cittadinanza elvetica del nodo apre inoltre, sul piano materiale, l’assone svizzero di cui alla Parte Quinta.</w:t>
      </w:r>
    </w:p>
    <w:p>
      <w:pPr>
        <w:spacing w:after="0" w:line="276" w:lineRule="auto"/>
        <w:ind w:firstLine="425"/>
        <w:jc w:val="both"/>
      </w:pPr>
      <w:r>
        <w:rPr>
          <w:b/>
        </w:rPr>
        <w:t xml:space="preserve">Fonte 2000.</w:t>
      </w:r>
      <w:r>
        <w:rPr/>
        <w:t xml:space="preserve"> L’anello mediorientale, che i primi due Anelli tenevano al livello dell’ipotesi, si materializza negli anelli profondi in un nodo massiccio — centottantuno finestre — e in un documento. La fonte riferisce che la seconda Commissione ha rintracciato un documento datato </w:t>
      </w:r>
      <w:r>
        <w:rPr>
          <w:b/>
        </w:rPr>
        <w:t xml:space="preserve">diciassette febbraio millenovecentosettantotto</w:t>
      </w:r>
      <w:r>
        <w:rPr/>
        <w:t xml:space="preserve">, proveniente da una fonte cifrata la cui identità è stata sciolta dopo trentotto anni: il colonnello dei Carabinieri </w:t>
      </w:r>
      <w:r>
        <w:rPr>
          <w:b/>
        </w:rPr>
        <w:t xml:space="preserve">Stefano Giovannone</w:t>
      </w:r>
      <w:r>
        <w:rPr/>
        <w:t xml:space="preserve">, capocentro del servizio a Beirut, il quale riferiva che il proprio abituale interlocutore, rappresentante del Fronte Popolare di Habbash, incontrato quella mattina, gli aveva vivamente consigliato di non allontanarsi da Beirut — </w:t>
      </w:r>
      <w:r>
        <w:rPr>
          <w:b/>
        </w:rPr>
        <w:t xml:space="preserve">Livello B</w:t>
      </w:r>
      <w:r>
        <w:rPr/>
        <w:t xml:space="preserve"> quanto all’esistenza, alla data e al tenore del documento, in quanto atto della Commissione riferito dalla fonte, con istruttoria di risalita agli atti già assegnata. Il Registro scolpisce qui la distinzione che il vaglio impone: il documento attesta un </w:t>
      </w:r>
      <w:r>
        <w:rPr>
          <w:b/>
        </w:rPr>
        <w:t xml:space="preserve">allarme del canale palestinese un mese prima di via Fani</w:t>
      </w:r>
      <w:r>
        <w:rPr/>
        <w:t xml:space="preserve">; che l’allarme riguardasse il sequestro è lettura, non testo, e resta </w:t>
      </w:r>
      <w:r>
        <w:rPr>
          <w:b/>
        </w:rPr>
        <w:t xml:space="preserve">Livello C</w:t>
      </w:r>
      <w:r>
        <w:rPr/>
        <w:t xml:space="preserve">. Ma anche nella sua misura minima, il nodo muta la geografia del caso: il canale di Beirut era attivo, cifrato, e in ascolto, trenta giorni prima — e la domanda su che cosa transitò in quel canale, prima e durante, è da oggi un’istruttoria nominata e non una suggestione.</w:t>
      </w:r>
    </w:p>
    <w:p>
      <w:pPr>
        <w:spacing w:after="0" w:line="276" w:lineRule="auto"/>
        <w:ind w:firstLine="425"/>
        <w:jc w:val="both"/>
      </w:pPr>
      <w:r>
        <w:rPr>
          <w:b/>
        </w:rPr>
        <w:t xml:space="preserve">Il canale carcerario e la convergenza sull’ufficio.</w:t>
      </w:r>
      <w:r>
        <w:rPr/>
        <w:t xml:space="preserve"> Tre ingressi in acqua distinti, saldandosi, compongono il quadro più delicato del Registro. Primo: la fonte enciclopedica riferisce le dichiarazioni rese da Tommaso Buscetta, secondo cui nel carcere di Cuneo fu avvicinato da </w:t>
      </w:r>
      <w:r>
        <w:rPr>
          <w:b/>
        </w:rPr>
        <w:t xml:space="preserve">Ugo Bossi</w:t>
      </w:r>
      <w:r>
        <w:rPr/>
        <w:t xml:space="preserve">, uomo di </w:t>
      </w:r>
      <w:r>
        <w:rPr>
          <w:b/>
        </w:rPr>
        <w:t xml:space="preserve">Francis Turatello</w:t>
      </w:r>
      <w:r>
        <w:rPr/>
        <w:t xml:space="preserve">, affinché si attivasse per la liberazione del prigioniero, e le dichiarazioni dello stesso Bossi ai magistrati di essere stato nominato mediatore </w:t>
      </w:r>
      <w:r>
        <w:rPr>
          <w:b/>
        </w:rPr>
        <w:t xml:space="preserve">dai servizi segreti</w:t>
      </w:r>
      <w:r>
        <w:rPr/>
        <w:t xml:space="preserve"> — </w:t>
      </w:r>
      <w:r>
        <w:rPr>
          <w:b/>
        </w:rPr>
        <w:t xml:space="preserve">Livello C</w:t>
      </w:r>
      <w:r>
        <w:rPr/>
        <w:t xml:space="preserve"> nel corpus in quanto fonte enciclopedica, con istruttoria di risalita alle dichiarazioni processuali, che sono note e citate. Secondo: la fonte parlamentare attesta i presunti rapporti — l’aggettivo è della fonte — intercorsi fra il dottor </w:t>
      </w:r>
      <w:r>
        <w:rPr>
          <w:b/>
        </w:rPr>
        <w:t xml:space="preserve">Claudio Vitalone, per conto del Procuratore generale</w:t>
      </w:r>
      <w:r>
        <w:rPr/>
        <w:t xml:space="preserve">, ed </w:t>
      </w:r>
      <w:r>
        <w:rPr>
          <w:b/>
        </w:rPr>
        <w:t xml:space="preserve">Edoardo Formisano</w:t>
      </w:r>
      <w:r>
        <w:rPr/>
        <w:t xml:space="preserve">, uomo legato a Turatello e a Bossi; l’attivazione di Franco Giuseppucci di cui parla la testimonianza di Antonio Mancini; e l’incontro fra Vitalone e Daniele Pifano del collettivo di via dei Volsci — </w:t>
      </w:r>
      <w:r>
        <w:rPr>
          <w:b/>
        </w:rPr>
        <w:t xml:space="preserve">Livello B</w:t>
      </w:r>
      <w:r>
        <w:rPr/>
        <w:t xml:space="preserve"> l’esistenza della pista così descritta, </w:t>
      </w:r>
      <w:r>
        <w:rPr>
          <w:b/>
        </w:rPr>
        <w:t xml:space="preserve">Livello C</w:t>
      </w:r>
      <w:r>
        <w:rPr/>
        <w:t xml:space="preserve"> l’effettività di ciascun rapporto. Terzo: l’inventario dell’archivio presidenziale attesta che il Procuratore generale della Corte d’appello di Roma era, nell’aprile millenovecentosettantotto, il dottor </w:t>
      </w:r>
      <w:r>
        <w:rPr>
          <w:b/>
        </w:rPr>
        <w:t xml:space="preserve">Pietro Pascalino</w:t>
      </w:r>
      <w:r>
        <w:rPr/>
        <w:t xml:space="preserve"> — </w:t>
      </w:r>
      <w:r>
        <w:rPr>
          <w:b/>
        </w:rPr>
        <w:t xml:space="preserve">Livello A</w:t>
      </w:r>
      <w:r>
        <w:rPr/>
        <w:t xml:space="preserve">, fonte inventariale, con tanto di corrispondenza coeva a lui diretta durante il sequestro. La saldatura dei tre ingressi produce la segnalazione investigativa che il Registro formula al livello che le compete: il Registro gemello ha iscritto al Livello B la dichiarazione secondo cui l’invito a incontrare un capo mafioso indicava quale sede possibile un ufficio della Procura generale; questo Registro iscrive al Livello B una pista di sondaggi criminali condotta per conto del Procuratore generale. Le due iscrizioni </w:t>
      </w:r>
      <w:r>
        <w:rPr>
          <w:b/>
        </w:rPr>
        <w:t xml:space="preserve">convergono sul medesimo ufficio</w:t>
      </w:r>
      <w:r>
        <w:rPr/>
        <w:t xml:space="preserve"> per vie documentali indipendenti — ed è consilienza topologica, l’ingresso in acqua più pulito dell’intera immersione — ma la convergenza attesta la centralità dell’ufficio nei sondaggi, non alcuna condotta di chi lo resse: questa distinzione è scolpita, e ogni lettura che la ecceda è fuori dal Registro.</w:t>
      </w:r>
    </w:p>
    <w:p>
      <w:pPr>
        <w:spacing w:after="0" w:line="276" w:lineRule="auto"/>
        <w:ind w:firstLine="425"/>
        <w:jc w:val="both"/>
      </w:pPr>
      <w:r>
        <w:rPr>
          <w:b/>
        </w:rPr>
        <w:t xml:space="preserve">Il protettore parigino e l’omonimia dei Malagugini.</w:t>
      </w:r>
      <w:r>
        <w:rPr/>
        <w:t xml:space="preserve"> L’elaborato parlamentare sulla stagione precedente attesta che un magistrato milanese avrebbe svolto, consapevolmente o inconsapevolmente, fino al millenovecentosettantaquattro, il ruolo di grande protettore del Superclan, lo stesso ruolo — scrive la fonte — rivestito poi dall’</w:t>
      </w:r>
      <w:r>
        <w:rPr>
          <w:b/>
        </w:rPr>
        <w:t xml:space="preserve">Abbé Pierre</w:t>
      </w:r>
      <w:r>
        <w:rPr/>
        <w:t xml:space="preserve"> una volta che Simioni e i suoi si trasferirono in Francia — </w:t>
      </w:r>
      <w:r>
        <w:rPr>
          <w:b/>
        </w:rPr>
        <w:t xml:space="preserve">Livello B</w:t>
      </w:r>
      <w:r>
        <w:rPr/>
        <w:t xml:space="preserve"> la ricostruzione della fonte, con la sua stessa clausola dubitativa recepita. L’ingresso porta con sé un’avvertenza onomastica di prima grandezza, che la fonte medesima formula: la distinzione fra </w:t>
      </w:r>
      <w:r>
        <w:rPr>
          <w:b/>
        </w:rPr>
        <w:t xml:space="preserve">Alberto</w:t>
      </w:r>
      <w:r>
        <w:rPr/>
        <w:t xml:space="preserve"> Malagugini e l’onorevole </w:t>
      </w:r>
      <w:r>
        <w:rPr>
          <w:b/>
        </w:rPr>
        <w:t xml:space="preserve">Alcide</w:t>
      </w:r>
      <w:r>
        <w:rPr/>
        <w:t xml:space="preserve"> Malagugini, padre e figlio, che il calcolo confonderebbe e che la lettura separa — quarta omonimia del registro degli artefatti. Il nodo del religioso francese, fondatore di un movimento celebre, resta al livello della ricostruzione parlamentare, e la sua istruttoria — quale protezione, quali anni, quale consapevolezza — è nominata.</w:t>
      </w:r>
    </w:p>
    <w:p>
      <w:pPr>
        <w:spacing w:after="0" w:line="276" w:lineRule="auto"/>
        <w:ind w:firstLine="425"/>
        <w:jc w:val="both"/>
      </w:pPr>
      <w:r>
        <w:rPr>
          <w:b/>
        </w:rPr>
        <w:t xml:space="preserve">Il piano materiale elvetico.</w:t>
      </w:r>
      <w:r>
        <w:rPr/>
        <w:t xml:space="preserve"> La fonte parlamentare sulla dimensione sovranazionale attesta, su accertamento condotto con l’organo elvetico, che un ordigno sequestrato nell’ambito delle indagini apparteneva a uno stock di centotrentacinque bombe a mano </w:t>
      </w:r>
      <w:r>
        <w:rPr>
          <w:b/>
        </w:rPr>
        <w:t xml:space="preserve">rubate da un deposito militare della Confederazione in località Ponte Brolla, Canton Ticino, il sedici novembre millenovecentosettantadue</w:t>
      </w:r>
      <w:r>
        <w:rPr/>
        <w:t xml:space="preserve">, e che granate del medesimo stock furono ritrovate nella base di Robbiano di Mediglia e in altri covi — </w:t>
      </w:r>
      <w:r>
        <w:rPr>
          <w:b/>
        </w:rPr>
        <w:t xml:space="preserve">Livello A</w:t>
      </w:r>
      <w:r>
        <w:rPr/>
        <w:t xml:space="preserve"> l’accertamento tecnico. L’assone elvetico, che il Registro gemello teneva quale direzione cumulativa, acquista così tre piani distinti: il piano materiale delle armi, il piano personale della cittadinanza del terzo esecutore, il piano finanziario del riciclaggio milanese riferito dalla fonte enciclopedica — tre piani che il Salto della Quaglia prescrive di istruire separatamente, su classi di fonti diverse.</w:t>
      </w:r>
    </w:p>
    <w:p>
      <w:pPr>
        <w:spacing w:after="0" w:line="276" w:lineRule="auto"/>
        <w:ind w:firstLine="425"/>
        <w:jc w:val="both"/>
      </w:pPr>
      <w:r>
        <w:rPr>
          <w:b/>
        </w:rPr>
        <w:t xml:space="preserve">Gli ingressi minori.</w:t>
      </w:r>
      <w:r>
        <w:rPr/>
        <w:t xml:space="preserve"> Sono iscritti: il generale </w:t>
      </w:r>
      <w:r>
        <w:rPr>
          <w:b/>
        </w:rPr>
        <w:t xml:space="preserve">Antonio Cornacchia</w:t>
      </w:r>
      <w:r>
        <w:rPr/>
        <w:t xml:space="preserve">, audito dalla seconda Commissione — </w:t>
      </w:r>
      <w:r>
        <w:rPr>
          <w:b/>
        </w:rPr>
        <w:t xml:space="preserve">Livello B</w:t>
      </w:r>
      <w:r>
        <w:rPr/>
        <w:t xml:space="preserve">, con scioglimento della riserva del gemello; </w:t>
      </w:r>
      <w:r>
        <w:rPr>
          <w:b/>
        </w:rPr>
        <w:t xml:space="preserve">Marco Pisetta</w:t>
      </w:r>
      <w:r>
        <w:rPr/>
        <w:t xml:space="preserve"> e Silvano Girotto detto Frate Mitra, i primi infiltrati, </w:t>
      </w:r>
      <w:r>
        <w:rPr>
          <w:b/>
        </w:rPr>
        <w:t xml:space="preserve">Livello B</w:t>
      </w:r>
      <w:r>
        <w:rPr/>
        <w:t xml:space="preserve"> le qualità, quale genealogia documentata del tema dell’infiltrazione che i primi Anelli conoscevano solo per dichiarazioni; </w:t>
      </w:r>
      <w:r>
        <w:rPr>
          <w:b/>
        </w:rPr>
        <w:t xml:space="preserve">Michele Galati</w:t>
      </w:r>
      <w:r>
        <w:rPr/>
        <w:t xml:space="preserve">, l’ex brigatista che la fonte parlamentare indica quale accusatore di Simioni per l’attentato di Atene e rivelatore dei documenti sulla strage di piazza Fontana giunti all’organizzazione — </w:t>
      </w:r>
      <w:r>
        <w:rPr>
          <w:b/>
        </w:rPr>
        <w:t xml:space="preserve">Livello B</w:t>
      </w:r>
      <w:r>
        <w:rPr/>
        <w:t xml:space="preserve">, giunzione fra il Superclan e le origini; lo psichiatra </w:t>
      </w:r>
      <w:r>
        <w:rPr>
          <w:b/>
        </w:rPr>
        <w:t xml:space="preserve">Massimo Gidoni</w:t>
      </w:r>
      <w:r>
        <w:rPr/>
        <w:t xml:space="preserve"> fra gli esecutori del sequestro del fratello del collaboratore — </w:t>
      </w:r>
      <w:r>
        <w:rPr>
          <w:b/>
        </w:rPr>
        <w:t xml:space="preserve">Livello B</w:t>
      </w:r>
      <w:r>
        <w:rPr/>
        <w:t xml:space="preserve"> i fatti processuali riferiti — iscritto con l’avvertenza espressa che la sua qualità professionale non si somma alla simmetria dei periti, appartenendo egli al piano militante e non a quello peritale; il volo di linea dirottato nell’ottobre millenovecentosettantasette, con il comunicato del commando riprodotto in fonte parlamentare — </w:t>
      </w:r>
      <w:r>
        <w:rPr>
          <w:b/>
        </w:rPr>
        <w:t xml:space="preserve">Livello A</w:t>
      </w:r>
      <w:r>
        <w:rPr/>
        <w:t xml:space="preserve"> il documento — quale giunzione materiale fra l’organizzazione tedesca e il fronte palestinese, cioè fra due assoni che gli anelli profondi mostrano comunicanti; la tipografia di via Foà e il suo titolare, </w:t>
      </w:r>
      <w:r>
        <w:rPr>
          <w:b/>
        </w:rPr>
        <w:t xml:space="preserve">Livello A</w:t>
      </w:r>
      <w:r>
        <w:rPr/>
        <w:t xml:space="preserve"> la scoperta del diciannove maggio; e il progettato sequestro ai danni di persona indicata dall’esponente dell’eversione alla banda romana, attestato in sentenza — </w:t>
      </w:r>
      <w:r>
        <w:rPr>
          <w:b/>
        </w:rPr>
        <w:t xml:space="preserve">Livello A</w:t>
      </w:r>
      <w:r>
        <w:rPr/>
        <w:t xml:space="preserve"> l’atto — quale prova della saldatura operativa fra i due mondi, iscritta come contesto e non come caso.</w:t>
      </w:r>
    </w:p>
    <w:p>
      <w:pPr>
        <w:pageBreakBefore/>
        <w:spacing w:before="240" w:after="120" w:line="276" w:lineRule="auto"/>
        <w:jc w:val="left"/>
      </w:pPr>
      <w:r>
        <w:rPr>
          <w:b/>
          <w:sz w:val="28"/>
          <w:szCs w:val="28"/>
        </w:rPr>
        <w:t xml:space="preserve">PARTE QUINTA — GLI ASSONI ESTREMI: DOVE PUNTANO GLI ANELLI PROFONDI</w:t>
      </w:r>
    </w:p>
    <w:p>
      <w:pPr>
        <w:spacing w:after="0" w:line="276" w:lineRule="auto"/>
        <w:ind w:firstLine="425"/>
        <w:jc w:val="both"/>
      </w:pPr>
      <w:r>
        <w:rPr/>
        <w:t xml:space="preserve">Gli assoni del Registro gemello erano direzioni; gli anelli profondi ne fanno, per quattro di essi, territori parzialmente percorsi. L’</w:t>
      </w:r>
      <w:r>
        <w:rPr>
          <w:b/>
        </w:rPr>
        <w:t xml:space="preserve">assone mediorientale</w:t>
      </w:r>
      <w:r>
        <w:rPr/>
        <w:t xml:space="preserve"> non è più una voce d’indice: ha un nodo — il capocentro di Beirut — un documento datato, un interlocutore nominato e una cifra di fonte; la sua istruttoria è la risalita agli atti della seconda Commissione e la conversione del blocco stenografico, e il suo perimetro tocca ormai l’assone germanico, poiché il volo dirottato congiunge documentalmente l’organizzazione tedesca al fronte palestinese. L’</w:t>
      </w:r>
      <w:r>
        <w:rPr>
          <w:b/>
        </w:rPr>
        <w:t xml:space="preserve">assone elvetico</w:t>
      </w:r>
      <w:r>
        <w:rPr/>
        <w:t xml:space="preserve"> ha tre piani istruiti — materiale, personale, finanziario — e un luogo con una data: il deposito di Ponte Brolla, sedici novembre millenovecentosettantadue. L’</w:t>
      </w:r>
      <w:r>
        <w:rPr>
          <w:b/>
        </w:rPr>
        <w:t xml:space="preserve">assone germanico</w:t>
      </w:r>
      <w:r>
        <w:rPr/>
        <w:t xml:space="preserve"> si prolunga fino a Mogadiscio e ritorna, e la comparazione strutturale fra i due sequestri dispone ora anche del terzo termine palestinese. L’</w:t>
      </w:r>
      <w:r>
        <w:rPr>
          <w:b/>
        </w:rPr>
        <w:t xml:space="preserve">assone greco</w:t>
      </w:r>
      <w:r>
        <w:rPr/>
        <w:t xml:space="preserve"> emerge ex novo: l’attentato di Atene attribuito per accusa al fondatore del Superclan congiunge l’istituto parigino alla stagione delle origini, e per essa a piazza Fontana. Gli assoni restanti — atlantico, vaticano-finanziario, calabrese, siciliano, campano, nero — non hanno ricevuto dagli anelli profondi materia nuova di pari grado, e restano alle istruttorie del gemello; il Registro lo dichiara, perché anche l’assenza di avanzamento è un dato, e tacerla sarebbe selezione.</w:t>
      </w:r>
    </w:p>
    <w:p>
      <w:pPr>
        <w:spacing w:after="0" w:line="276" w:lineRule="auto"/>
        <w:ind w:firstLine="425"/>
        <w:jc w:val="both"/>
      </w:pPr>
      <w:r>
        <w:rPr/>
        <w:t xml:space="preserve">La carta complessiva degli assoni estremi consegna al vaglio la risultanza d’insieme della profondità: le direttrici non solo attraversano il caso — questo lo mostrava già il gemello — ma </w:t>
      </w:r>
      <w:r>
        <w:rPr>
          <w:b/>
        </w:rPr>
        <w:t xml:space="preserve">comunicano fra loro alla periferia</w:t>
      </w:r>
      <w:r>
        <w:rPr/>
        <w:t xml:space="preserve">, saldandosi a coppie in territori esterni: il tedesco col palestinese a Mogadiscio, l’elvetico col milanese nel riciclaggio, il parigino col greco nell’accusa di Atene. La rete del caso, vista dal quarto anello, non è una stella di raggi indipendenti: è una ragnatela con anelli di collegamento esterni. Anche qui, la distinzione finale è d’obbligo e chiude la Parte: la comunicazione periferica fra le direttrici è un fatto della rete documentale, non una regia; ma ogni ipotesi che tratti gli assoni come canne d’organo separate parte, da oggi, da una topologia smentita.</w:t>
      </w:r>
    </w:p>
    <w:p>
      <w:pPr>
        <w:pageBreakBefore/>
        <w:spacing w:before="240" w:after="120" w:line="276" w:lineRule="auto"/>
        <w:jc w:val="left"/>
      </w:pPr>
      <w:r>
        <w:rPr>
          <w:b/>
          <w:sz w:val="28"/>
          <w:szCs w:val="28"/>
        </w:rPr>
        <w:t xml:space="preserve">PARTE SESTA — IL VAGLIO INVESTIGATIVO: RISULTANZE E ISTRUTTORIE DELLA PROFONDITÀ</w:t>
      </w:r>
    </w:p>
    <w:p>
      <w:pPr>
        <w:spacing w:after="0" w:line="276" w:lineRule="auto"/>
        <w:ind w:firstLine="425"/>
        <w:jc w:val="both"/>
      </w:pPr>
      <w:r>
        <w:rPr/>
        <w:t xml:space="preserve">In applicazione dello statuto, il Registro formula le risultanze della profondità nella forma prescritta. Prima: è documentata al </w:t>
      </w:r>
      <w:r>
        <w:rPr>
          <w:b/>
        </w:rPr>
        <w:t xml:space="preserve">Livello B</w:t>
      </w:r>
      <w:r>
        <w:rPr/>
        <w:t xml:space="preserve"> l’esistenza, la data e la provenienza del documento della fonte cifrata di Beirut del diciassette febbraio millenovecentosettantotto; l’istruttoria prima è la risalita integrale agli atti della seconda Commissione, con la determinazione di che cosa transitò nel canale prima e durante i cinquantacinque giorni. Seconda: è iscritta la serie a tre termini degli esecutori tardivamente accertati — Maccari, Etro, Lojacono — quale pattern; l’istruttoria seconda è la ricostruzione della posizione elvetica del terzo. Terza: è formulata al </w:t>
      </w:r>
      <w:r>
        <w:rPr>
          <w:b/>
        </w:rPr>
        <w:t xml:space="preserve">Livello C</w:t>
      </w:r>
      <w:r>
        <w:rPr/>
        <w:t xml:space="preserve">, per consilienza di due iscrizioni indipendenti di Livello B, la centralità dell’ufficio della Procura generale nei sondaggi paralleli del sequestro; l’istruttoria terza è la lettura integrale delle due piste — quella del tramite d’affari e quella dei canali carcerari — con il vincolo scolpito che la centralità dell’ufficio non è condotta di chi lo resse. Quarta: è assegnata la risalita delle dichiarazioni di Buscetta e di Bossi alle fonti processuali proprie, con la verifica della dichiarazione di nomina da parte dei servizi. Quinta: è assegnata l’istruttoria del protettore parigino — anni, forme, consapevolezza — con l’avvertenza onomastica dei due Malagugini iscritta nel registro degli artefatti. Sesta: è assegnata l’identificazione dell’ordigno cui si riferisce l’accertamento di Ponte Brolla e il censimento dei ritrovamenti del medesimo stock. Settima: la carta della saturazione — cinquecentodue nodi su diecimilaseicentotrentanove, sessantuno rientri — è depositata quale base di ogni futura immersione, che dovrà partire da essa e non ricominciare dal bordo vasca. Restano sovraordinate la conversione del blocco stenografico e le istruttorie del Registro gemello, che questo Registro non assorbe e con cui non si confonde.</w:t>
      </w:r>
    </w:p>
    <w:p>
      <w:pPr>
        <w:pageBreakBefore/>
        <w:spacing w:before="240" w:after="120" w:line="276" w:lineRule="auto"/>
        <w:jc w:val="left"/>
      </w:pPr>
      <w:r>
        <w:rPr>
          <w:b/>
          <w:sz w:val="28"/>
          <w:szCs w:val="28"/>
        </w:rPr>
        <w:t xml:space="preserve">COLOPHON DELL’EDIZIONE PRIMA</w:t>
      </w:r>
    </w:p>
    <w:p>
      <w:pPr>
        <w:spacing w:after="0" w:line="276" w:lineRule="auto"/>
        <w:ind w:firstLine="425"/>
        <w:jc w:val="both"/>
      </w:pPr>
      <w:r>
        <w:rPr/>
        <w:t xml:space="preserve">REGISTRO SPECULARE DEL CASO MORO — GLI ANELLI PROFONDI, edizione prima, dal Secondo al Quarto Anello di Prossimità, con la Metodologia del Triplo Salto Carpiato di Luigi De Michele,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speculare al Registro Analitico del Caso Moro nell’edizione quarta, con dipendenza genetica dichiarata quanto ai semi e autonomia piena quanto a catena estrattiva, apparato e istruttoria; tenuto a fini investigativi secondo la codifica scolpita in frontespizio: istruttoria di ipotesi, mai attribuzione di responsabilità; la certificazione riguarda la completezza del censimento degli Anelli terzo e quarto e mai i legami. Ogni edizione successiva conterrà verbatim la presente. Resta sovrana la Regola di Ferro: dove la fonte documenta, l’opera certifica; dove la fonte tace, l’opera indaga e non afferma. Autore e direttore dell’opera: Luigi De Michele.</w:t>
      </w:r>
    </w:p>
    <w:sectPr>
      <w:pgSz w:w="11906" w:h="16838"/>
      <w:pgMar w:top="1440" w:right="1440" w:bottom="1440" w:left="1440" w:header="708" w:footer="708"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t-IT"/>
      </w:rPr>
    </w:rPrDefault>
    <w:pPrDefault>
      <w:pPr>
        <w:spacing w:after="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