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Questa e' la prima di una serie di monografie dedicate ai personaggi e alle entita' che nel corpus ITALIA NERA raccolgono il maggior numero di nodi certificati. Il criterio di scelta e' quello gia' fissato nel registro analitico integrale, la voce quarantasette, e nella triangolazione dei venticinque personaggi centrali, la voce quarantasei: la centralita' di un nodo si misura dal numero di sinapsi che vi convergono, cioe' da quante volte quel nodo compare come snodo dei casi documentati. In questa parte prima si trattano i dieci grandi hub in vetta alla graduatoria, spiegando per ciascuno le ragioni della sua centralita', le sinapsi che lo legano agli altri nodi, i ponti che getta verso fronti diversi, i casi che lo riguardano e le evidenze di ogni tipo che l'opera ha accumulato lungo le verifiche numerate dalla trentacinquesima alla quarantasettesima.</w:t>
      </w:r>
    </w:p>
    <w:p>
      <w:pPr>
        <w:spacing w:line="276" w:lineRule="auto" w:before="0" w:after="0"/>
        <w:ind w:firstLine="425"/>
        <w:jc w:val="both"/>
      </w:pPr>
      <w:r>
        <w:rPr>
          <w:rFonts w:ascii="Times New Roman" w:hAnsi="Times New Roman" w:cs="Times New Roman" w:eastAsia="Times New Roman"/>
          <w:b w:val="0"/>
          <w:sz w:val="24"/>
        </w:rPr>
        <w:t>Prima dei singoli hub va enunciata la forma d'insieme che essi disegnano, perche' e' la vera scoperta del lavoro. Il corpus e' bicefalo. Un blocco egemone, nero e atlantista, occupa gran parte delle prime posizioni: e' la galassia che nasce dalla scuola di Aginter Press, si irradia negli Stati dell'apartheid e nei regimi del Cono Sud, si nutre dei quadri nazisti riciclati e dei poteri occulti italiani. Un secondo blocco, euroasiatico, ruota attorno a Vladimir Putin e ai suoi anelli di potere. I due mondi non formano una catena di comando unica, e questo va detto con nettezza: si toccano soltanto in due punti, un ponte di idee che dalla dottrina di Jean Thiriart arriva all'eurasiatismo di Aleksandr Dugin, e una spina di interessi, quella del crimine e dell'energia, che unisce la mafia post-sovietica, gli intermediari del gas e i cassieri della cerchia del Cremlino. La convergenza di milieu e di sistema e' certificata; la catena di comando unica non e' provata, e non viene promossa.</w:t>
      </w:r>
    </w:p>
    <w:p>
      <w:pPr>
        <w:spacing w:line="276" w:lineRule="auto" w:before="0" w:after="0"/>
        <w:ind w:firstLine="425"/>
        <w:jc w:val="both"/>
      </w:pPr>
      <w:r>
        <w:rPr>
          <w:rFonts w:ascii="Times New Roman" w:hAnsi="Times New Roman" w:cs="Times New Roman" w:eastAsia="Times New Roman"/>
          <w:b w:val="0"/>
          <w:sz w:val="24"/>
        </w:rPr>
        <w:t>Il primo hub, e il piu' denso di sinapsi dell'intero corpus, e' Yves Guerin-Serac, all'anagrafe Yves Guillou. La sua centralita' nasce da un fatto solo ma decisivo: fu il fondatore e il direttore di Aginter Press, l'agenzia di stampa di copertura che opero' da Lisbona tra il millenovecentosessantasei e il millenovecentosettantaquattro sotto l'ombrello dell'Estado Novo di Salazar. Aginter non era una redazione: era un centro di reclutamento e di addestramento di mercenari e di quadri dell'eversione, dove si insegnavano l'attentato dinamitardo, l'omicidio silenzioso, l'infiltrazione e la tecnica della guerra rivoluzionaria. La sua matrice era l'organizzazione paramilitare francese della guerra d'Algeria, la cosiddetta OAS, da cui proveniva una quota stimata attorno al sessanta per cento del personale. Le evidenze sono di prima mano: quando le autorita' portoghesi perquisirono gli uffici nel millenovecentosettantaquattro trovarono l'organigramma di Ordre et Tradition e della sua ala militare, l'organizzazione d'azione contro il comunismo internazionale.</w:t>
      </w:r>
    </w:p>
    <w:p>
      <w:pPr>
        <w:spacing w:line="276" w:lineRule="auto" w:before="0" w:after="0"/>
        <w:ind w:firstLine="425"/>
        <w:jc w:val="both"/>
      </w:pPr>
      <w:r>
        <w:rPr>
          <w:rFonts w:ascii="Times New Roman" w:hAnsi="Times New Roman" w:cs="Times New Roman" w:eastAsia="Times New Roman"/>
          <w:b w:val="0"/>
          <w:sz w:val="24"/>
        </w:rPr>
        <w:t>Le sinapsi di Guerin-Serac spiegano perche' e' il nodo-madre. La prima lo lega a Robert Leroy, il suo numero due, il braccio operativo delle missioni africane. La seconda lo lega a Stefano Delle Chiaie, che di Aginter fu tra i fondatori e che porto' quella scuola in Italia e in America Latina. La terza lo lega ai servizi: la polizia politica portoghese, la PIDE poi DGS, e attraverso di essa la liaison con la CIA attiva dal millenovecentocinquantasette. I casi che lo riguardano sono i due assassinii africani che il corpus registra come sinapsi verso il fronte anticoloniale: quello di Eduardo Mondlane del FRELIMO nel millenovecentosessantanove e quello di Amilcar Cabral del PAIGC nel millenovecentosettantatre'. Il ponte che getta e' quello del metodo: la tecnica del falso attentato e della strage attribuita al nemico, che riecheggia nelle stragi italiane senza che se ne possa provare la committenza diretta. Per questo il suo grado piu' alto e' la certezza documentale sull'esistenza e la funzione di Aginter, mentre il committente statale ultimo resta una matrice, non una catena provata.</w:t>
      </w:r>
    </w:p>
    <w:p>
      <w:pPr>
        <w:spacing w:line="276" w:lineRule="auto" w:before="0" w:after="0"/>
        <w:ind w:firstLine="425"/>
        <w:jc w:val="both"/>
      </w:pPr>
      <w:r>
        <w:rPr>
          <w:rFonts w:ascii="Times New Roman" w:hAnsi="Times New Roman" w:cs="Times New Roman" w:eastAsia="Times New Roman"/>
          <w:b w:val="0"/>
          <w:sz w:val="24"/>
        </w:rPr>
        <w:t>Il secondo hub e' Stefano Delle Chiaie, il piu' importante trait d'union operativo del corpus. La sua centralita' e' fatta di mobilita': fondatore di Avanguardia Nazionale a Roma, cofondatore di Aginter a Lisbona, ospite dei regimi di Salazar e di Franco nella penisola iberica, operativo nel Cono Sud fino al golpe boliviano di Garcia Meza nel millenovecentottanta, il cosiddetto golpe della cocaina. Le sue sinapsi sono le piu' ramificate del versante nero: lo legano a Guerin-Serac, a Vincenzo Vinciguerra, agli apparati dei regimi sudamericani e, attraverso Klaus Barbie, alla consulenza nazista in Bolivia. Il caso che meglio lo definisce e' la sua presenza documentata nell'ambiente dell'Operazione Condor, la rete multinazionale dei servizi del Cono Sud. Ma la sua e' anche la vicenda che meglio insegna la disciplina dello statuto: pur nella rete provata, in Italia Delle Chiaie fu assolto, per esempio per piazza Fontana. Incriminato non e' condannato, e la sua figura resta quella di una cerniera di milieu, non la prova di una regia unica.</w:t>
      </w:r>
    </w:p>
    <w:p>
      <w:pPr>
        <w:spacing w:line="276" w:lineRule="auto" w:before="0" w:after="0"/>
        <w:ind w:firstLine="425"/>
        <w:jc w:val="both"/>
      </w:pPr>
      <w:r>
        <w:rPr>
          <w:rFonts w:ascii="Times New Roman" w:hAnsi="Times New Roman" w:cs="Times New Roman" w:eastAsia="Times New Roman"/>
          <w:b w:val="0"/>
          <w:sz w:val="24"/>
        </w:rPr>
        <w:t>Il terzo hub e' Vladimir Putin, e con lui il registro cambia emisfero. La sua centralita' e' quella del vertice del fronte euroasiatico: attorno a lui il corpus dispone i siloviki di provenienza dai servizi, gli oligarchi della cooperativa di dacie di Ozero, il gruppo dei media federali. Le sinapsi che lo riguardano sono tre, e vanno nominate con precisione perche' e' su di esse che si gioca tutta la cautela dell'opera. La prima lo lega a Yuri Kovalchuk, definito uno dei suoi cassieri, socio della cooperativa di Ozero fin dal millenovecentonovantasei e controllore dei media attraverso il National Media Group. La seconda lo lega, per il tramite del crimine e dell'energia, a Dmitry Firtash e a Semyon Mogilevich. La terza e' un ponte di idee, non di comando, che passa per Aleksandr Dugin. Il caso che lo riguarda, sul piano del corpus, e' la triangolazione stessa: la galassia nera atlantista non gli converge affatto, ne e' l'antipode di guerra fredda, e l'unico ponte reale tra quel mondo e la Russia di oggi e' la spina del crimine organizzato euroasiatico. Su Putin, persona vivente, vale il massimo rigore: nessun accertamento giudiziario di catena di comando personale, e la tesi del regista onnisciente resta al grado piu' basso, quello della congettura.</w:t>
      </w:r>
    </w:p>
    <w:p>
      <w:pPr>
        <w:spacing w:line="276" w:lineRule="auto" w:before="0" w:after="0"/>
        <w:ind w:firstLine="425"/>
        <w:jc w:val="both"/>
      </w:pPr>
      <w:r>
        <w:rPr>
          <w:rFonts w:ascii="Times New Roman" w:hAnsi="Times New Roman" w:cs="Times New Roman" w:eastAsia="Times New Roman"/>
          <w:b w:val="0"/>
          <w:sz w:val="24"/>
        </w:rPr>
        <w:t>Il quarto hub e' Licio Gelli, il nodo attorno a cui si annoda il potere occulto italiano. La sua centralita' e' quella dell'hub per eccellenza: il maestro venerabile della loggia P2 e' il punto in cui si toccano eversione, apparati dello Stato e finanza. Le sue sinapsi lo legano a Umberto Ortolani, a Francesco Pazienza, a Federico Umberto D'Amato, e attraverso l'elenco degli iscritti a una porzione dei vertici militari e dei servizi della Prima Repubblica. Il ponte piu' pesante e' quello verso l'Argentina dei generali, con Massera e Suarez Mason, la P2 che diventa internazionale. Il caso che lo riguarda in forma di condanna e' la strage di Bologna: nelle sentenze piu' recenti Gelli e' indicato tra i mandanti, e questo lo distingue da molti altri hub, perche' qui l'accertamento giudiziario e' arrivato. Le evidenze sono gli atti processuali e le liste sequestrate a Castiglion Fibocchi. Su Gelli il corpus puo' salire di grado piu' che altrove, pur restando aperti i conti e i depistaggi mai del tutto ricostruiti.</w:t>
      </w:r>
    </w:p>
    <w:p>
      <w:pPr>
        <w:spacing w:line="276" w:lineRule="auto" w:before="0" w:after="0"/>
        <w:ind w:firstLine="425"/>
        <w:jc w:val="both"/>
      </w:pPr>
      <w:r>
        <w:rPr>
          <w:rFonts w:ascii="Times New Roman" w:hAnsi="Times New Roman" w:cs="Times New Roman" w:eastAsia="Times New Roman"/>
          <w:b w:val="0"/>
          <w:sz w:val="24"/>
        </w:rPr>
        <w:t>Il quinto hub non e' una persona ma un'entita', ed e' fra le piu' centrali in assoluto: lo Stato dell'apartheid sudafricano, incarnato dai suoi due capi, Pieter Willem Botha e il predecessore John Vorster. La centralita' di questa entita' nasce dalla sua doppia natura di regime e di rete internazionale. Le sinapsi la legano all'apparato di sicurezza, la BOSS poi NIS e il DMI, all'operativo Craig Williamson, agli assi militari e nucleari con Israele, la Germania Federale e la Francia, e agli assi geopolitici con il Cile, il Brasile, il Paraguay di Stroessner. Il caso che meglio la definisce e' il terrorismo di Stato oltre confine: l'omicidio di Ruth First con una lettera-bomba a Maputo nel millenovecentottantadue, ordinato proprio da Williamson, e gli omicidi di Dulcie September a Parigi nel millenovecentottantotto e di Anton Lubowski a Windhoek nel millenovecentottantanove. Le evidenze qui sono di grado alto, comprese le amnistie della Commissione per la verita' e la riconciliazione, che sono ammissioni di responsabilita'. Il ponte verso il corpus italiano passa per Aginter e per la diaspora nera, ma anche questa entita' resta un antipode di Putin, essendo un fronte anticomunista occidentale.</w:t>
      </w:r>
    </w:p>
    <w:p>
      <w:pPr>
        <w:spacing w:line="276" w:lineRule="auto" w:before="0" w:after="0"/>
        <w:ind w:firstLine="425"/>
        <w:jc w:val="both"/>
      </w:pPr>
      <w:r>
        <w:rPr>
          <w:rFonts w:ascii="Times New Roman" w:hAnsi="Times New Roman" w:cs="Times New Roman" w:eastAsia="Times New Roman"/>
          <w:b w:val="0"/>
          <w:sz w:val="24"/>
        </w:rPr>
        <w:t>Il sesto hub e' Semyon Mogilevich, il perno del crimine euroasiatico, che l'FBI defini' il mafioso piu' pericoloso del mondo. La sua centralita' viene dal ruolo di architetto finanziario: non un uomo d'armi ma un ingegnere del riciclaggio, con oltre trecento associati in piu' di trenta Paesi. Le sue sinapsi lo legano a Vyacheslav Ivankov, il vor v zakone inviato a Brighton Beach nel millenovecentonovantadue, a Dmitry Firtash attraverso l'intermediario del gas RosUkrEnergo, e al grande scandalo del riciclaggio della Bank of New York. Il caso che lo riguarda e' precisamente questo: la dorsale euroasiatica che collega l'enclave criminale di Brooklyn, dove la mafia russa comprava elicotteri dall'Armata Rossa svenduta, ai flussi del gas e del denaro che arrivano fino alla cerchia del potere russo. E' su questa spina, e solo su questa, che il corpus riconosce un ponte reale tra il fronte occidentale e quello euroasiatico. Ma il grado si ferma alla convergenza sistemica: la tracciabilita' delle protezioni statali resta in gran parte opaca, e nulla e' promosso a catena di comando personale.</w:t>
      </w:r>
    </w:p>
    <w:p>
      <w:pPr>
        <w:spacing w:line="276" w:lineRule="auto" w:before="0" w:after="0"/>
        <w:ind w:firstLine="425"/>
        <w:jc w:val="both"/>
      </w:pPr>
      <w:r>
        <w:rPr>
          <w:rFonts w:ascii="Times New Roman" w:hAnsi="Times New Roman" w:cs="Times New Roman" w:eastAsia="Times New Roman"/>
          <w:b w:val="0"/>
          <w:sz w:val="24"/>
        </w:rPr>
        <w:t>Il settimo hub e' Massimo Carminati, la cerniera vivente tra l'eversione nera e il crimine organizzato romano. La sua centralita' e' esattamente quella di ponte: ex militante dei Nuclei Armati Rivoluzionari, uomo della Banda della Magliana, poi figura del cosiddetto Mondo di mezzo. Le sue sinapsi lo legano ai due mondi che salda: da un lato i camerati neri, dall'altro i criminali della banda. Il caso materiale che incarna questa saldatura e' l'arsenale scoperto il ventisette novembre del millenovecentottantuno nei sotterranei del Ministero della Sanita', dove le armi della Magliana e quelle dei Nuclei erano custodite insieme, sorvegliate da un usciere stipendiato dalla banda. In quell'arsenale si trovarono le cartucce Gevelot dello stesso raro tipo usato per uccidere Mino Pecorelli. Qui il corpus certifica il travaso tra eversione e crimine, che e' l'unico travaso pienamente provato dell'intera opera; ma sul delitto Pecorelli il processo si e' chiuso con assoluzioni definitive, e dunque il ponte materiale resta reperto, non responsabilita' penale accertata.</w:t>
      </w:r>
    </w:p>
    <w:p>
      <w:pPr>
        <w:spacing w:line="276" w:lineRule="auto" w:before="0" w:after="0"/>
        <w:ind w:firstLine="425"/>
        <w:jc w:val="both"/>
      </w:pPr>
      <w:r>
        <w:rPr>
          <w:rFonts w:ascii="Times New Roman" w:hAnsi="Times New Roman" w:cs="Times New Roman" w:eastAsia="Times New Roman"/>
          <w:b w:val="0"/>
          <w:sz w:val="24"/>
        </w:rPr>
        <w:t>L'ottavo hub e' Aldo Moro, e la sua centralita' e' di natura particolare: non e' un artefice ma la vittima baricentrica attorno a cui ruota l'intera stagione stragista e terroristica. Le sinapsi che vi convergono sono le piu' dense del dominio dell'eversione: l'esecutore Mario Moretti, la catena delle armi, il lodo Moro che getta un ponte verso il fronte mediorientale, la scuola Hyperion che getta un ponte verso i servizi. I casi che lo riguardano sono i due grandi nodi balistici del corpus. Il primo e' la strage di via Fani del sedici marzo millenovecentosettantotto, con i novantuno bossoli calibro nove Parabellum e le due mitragliette FNAB quarantatre' catturate dai partigiani nella guerra civile e riemerse in mano ai brigatisti. Il secondo e' l'esecuzione del nove maggio, in cui la Walther PPK calibro nove corto si inceppa dopo il primo colpo e la Skorpion completa l'opera con una raffica. La PPK non fu mai ritrovata, ed e' la coda irrisolta piu' emblematica del corpus, gemella dei dodici nascondigli di Gladio mai recuperati.</w:t>
      </w:r>
    </w:p>
    <w:p>
      <w:pPr>
        <w:spacing w:line="276" w:lineRule="auto" w:before="0" w:after="0"/>
        <w:ind w:firstLine="425"/>
        <w:jc w:val="both"/>
      </w:pPr>
      <w:r>
        <w:rPr>
          <w:rFonts w:ascii="Times New Roman" w:hAnsi="Times New Roman" w:cs="Times New Roman" w:eastAsia="Times New Roman"/>
          <w:b w:val="0"/>
          <w:sz w:val="24"/>
        </w:rPr>
        <w:t>Il nono hub e' un ponte dottrinale che collega due nomi, Jean Thiriart e Aleksandr Dugin, e la sua centralita' e' quella delle idee piu' che dei fatti. Thiriart, con la sua Jeune Europe attiva tra il millenovecentosessantadue e il millenovecentosessantanove, formulo' la dottrina di un'Europa unita da Dublino a Vladivostok, e quella dottrina, decenni dopo, riemerge nell'eurasiatismo di Dugin. Le sinapsi qui non sono di comando ma di filiazione ideologica, e passano per la nuova destra italiana, per le riviste come Orion e per figure come Maurizio Murelli. Il caso che li riguarda e' il fatto che essi costituiscono il primo dei due soli punti di contatto tra la galassia nera e il mondo russo: un ponte di idee, appunto, che il corpus registra come convergenza dottrinale e non come catena operativa. Il grado del loro peso reale sul putinismo resta interpretativo, e viene dichiarato tale.</w:t>
      </w:r>
    </w:p>
    <w:p>
      <w:pPr>
        <w:spacing w:line="276" w:lineRule="auto" w:before="0" w:after="0"/>
        <w:ind w:firstLine="425"/>
        <w:jc w:val="both"/>
      </w:pPr>
      <w:r>
        <w:rPr>
          <w:rFonts w:ascii="Times New Roman" w:hAnsi="Times New Roman" w:cs="Times New Roman" w:eastAsia="Times New Roman"/>
          <w:b w:val="0"/>
          <w:sz w:val="24"/>
        </w:rPr>
        <w:t>Il decimo hub, infine, e' la coppia finanziaria della cerchia russa, Yuri Kovalchuk e Dmitry Firtash, che insieme incarnano la seconda via di contatto: la spina del denaro e dell'energia. Kovalchuk e' il presidente e maggiore azionista della Bank Rossiya, definita la banca personale degli alti funzionari, ed e' socio della cooperativa di Ozero con Putin fin dal millenovecentonovantasei; controlla il National Media Group ed e' sotto sanzioni statunitensi, europee e britanniche dal duemilaquattordici, dopo l'annessione della Crimea. Firtash e' l'intermediario del gas di RosUkrEnergo, in societa' con Gazprom, con presunti legami con Mogilevich, incriminato negli Stati Uniti per corruzione. Le loro sinapsi convergono su Putin come cerchia ristretta e sistema di consenso e di cassa. Il caso che li riguarda e' la dimostrazione, per la via dell'energia e della finanza, di come la dorsale euroasiatica arrivi materialmente al vertice del potere russo. Anche qui, pero', si tratta di convergenza sistemica: le sanzioni sono misure politiche, non condanne penali di una catena di comando.</w:t>
      </w:r>
    </w:p>
    <w:p>
      <w:pPr>
        <w:spacing w:line="276" w:lineRule="auto" w:before="0" w:after="0"/>
        <w:ind w:firstLine="425"/>
        <w:jc w:val="both"/>
      </w:pPr>
      <w:r>
        <w:rPr>
          <w:rFonts w:ascii="Times New Roman" w:hAnsi="Times New Roman" w:cs="Times New Roman" w:eastAsia="Times New Roman"/>
          <w:b w:val="0"/>
          <w:sz w:val="24"/>
        </w:rPr>
        <w:t>Tirando le somme, questa parte prima mostra come i dieci grandi hub si distribuiscano lungo la struttura bicefala del corpus. Sette di essi appartengono al blocco nero-atlantista: Guerin-Serac e Delle Chiaie come nodi-madre della galassia, lo Stato dell'apartheid come entita'-regime, Gelli come hub dei poteri occulti, Carminati come cerniera nera-criminale, Aldo Moro come vittima baricentrica. Tre appartengono al blocco euroasiatico: Putin come vertice, Mogilevich come architetto del crimine, la coppia Kovalchuk-Firtash come spina finanziaria. E poi c'e' il ponte dottrinale Thiriart-Dugin, che e' la cerniera delle idee tra i due mondi. Le sinapsi certificate disegnano dunque due grandi grappoli, non un'unica ragnatela comandata dall'alto.</w:t>
      </w:r>
    </w:p>
    <w:p>
      <w:pPr>
        <w:spacing w:line="276" w:lineRule="auto" w:before="0" w:after="0"/>
        <w:ind w:firstLine="425"/>
        <w:jc w:val="both"/>
      </w:pPr>
      <w:r>
        <w:rPr>
          <w:rFonts w:ascii="Times New Roman" w:hAnsi="Times New Roman" w:cs="Times New Roman" w:eastAsia="Times New Roman"/>
          <w:b w:val="0"/>
          <w:sz w:val="24"/>
        </w:rPr>
        <w:t>La conclusione, che vale come statuto di tutta la serie, e' questa. Le sinapsi e i ponti descritti sono di tre nature diverse, e vanno tenute distinte. Ci sono le sinapsi operative accertate, come quella tra Guerin-Serac e Leroy dentro Aginter, o quella tra i Nuclei e la Magliana nell'arsenale del ministero: qui il corpus certifica un legame di fatto. Ci sono i ponti di metodo e di idee, come l'eco della tecnica di Aginter nelle stragi o la filiazione da Thiriart a Dugin: qui il corpus registra una convergenza, non una committenza. E c'e' un solo, grande arco negativo, che e' forse la conclusione piu' importante di tutte: la galassia atlantista di Aginter e dell'apartheid non converge su Putin, ne e' l'antipode, e chi volesse fonderle in un'unica regia mondiale scambierebbe una convergenza di milieu per una catena di comando. La specularita' e l'affinita' tra i sistemi sono un fatto morfologico che il registro certifica; l'identita' operativa sarebbe una tesi, e come tale resta dichiarata e mai promossa. Il vincolo sulle fonti e' stato rispettato in ogni pagina, senza alcun uso di Grokipedia ne' del quotidiano il manifesto.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https://en.wikipedia.org/wiki/Aginter_Press</w:t>
      </w:r>
    </w:p>
    <w:p>
      <w:pPr>
        <w:spacing w:line="276" w:lineRule="auto" w:before="0" w:after="0"/>
        <w:ind w:firstLine="425"/>
        <w:jc w:val="both"/>
      </w:pPr>
      <w:r>
        <w:rPr>
          <w:rFonts w:ascii="Times New Roman" w:hAnsi="Times New Roman" w:cs="Times New Roman" w:eastAsia="Times New Roman"/>
          <w:b w:val="0"/>
          <w:sz w:val="24"/>
        </w:rPr>
        <w:t>https://anti-imperialist-u.blogspot.com/2020/05/stefano-delle-chiaie-from-gladio-to.html</w:t>
      </w:r>
    </w:p>
    <w:p>
      <w:pPr>
        <w:spacing w:line="276" w:lineRule="auto" w:before="0" w:after="0"/>
        <w:ind w:firstLine="425"/>
        <w:jc w:val="both"/>
      </w:pPr>
      <w:r>
        <w:rPr>
          <w:rFonts w:ascii="Times New Roman" w:hAnsi="Times New Roman" w:cs="Times New Roman" w:eastAsia="Times New Roman"/>
          <w:b w:val="0"/>
          <w:sz w:val="24"/>
        </w:rPr>
        <w:t>https://en.wikipedia.org/wiki/Craig_Williamson</w:t>
      </w:r>
    </w:p>
    <w:p>
      <w:pPr>
        <w:spacing w:line="276" w:lineRule="auto" w:before="0" w:after="0"/>
        <w:ind w:firstLine="425"/>
        <w:jc w:val="both"/>
      </w:pPr>
      <w:r>
        <w:rPr>
          <w:rFonts w:ascii="Times New Roman" w:hAnsi="Times New Roman" w:cs="Times New Roman" w:eastAsia="Times New Roman"/>
          <w:b w:val="0"/>
          <w:sz w:val="24"/>
        </w:rPr>
        <w:t>https://it.wikipedia.org/wiki/Caso_Moro</w:t>
      </w:r>
    </w:p>
    <w:p>
      <w:pPr>
        <w:spacing w:line="276" w:lineRule="auto" w:before="0" w:after="0"/>
        <w:ind w:firstLine="425"/>
        <w:jc w:val="both"/>
      </w:pPr>
      <w:r>
        <w:rPr>
          <w:rFonts w:ascii="Times New Roman" w:hAnsi="Times New Roman" w:cs="Times New Roman" w:eastAsia="Times New Roman"/>
          <w:b w:val="0"/>
          <w:sz w:val="24"/>
        </w:rPr>
        <w:t>https://en.wikipedia.org/wiki/FNAB-43</w:t>
      </w:r>
    </w:p>
    <w:p>
      <w:pPr>
        <w:spacing w:line="276" w:lineRule="auto" w:before="0" w:after="0"/>
        <w:ind w:firstLine="425"/>
        <w:jc w:val="both"/>
      </w:pPr>
      <w:r>
        <w:rPr>
          <w:rFonts w:ascii="Times New Roman" w:hAnsi="Times New Roman" w:cs="Times New Roman" w:eastAsia="Times New Roman"/>
          <w:b w:val="0"/>
          <w:sz w:val="24"/>
        </w:rPr>
        <w:t>https://it.wikipedia.org/wiki/Organizzazione_Gladio</w:t>
      </w:r>
    </w:p>
    <w:p>
      <w:pPr>
        <w:spacing w:line="276" w:lineRule="auto" w:before="0" w:after="0"/>
        <w:ind w:firstLine="425"/>
        <w:jc w:val="both"/>
      </w:pPr>
      <w:r>
        <w:rPr>
          <w:rFonts w:ascii="Times New Roman" w:hAnsi="Times New Roman" w:cs="Times New Roman" w:eastAsia="Times New Roman"/>
          <w:b w:val="0"/>
          <w:sz w:val="24"/>
        </w:rPr>
        <w:t>https://www.ugomariatassinari.it/arsenale-della-banda-della-magliana/</w:t>
      </w:r>
    </w:p>
    <w:p>
      <w:pPr>
        <w:spacing w:line="276" w:lineRule="auto" w:before="0" w:after="0"/>
        <w:ind w:firstLine="425"/>
        <w:jc w:val="both"/>
      </w:pPr>
      <w:r>
        <w:rPr>
          <w:rFonts w:ascii="Times New Roman" w:hAnsi="Times New Roman" w:cs="Times New Roman" w:eastAsia="Times New Roman"/>
          <w:b w:val="0"/>
          <w:sz w:val="24"/>
        </w:rPr>
        <w:t>https://en.wikipedia.org/wiki/Russian_mafia</w:t>
      </w:r>
    </w:p>
    <w:p>
      <w:pPr>
        <w:spacing w:line="276" w:lineRule="auto" w:before="0" w:after="0"/>
        <w:ind w:firstLine="425"/>
        <w:jc w:val="both"/>
      </w:pPr>
      <w:r>
        <w:rPr>
          <w:rFonts w:ascii="Times New Roman" w:hAnsi="Times New Roman" w:cs="Times New Roman" w:eastAsia="Times New Roman"/>
          <w:b w:val="0"/>
          <w:sz w:val="24"/>
        </w:rPr>
        <w:t>https://en.wikipedia.org/wiki/Yury_Kovalchuk</w:t>
      </w:r>
    </w:p>
    <w:p>
      <w:pPr>
        <w:spacing w:line="276" w:lineRule="auto" w:before="0" w:after="0"/>
        <w:ind w:firstLine="425"/>
        <w:jc w:val="both"/>
      </w:pPr>
      <w:r>
        <w:rPr>
          <w:rFonts w:ascii="Times New Roman" w:hAnsi="Times New Roman" w:cs="Times New Roman" w:eastAsia="Times New Roman"/>
          <w:b w:val="0"/>
          <w:sz w:val="24"/>
        </w:rPr>
        <w:t>https://home.treasury.gov/news/press-releases/jl23331</w:t>
      </w:r>
    </w:p>
    <w:p>
      <w:pPr>
        <w:spacing w:line="276" w:lineRule="auto" w:before="0" w:after="0"/>
        <w:ind w:firstLine="425"/>
        <w:jc w:val="both"/>
      </w:pPr>
      <w:r>
        <w:rPr>
          <w:rFonts w:ascii="Times New Roman" w:hAnsi="Times New Roman" w:cs="Times New Roman" w:eastAsia="Times New Roman"/>
          <w:b w:val="0"/>
          <w:sz w:val="24"/>
        </w:rPr>
        <w:t>https://it.wikipedia.org/wiki/Strage_di_Bologna</w:t>
      </w:r>
    </w:p>
    <w:p>
      <w:pPr>
        <w:spacing w:line="276" w:lineRule="auto" w:before="0" w:after="0"/>
        <w:ind w:firstLine="425"/>
        <w:jc w:val="both"/>
      </w:pPr>
      <w:r>
        <w:rPr>
          <w:rFonts w:ascii="Times New Roman" w:hAnsi="Times New Roman" w:cs="Times New Roman" w:eastAsia="Times New Roman"/>
          <w:b w:val="0"/>
          <w:sz w:val="24"/>
        </w:rPr>
        <w:t>https://it.wikipedia.org/wiki/Superclan</w:t>
      </w:r>
    </w:p>
    <w:p>
      <w:pPr>
        <w:spacing w:line="276" w:lineRule="auto" w:before="0" w:after="0"/>
        <w:ind w:firstLine="425"/>
        <w:jc w:val="both"/>
      </w:pPr>
      <w:r>
        <w:rPr>
          <w:rFonts w:ascii="Times New Roman" w:hAnsi="Times New Roman" w:cs="Times New Roman" w:eastAsia="Times New Roman"/>
          <w:b w:val="0"/>
          <w:sz w:val="24"/>
        </w:rPr>
        <w:t>https://medium.com/@petergrant_14485/donald-trump-russian-intelligence-and-eurasian-organized-crime-convergence-in-brighton-beach-44deaffb1fd3</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