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Questo lavoro risponde alla richiesta di generare nodi, triangolare, connettere e incrociare a partire da cinque censimenti forniti insieme: il censimento della destra italiana e della giustizia penale dal Sessantanove a oggi; la sezione capillare, provincia per provincia, sui quadri di Forza Italia e del Popolo della Libertà; il censimento composito delle strutture della criminalità organizzata; il censimento delle fonti d'archivio sulla loggia P2 curato per l'Archivio Flamigni; e il registro-madre dei nodi per dominio, che fissa lo statuto neuronale dell'opera. Ai neuroni inventariati nel registro-madre questo lavoro aggiunge nuovi nodi e, soprattutto, costruisce le prime sinapsi: gli archi che legano il materiale nuovo alla spina già verificata dalle note di verifica. Lo statuto è quello dell'opera — ogni candidato entra al grado più basso e sale solo per triangolazione — e qui la triangolazione è offerta dalle sentenze e dal riscontro incrociato fra i cinque testi. Il lavoro è del sei agosto duemilaventisei.</w:t>
      </w:r>
    </w:p>
    <w:p>
      <w:pPr>
        <w:spacing w:line="276" w:lineRule="auto" w:before="0" w:after="0"/>
        <w:ind w:firstLine="425"/>
        <w:jc w:val="both"/>
      </w:pPr>
      <w:r>
        <w:rPr>
          <w:rFonts w:ascii="Times New Roman" w:hAnsi="Times New Roman" w:cs="Times New Roman" w:eastAsia="Times New Roman"/>
          <w:b/>
          <w:sz w:val="24"/>
        </w:rPr>
        <w:t>La radice: il vertice d'Aspromonte e la saldatura fra mafia ed eversione.</w:t>
      </w:r>
      <w:r>
        <w:rPr>
          <w:rFonts w:ascii="Times New Roman" w:hAnsi="Times New Roman" w:cs="Times New Roman" w:eastAsia="Times New Roman"/>
          <w:b w:val="0"/>
          <w:sz w:val="24"/>
        </w:rPr>
        <w:t xml:space="preserve"> Il nodo-evento più profondo che i censimenti fanno emergere è il vertice di Montalto, in Aspromonte, dell'ottobre del millenovecentosessantanove, dove attorno a un centinaio di uomini della 'ndrangheta si trovarono il principe golpista Junio Valerio Borghese, Stefano Delle Chiaie e Pierluigi Concutelli, e dove il capo Paolo De Stefano riassunse la ragione dell'incontro nella frase sul denaro che quella gente portava </w:t>
      </w:r>
      <w:r>
        <w:rPr>
          <w:rFonts w:ascii="Times New Roman" w:hAnsi="Times New Roman" w:cs="Times New Roman" w:eastAsia="Times New Roman"/>
          <w:b/>
          <w:sz w:val="24"/>
        </w:rPr>
        <w:t>(Livello A come fatto storico-processuale)</w:t>
      </w:r>
      <w:r>
        <w:rPr>
          <w:rFonts w:ascii="Times New Roman" w:hAnsi="Times New Roman" w:cs="Times New Roman" w:eastAsia="Times New Roman"/>
          <w:b w:val="0"/>
          <w:sz w:val="24"/>
        </w:rPr>
        <w:t xml:space="preserve">. Da questa radice si dipartono i Moti di Reggio e l'attentato di Gioia Tauro del luglio del millenovecentosettanta, in cui uomini di Avanguardia Nazionale fecero deragliare un treno con sei morti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È la prova che la convergenza fra criminalità organizzata ed estrema destra non fu episodica ma organica, e costituisce la premessa storica di ciò che la nota dodicesima aveva verificato nella sua forma matura, l'inchiesta sulla 'ndrangheta stragista degli anni Novanta </w:t>
      </w:r>
      <w:r>
        <w:rPr>
          <w:rFonts w:ascii="Times New Roman" w:hAnsi="Times New Roman" w:cs="Times New Roman" w:eastAsia="Times New Roman"/>
          <w:b/>
          <w:sz w:val="24"/>
        </w:rPr>
        <w:t>(arco D-uno–D-sette, coerente con la nota dodicesima)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Mafia Capitale e il ritorno dei Nuclei Armati Rivoluzionari: salda le note decima e dodicesima.</w:t>
      </w:r>
      <w:r>
        <w:rPr>
          <w:rFonts w:ascii="Times New Roman" w:hAnsi="Times New Roman" w:cs="Times New Roman" w:eastAsia="Times New Roman"/>
          <w:b w:val="0"/>
          <w:sz w:val="24"/>
        </w:rPr>
        <w:t xml:space="preserve"> Il censimento della destra ricostruisce per intero il nucleo umano del «mondo di mezzo» romano e ne mostra le radici nel terrorismo nero. Massimo Carminati — già registrato come nodo doppio, terrorismo e criminalità — proviene dal nucleo originario dei Nuclei Armati Rivoluzionari, con Alessandro Alibrandi e Franco Anselmi, e fu il trait d'union con la Banda della Magliana di Franco Giuseppucci: è esattamente il filo che la nota decima aveva isolato attorno all'arsenale di via Liszt </w:t>
      </w:r>
      <w:r>
        <w:rPr>
          <w:rFonts w:ascii="Times New Roman" w:hAnsi="Times New Roman" w:cs="Times New Roman" w:eastAsia="Times New Roman"/>
          <w:b/>
          <w:sz w:val="24"/>
        </w:rPr>
        <w:t>(arco confermato, Livello A)</w:t>
      </w:r>
      <w:r>
        <w:rPr>
          <w:rFonts w:ascii="Times New Roman" w:hAnsi="Times New Roman" w:cs="Times New Roman" w:eastAsia="Times New Roman"/>
          <w:b w:val="0"/>
          <w:sz w:val="24"/>
        </w:rPr>
        <w:t xml:space="preserve">. Da lì il sistema si proietta nella politica: Gianni Alemanno, genero di Pino Rauti, riceve dai soggetti riconducibili a Salvatore Buzzi e Carminati oltre duecentoventimila euro ed è condannato in via definitiva per finanziamento illecito e traffico d'influenze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Luca Gramazio, definito «il volto istituzionale» dell'organizzazione, è condannato in via definitiva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Su tutto ciò vale la rettifica già fissata nella nota dodicesima: la corte di cassazione ha escluso in via definitiva l'associazione di stampo mafioso, sicché il sistema va chiamato con il suo nome giudiziario — corruzione e associazione per delinquere —, non «mafia» </w:t>
      </w:r>
      <w:r>
        <w:rPr>
          <w:rFonts w:ascii="Times New Roman" w:hAnsi="Times New Roman" w:cs="Times New Roman" w:eastAsia="Times New Roman"/>
          <w:b/>
          <w:sz w:val="24"/>
        </w:rPr>
        <w:t>(rettifica di grado A, coerente con la nota dodicesima)</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Bologna, la P2 e l'archivio: salda il censimento Governali.</w:t>
      </w:r>
      <w:r>
        <w:rPr>
          <w:rFonts w:ascii="Times New Roman" w:hAnsi="Times New Roman" w:cs="Times New Roman" w:eastAsia="Times New Roman"/>
          <w:b w:val="0"/>
          <w:sz w:val="24"/>
        </w:rPr>
        <w:t xml:space="preserve"> Il censimento della destra fissa il quadro giudiziario ormai chiuso della strage di Bologna del due agosto del millenovecentottanta: gli esecutori materiali del terrorismo nero — Giuseppe Valerio Fioravanti e Francesca Mambro, e in via definitiva nel duemilaventicinque Gilberto Cavallini e Paolo Bellini — e, sopra di loro, i mandanti individuati nella loggia P2, con Licio Gelli e Umberto Ortolani, il capo dell'ufficio affari riservati Federico Umberto D'Amato e il senatore missino Mario Tedeschi </w:t>
      </w:r>
      <w:r>
        <w:rPr>
          <w:rFonts w:ascii="Times New Roman" w:hAnsi="Times New Roman" w:cs="Times New Roman" w:eastAsia="Times New Roman"/>
          <w:b/>
          <w:sz w:val="24"/>
        </w:rPr>
        <w:t>(Livello A come esito processuale)</w:t>
      </w:r>
      <w:r>
        <w:rPr>
          <w:rFonts w:ascii="Times New Roman" w:hAnsi="Times New Roman" w:cs="Times New Roman" w:eastAsia="Times New Roman"/>
          <w:b w:val="0"/>
          <w:sz w:val="24"/>
        </w:rPr>
        <w:t xml:space="preserve">. Questa è la sinapsi che lega il dominio del terrorismo a quello della massoneria deviata, e che connette il registro-nodi al censimento delle fonti d'archivio sulla P2: quest'ultimo, che è propriamente un inventario di archivi, avverte anche di ciò che è andato perduto — gli atti del processo milanese a Luciano Leggio, distrutti in uno scarto archivistico del duemilasette, che portavano con sé le tracce dei legami finanziari fra le filiali settentrionali di Cosa Nostra, il Banco Ambrosiano e la P2 </w:t>
      </w:r>
      <w:r>
        <w:rPr>
          <w:rFonts w:ascii="Times New Roman" w:hAnsi="Times New Roman" w:cs="Times New Roman" w:eastAsia="Times New Roman"/>
          <w:b/>
          <w:sz w:val="24"/>
        </w:rPr>
        <w:t>(arco-lacuna dichiarato: salda il dominio criminale, quello economico-finanziario e quello massonico)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Peteano: il censimento della destra conferma il nesso gladiano che un altro documento aveva tentato di minimizzare.</w:t>
      </w:r>
      <w:r>
        <w:rPr>
          <w:rFonts w:ascii="Times New Roman" w:hAnsi="Times New Roman" w:cs="Times New Roman" w:eastAsia="Times New Roman"/>
          <w:b w:val="0"/>
          <w:sz w:val="24"/>
        </w:rPr>
        <w:t xml:space="preserve"> La nota decima aveva dovuto mettere in quarantena un documento del corpus che negava il legame fra l'esplosivo di Peteano e i depositi di Gladio. Il censimento della destra, indipendente, converge sul dato accertato: Vincenzo Vinciguerra, unico reo confesso dell'intera stagione stragista, di Ordine Nuovo e Avanguardia Nazionale, condannato all'ergastolo, è colui le cui rivelazioni portarono alla scoperta di Gladio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La triangolazione fra i due testi rafforza dunque la conclusione della nota decima: il nesso gladiano regge, e la minimizzazione va respinta </w:t>
      </w:r>
      <w:r>
        <w:rPr>
          <w:rFonts w:ascii="Times New Roman" w:hAnsi="Times New Roman" w:cs="Times New Roman" w:eastAsia="Times New Roman"/>
          <w:b/>
          <w:sz w:val="24"/>
        </w:rPr>
        <w:t>(arco D-sette–D-tre, coerente e rafforzato)</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La masso-'ndrangheta e il centrodestra calabrese e piemontese: salda la nota dodicesima.</w:t>
      </w:r>
      <w:r>
        <w:rPr>
          <w:rFonts w:ascii="Times New Roman" w:hAnsi="Times New Roman" w:cs="Times New Roman" w:eastAsia="Times New Roman"/>
          <w:b w:val="0"/>
          <w:sz w:val="24"/>
        </w:rPr>
        <w:t xml:space="preserve"> I due censimenti politici fanno emergere un fascio compatto di archi verso le cosche già verificate. Giuseppe Scopelliti e Alberto Sarra risultano, nel processo alla cupola massonico-mafiosa reggina, rispettivamente beneficiario e «transponder» del sistema di Paolo Romeo </w:t>
      </w:r>
      <w:r>
        <w:rPr>
          <w:rFonts w:ascii="Times New Roman" w:hAnsi="Times New Roman" w:cs="Times New Roman" w:eastAsia="Times New Roman"/>
          <w:b/>
          <w:sz w:val="24"/>
        </w:rPr>
        <w:t>(Livello A per Scopelliti, condannato in via definitiva per falso; Livello B per Sarra, condanna non definitiva)</w:t>
      </w:r>
      <w:r>
        <w:rPr>
          <w:rFonts w:ascii="Times New Roman" w:hAnsi="Times New Roman" w:cs="Times New Roman" w:eastAsia="Times New Roman"/>
          <w:b w:val="0"/>
          <w:sz w:val="24"/>
        </w:rPr>
        <w:t xml:space="preserve">; Giancarlo Pittelli è imputato nell'inchiesta Rinascita-Scott contro la cosca Mancuso, la stessa già verificata </w:t>
      </w:r>
      <w:r>
        <w:rPr>
          <w:rFonts w:ascii="Times New Roman" w:hAnsi="Times New Roman" w:cs="Times New Roman" w:eastAsia="Times New Roman"/>
          <w:b/>
          <w:sz w:val="24"/>
        </w:rPr>
        <w:t>(sub iudice, Livello B)</w:t>
      </w:r>
      <w:r>
        <w:rPr>
          <w:rFonts w:ascii="Times New Roman" w:hAnsi="Times New Roman" w:cs="Times New Roman" w:eastAsia="Times New Roman"/>
          <w:b w:val="0"/>
          <w:sz w:val="24"/>
        </w:rPr>
        <w:t xml:space="preserve">; Roberto Rosso è condannato, con giudizio non ancora definitivo, per lo scambio con la cosca Bonavota insediata a Carmagnola, che le operazioni verificate nella nota dodicesima avevano individuato </w:t>
      </w:r>
      <w:r>
        <w:rPr>
          <w:rFonts w:ascii="Times New Roman" w:hAnsi="Times New Roman" w:cs="Times New Roman" w:eastAsia="Times New Roman"/>
          <w:b/>
          <w:sz w:val="24"/>
        </w:rPr>
        <w:t>(Livello B, sub iudice)</w:t>
      </w:r>
      <w:r>
        <w:rPr>
          <w:rFonts w:ascii="Times New Roman" w:hAnsi="Times New Roman" w:cs="Times New Roman" w:eastAsia="Times New Roman"/>
          <w:b w:val="0"/>
          <w:sz w:val="24"/>
        </w:rPr>
        <w:t xml:space="preserve">; Domenico Creazzo è legato alla cosca Alvaro di Sinopoli dell'operazione Eyphemos </w:t>
      </w:r>
      <w:r>
        <w:rPr>
          <w:rFonts w:ascii="Times New Roman" w:hAnsi="Times New Roman" w:cs="Times New Roman" w:eastAsia="Times New Roman"/>
          <w:b/>
          <w:sz w:val="24"/>
        </w:rPr>
        <w:t>(Livello B, sub iudice)</w:t>
      </w:r>
      <w:r>
        <w:rPr>
          <w:rFonts w:ascii="Times New Roman" w:hAnsi="Times New Roman" w:cs="Times New Roman" w:eastAsia="Times New Roman"/>
          <w:b w:val="0"/>
          <w:sz w:val="24"/>
        </w:rPr>
        <w:t xml:space="preserve">. Vanno registrati con lealtà anche gli esiti negativi: Giuseppe Neri è stato archiviato, e diversi quadri di Forza Italia in Emilia risultano assolti o prescritti nel processo Aemilia — e ciò che è stato negato in giudizio non fa nodo-reato </w:t>
      </w:r>
      <w:r>
        <w:rPr>
          <w:rFonts w:ascii="Times New Roman" w:hAnsi="Times New Roman" w:cs="Times New Roman" w:eastAsia="Times New Roman"/>
          <w:b/>
          <w:sz w:val="24"/>
        </w:rPr>
        <w:t>(esiti negativi, registrati come tali)</w:t>
      </w:r>
      <w:r>
        <w:rPr>
          <w:rFonts w:ascii="Times New Roman" w:hAnsi="Times New Roman" w:cs="Times New Roman" w:eastAsia="Times New Roman"/>
          <w:b w:val="0"/>
          <w:sz w:val="24"/>
        </w:rPr>
        <w:t>.</w:t>
      </w:r>
    </w:p>
    <w:p>
      <w:pPr>
        <w:spacing w:line="276" w:lineRule="auto" w:before="0" w:after="0"/>
        <w:ind w:firstLine="425"/>
        <w:jc w:val="both"/>
      </w:pPr>
      <w:r>
        <w:rPr>
          <w:rFonts w:ascii="Times New Roman" w:hAnsi="Times New Roman" w:cs="Times New Roman" w:eastAsia="Times New Roman"/>
          <w:b/>
          <w:sz w:val="24"/>
        </w:rPr>
        <w:t>Il centrodestra e le mafie, oltre i partiti censiti.</w:t>
      </w:r>
      <w:r>
        <w:rPr>
          <w:rFonts w:ascii="Times New Roman" w:hAnsi="Times New Roman" w:cs="Times New Roman" w:eastAsia="Times New Roman"/>
          <w:b w:val="0"/>
          <w:sz w:val="24"/>
        </w:rPr>
        <w:t xml:space="preserve"> Sul piano nazionale i censimenti raccolgono le condanne definitive che fissano altrettanti archi al grado pieno: Marcello Dell'Utri, «cerniera stabile» fra Berlusconi e i vertici di Cosa Nostra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Nicola Cosentino, referente politico dei Casalesi, la cui esistenza la nota dodicesima aveva incrociato con il ciclo Spartacus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Totò Cuffaro per il favoreggiamento a Cosa Nostra </w:t>
      </w:r>
      <w:r>
        <w:rPr>
          <w:rFonts w:ascii="Times New Roman" w:hAnsi="Times New Roman" w:cs="Times New Roman" w:eastAsia="Times New Roman"/>
          <w:b/>
          <w:sz w:val="24"/>
        </w:rPr>
        <w:t>(Livello A)</w:t>
      </w:r>
      <w:r>
        <w:rPr>
          <w:rFonts w:ascii="Times New Roman" w:hAnsi="Times New Roman" w:cs="Times New Roman" w:eastAsia="Times New Roman"/>
          <w:b w:val="0"/>
          <w:sz w:val="24"/>
        </w:rPr>
        <w:t xml:space="preserve">; Domenico Zambetti, che acquistò dalla 'ndrangheta migliaia di voti </w:t>
      </w:r>
      <w:r>
        <w:rPr>
          <w:rFonts w:ascii="Times New Roman" w:hAnsi="Times New Roman" w:cs="Times New Roman" w:eastAsia="Times New Roman"/>
          <w:b/>
          <w:sz w:val="24"/>
        </w:rPr>
        <w:t>(Livello A)</w:t>
      </w:r>
      <w:r>
        <w:rPr>
          <w:rFonts w:ascii="Times New Roman" w:hAnsi="Times New Roman" w:cs="Times New Roman" w:eastAsia="Times New Roman"/>
          <w:b w:val="0"/>
          <w:sz w:val="24"/>
        </w:rPr>
        <w:t>. Sono nodi del dominio politico con arco diretto al dominio criminale, e ancorano il censimento a fatti giudicati in via definitiva.</w:t>
      </w:r>
    </w:p>
    <w:p>
      <w:pPr>
        <w:spacing w:line="276" w:lineRule="auto" w:before="0" w:after="0"/>
        <w:ind w:firstLine="425"/>
        <w:jc w:val="both"/>
      </w:pPr>
      <w:r>
        <w:rPr>
          <w:rFonts w:ascii="Times New Roman" w:hAnsi="Times New Roman" w:cs="Times New Roman" w:eastAsia="Times New Roman"/>
          <w:b/>
          <w:sz w:val="24"/>
        </w:rPr>
        <w:t>Le Cinque Famiglie e il Bronx: salda le note quarta, nona e quattordicesima.</w:t>
      </w:r>
      <w:r>
        <w:rPr>
          <w:rFonts w:ascii="Times New Roman" w:hAnsi="Times New Roman" w:cs="Times New Roman" w:eastAsia="Times New Roman"/>
          <w:b w:val="0"/>
          <w:sz w:val="24"/>
        </w:rPr>
        <w:t xml:space="preserve"> Il censimento composito della criminalità organizzata fornisce l'atlante strutturale che mancava: i mandamenti di Palermo e le Cinque Famiglie di Cosa Nostra americana — Genovese, Gambino, Lucchese, Bonanno e Colombo. Da qui tre saldature: la famiglia Genovese, di cui la nota nona aveva verificato la prosopografia; la famiglia Gambino, che la nota quattordicesima ha ritrovato viva e operante nell'operazione New Bridge accanto alla cosca Ursino; e la famiglia Lucchese, il cui territorio storico è il Bronx </w:t>
      </w:r>
      <w:r>
        <w:rPr>
          <w:rFonts w:ascii="Times New Roman" w:hAnsi="Times New Roman" w:cs="Times New Roman" w:eastAsia="Times New Roman"/>
          <w:b/>
          <w:sz w:val="24"/>
        </w:rPr>
        <w:t>(Livello A strutturale, coerente con le note quarta, nona e quattordicesima)</w:t>
      </w:r>
      <w:r>
        <w:rPr>
          <w:rFonts w:ascii="Times New Roman" w:hAnsi="Times New Roman" w:cs="Times New Roman" w:eastAsia="Times New Roman"/>
          <w:b w:val="0"/>
          <w:sz w:val="24"/>
        </w:rPr>
        <w:t>. L'atlante consente così di collocare con precisione ogni ponte italo-americano già verificato, distinguendo l'asse calabro-statunitense di New Bridge da quello russo-americano di Brighton Beach della nota quarta.</w:t>
      </w:r>
    </w:p>
    <w:p>
      <w:pPr>
        <w:spacing w:line="276" w:lineRule="auto" w:before="0" w:after="0"/>
        <w:ind w:firstLine="425"/>
        <w:jc w:val="both"/>
      </w:pPr>
      <w:r>
        <w:rPr>
          <w:rFonts w:ascii="Times New Roman" w:hAnsi="Times New Roman" w:cs="Times New Roman" w:eastAsia="Times New Roman"/>
          <w:b/>
          <w:sz w:val="24"/>
        </w:rPr>
        <w:t>Statuto, gradi e lacune dichiarate.</w:t>
      </w:r>
      <w:r>
        <w:rPr>
          <w:rFonts w:ascii="Times New Roman" w:hAnsi="Times New Roman" w:cs="Times New Roman" w:eastAsia="Times New Roman"/>
          <w:b w:val="0"/>
          <w:sz w:val="24"/>
        </w:rPr>
        <w:t xml:space="preserve"> Tutti i nodi qui generati rispettano lo statuto del registro-madre: il candidato entra al grado più basso e sale solo per triangolazione, e qui la triangolazione è fornita dalle sentenze e dal riscontro incrociato. Lo stato probatorio distingue rigorosamente il definitivo dal non definitivo, l'indagine dall'archiviazione: chi è stato assolto o prescritto — da Filiberto Scalone, assolto in cassazione, ai quadri emiliani del processo Aemilia — non fa nodo-reato, e va tenuto distinto da chi porta una condanna irrevocabile. Restano dichiarate le lacune: molte schede provinciali sono ancora sub iudice; l'archivio Governali segnala atti processuali distrutti o inaccessibili; e il censimento composito è tanto vasto da eccedere questo primo vaglio. L'inventario dei nuovi nodi e la rete degli archi sono depositati nel foglio di servizio allegato, che essendo file di lavoro non soggiace ai vincoli di prosa dell'opera. La sinaptogenesi qui avviata attende, per il resto, le istruzioni dell'autore.</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Fonte 1 — «Destra italiana e giustizia penale: un censimento sistematico (1969–2026)» (fornito dall'autore)</w:t>
      </w:r>
    </w:p>
    <w:p>
      <w:pPr>
        <w:spacing w:line="276" w:lineRule="auto" w:before="0" w:after="0"/>
        <w:ind w:firstLine="425"/>
        <w:jc w:val="both"/>
      </w:pPr>
      <w:r>
        <w:rPr>
          <w:rFonts w:ascii="Times New Roman" w:hAnsi="Times New Roman" w:cs="Times New Roman" w:eastAsia="Times New Roman"/>
          <w:b w:val="0"/>
          <w:sz w:val="24"/>
        </w:rPr>
        <w:t>Fonte 2 — «CAP.1 Sezione F — Censimento capillare province, quadri FI/PDL» (fornito dall'autore)</w:t>
      </w:r>
    </w:p>
    <w:p>
      <w:pPr>
        <w:spacing w:line="276" w:lineRule="auto" w:before="0" w:after="0"/>
        <w:ind w:firstLine="425"/>
        <w:jc w:val="both"/>
      </w:pPr>
      <w:r>
        <w:rPr>
          <w:rFonts w:ascii="Times New Roman" w:hAnsi="Times New Roman" w:cs="Times New Roman" w:eastAsia="Times New Roman"/>
          <w:b w:val="0"/>
          <w:sz w:val="24"/>
        </w:rPr>
        <w:t>Fonte 3 — «Censimento criminalità organizzata, struttura composita» (fornito dall'autore)</w:t>
      </w:r>
    </w:p>
    <w:p>
      <w:pPr>
        <w:spacing w:line="276" w:lineRule="auto" w:before="0" w:after="0"/>
        <w:ind w:firstLine="425"/>
        <w:jc w:val="both"/>
      </w:pPr>
      <w:r>
        <w:rPr>
          <w:rFonts w:ascii="Times New Roman" w:hAnsi="Times New Roman" w:cs="Times New Roman" w:eastAsia="Times New Roman"/>
          <w:b w:val="0"/>
          <w:sz w:val="24"/>
        </w:rPr>
        <w:t>Fonte 4 — L. Governali, «Verso un censimento delle fonti documentarie sulla loggia P2» (Archivio Flamigni)</w:t>
      </w:r>
    </w:p>
    <w:p>
      <w:pPr>
        <w:spacing w:line="276" w:lineRule="auto" w:before="0" w:after="0"/>
        <w:ind w:firstLine="425"/>
        <w:jc w:val="both"/>
      </w:pPr>
      <w:r>
        <w:rPr>
          <w:rFonts w:ascii="Times New Roman" w:hAnsi="Times New Roman" w:cs="Times New Roman" w:eastAsia="Times New Roman"/>
          <w:b w:val="0"/>
          <w:sz w:val="24"/>
        </w:rPr>
        <w:t>Fonte 5 — «ITALIA NERA — Censimento generale dei nodi per dominio» (registro-madre, 2 agosto 2026)</w:t>
      </w:r>
    </w:p>
    <w:p>
      <w:pPr>
        <w:spacing w:line="276" w:lineRule="auto" w:before="0" w:after="0"/>
        <w:ind w:firstLine="425"/>
        <w:jc w:val="both"/>
      </w:pPr>
      <w:r>
        <w:rPr>
          <w:rFonts w:ascii="Times New Roman" w:hAnsi="Times New Roman" w:cs="Times New Roman" w:eastAsia="Times New Roman"/>
          <w:b w:val="0"/>
          <w:sz w:val="24"/>
        </w:rPr>
        <w:t>Incrocio interno al corpus: note di verifica n.4 (Brighton Beach), n.9 (Genovese/Gambino), n.10 (Carminati/Magliana/Peteano), n.12 (operazioni antimafia), n.14 (New Bridge) — corpus/diagnostica/</w:t>
      </w:r>
    </w:p>
    <w:p>
      <w:pPr>
        <w:spacing w:line="276" w:lineRule="auto" w:before="0" w:after="0"/>
        <w:ind w:firstLine="425"/>
        <w:jc w:val="both"/>
      </w:pPr>
      <w:r>
        <w:rPr>
          <w:rFonts w:ascii="Times New Roman" w:hAnsi="Times New Roman" w:cs="Times New Roman" w:eastAsia="Times New Roman"/>
          <w:b w:val="0"/>
          <w:sz w:val="24"/>
        </w:rPr>
        <w:t>Registro di servizio allegato: repertorio/ITALIA_NERA_NODI_INTEGRAZIONE_E_ARCHI.xlsx</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