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documento accompagna il Registro Unico dei Nodi, il foglio di servizio che federa in un solo strumento le due grandi anagrafi di nodi finora coesistite nel corpus ITALIA NERA: da un lato la base granulare dell'autore, ossia le schede-nodo del Registro Integrale nella sua sessantatreesima edizione, con il connettoma che le connette; dall'altro la sintesi che il corpus aveva prodotto da se', ossia il registro analitico integrale dei nodi consegnato alla voce quarantasette. La federazione era diventata necessaria e possibile insieme: necessaria, perche' due anagrafi separate dello stesso oggetto sono un difetto di ordine; possibile, perche' l'ingresso del registro-madre e del connettoma ha reso la base dell'autore la sorgente autoritativa cui l'una e l'altra potevano essere ricondotte.</w:t>
      </w:r>
    </w:p>
    <w:p>
      <w:pPr>
        <w:spacing w:line="276" w:lineRule="auto" w:before="0" w:after="0"/>
        <w:ind w:firstLine="425"/>
        <w:jc w:val="both"/>
      </w:pPr>
      <w:r>
        <w:rPr>
          <w:rFonts w:ascii="Times New Roman" w:hAnsi="Times New Roman" w:cs="Times New Roman" w:eastAsia="Times New Roman"/>
          <w:b w:val="0"/>
          <w:sz w:val="24"/>
        </w:rPr>
        <w:t>Il registro unico raccoglie settecentocinquantatre nodi, ottenuti fondendo le quattrocentottantasei schede-nodo di base della sessantatreesima edizione con i nodi della sintesi del corpus non gia' coperti da una scheda, e annotando ciascun nodo, ove ricorra, con il suo grado sinaptico ricavato dal connettoma. Ogni nodo reca dichiarata la propria fonte: la scheda della base, la sintesi del corpus, o l'una e l'altra quando il nodo compare in entrambe; e i quaranta nodi di grado sinaptico massimo recano in piu' la loro posizione nella gerarchia del connettoma, che e' misura di centralita' distinta dal grado probatorio. La distribuzione per dominio percorre l'intera tassonomia, dal primo dominio della criminalita' organizzata al decimo della magistratura, con la massima densita' nel secondo dominio degli attori geopolitici e dei regimi, che raccoglie da solo oltre trecentocinquanta nodi.</w:t>
      </w:r>
    </w:p>
    <w:p>
      <w:pPr>
        <w:spacing w:line="276" w:lineRule="auto" w:before="0" w:after="0"/>
        <w:ind w:firstLine="425"/>
        <w:jc w:val="both"/>
      </w:pPr>
      <w:r>
        <w:rPr>
          <w:rFonts w:ascii="Times New Roman" w:hAnsi="Times New Roman" w:cs="Times New Roman" w:eastAsia="Times New Roman"/>
          <w:b w:val="0"/>
          <w:sz w:val="24"/>
        </w:rPr>
        <w:t>La federazione ha imposto, e reso definitiva, una riconciliazione delle tassonomie che era stata soltanto annunciata nella triangolazione totale. La base della sessantatreesima edizione e' assunta come autoritativa, poiche' e' quella su cui le schede sono state materialmente classificate; e ad essa il registro unico si conforma. La conseguenza piu' rilevante riguarda il decimo dominio, che nel registro della voce quarantasette era stato dedicato alle matrici dottrinali e religiose, e che nella base autoritativa e' invece il dominio della magistratura e della giustizia, popolato da Giovanni Falcone, da Paolo Borsellino, da Antonino Caponnetto, da Cesare Terranova, da Antonino Saetta e da Bruno Caccia. Nel registro unico il decimo dominio e' dunque quello della magistratura; la religione trova sede nel quinto, con lo Istituto per le Opere di Religione; e le matrici dottrinali, prive ora di un dominio proprio, restano trattate come materia tematica, secondo quanto i documenti sul sacro e sull'esoterismo suggeriscono.</w:t>
      </w:r>
    </w:p>
    <w:p>
      <w:pPr>
        <w:spacing w:line="276" w:lineRule="auto" w:before="0" w:after="0"/>
        <w:ind w:firstLine="425"/>
        <w:jc w:val="both"/>
      </w:pPr>
      <w:r>
        <w:rPr>
          <w:rFonts w:ascii="Times New Roman" w:hAnsi="Times New Roman" w:cs="Times New Roman" w:eastAsia="Times New Roman"/>
          <w:b w:val="0"/>
          <w:sz w:val="24"/>
        </w:rPr>
        <w:t>Una lacuna va dichiarata con la stessa chiarezza con cui si dichiarano i risultati, perche' tacerla falserebbe l'ordine del registro. Le schede-nodo del settimo dominio, quello dell'eversione nera e del terrorismo, non sono state caricate nella base: dei dieci gruppi di schede pervenuti mancava precisamente quello. Nel registro unico, percio', i nodi del settimo dominio non provengono dalle schede della base, ma dalla sintesi del corpus e dal connettoma, che pure li conoscono e li collocano in alto: Stefano Delle Chiaie e Ordine Nuovo fra i primi dodici per grado sinaptico, e con loro le Brigate Rosse, Avanguardia Nazionale e Vincenzo Vinciguerra. Il settimo dominio e' dunque presente e popolato, ma di seconda mano; e il registro unico segnala che esso andra' completato con le schede della base non appena queste saranno acquisite.</w:t>
      </w:r>
    </w:p>
    <w:p>
      <w:pPr>
        <w:spacing w:line="276" w:lineRule="auto" w:before="0" w:after="0"/>
        <w:ind w:firstLine="425"/>
        <w:jc w:val="both"/>
      </w:pPr>
      <w:r>
        <w:rPr>
          <w:rFonts w:ascii="Times New Roman" w:hAnsi="Times New Roman" w:cs="Times New Roman" w:eastAsia="Times New Roman"/>
          <w:b w:val="0"/>
          <w:sz w:val="24"/>
        </w:rPr>
        <w:t>Il valore del registro unico non e' soltanto di ordine, ma di conoscenza, poiche' esso rende visibile in un solo sguardo cio' che la triangolazione totale aveva dimostrato in prosa: che il corpus ha due lobi, e che essi si compenetrano nei suoi hub. I quaranta nodi di grado sinaptico massimo, che il registro unico marca e ordina, sono in larga parte i nodi dell'intreccio istituzionale italiano, dalla Central Intelligence Agency a Licio Gelli, da Aldo Moro a Giulio Andreotti, da Michele Sindona al Banco Ambrosiano, dai servizi militari alla magistratura antimafia; ma fra essi siedono, alti, anche i nodi dell'eversione nera che fanno da cerniera verso il lobo internazionale, e il nodo di Donald Trump che fa da cerniera verso la dorsale euroasiatica. Il registro unico e' percio', al tempo stesso, l'anagrafe di tutti i nodi e la mappa dei pochi che li tengono insieme.</w:t>
      </w:r>
    </w:p>
    <w:p>
      <w:pPr>
        <w:spacing w:line="276" w:lineRule="auto" w:before="0" w:after="0"/>
        <w:ind w:firstLine="425"/>
        <w:jc w:val="both"/>
      </w:pPr>
      <w:r>
        <w:rPr>
          <w:rFonts w:ascii="Times New Roman" w:hAnsi="Times New Roman" w:cs="Times New Roman" w:eastAsia="Times New Roman"/>
          <w:b w:val="0"/>
          <w:sz w:val="24"/>
        </w:rPr>
        <w:t>Resta fermo, e va ribadito in chiusura, che il registro unico e' uno strumento di ordine e non un atto di accertamento: esso registra i nodi, le loro fonti, i loro domini e la loro centralita', ma non promuove alcun grado ne' trasforma alcuna centralita' in colpa. Il grado sinaptico misura quante connessioni un nodo ha nel connettoma, non quanta responsabilita' esso porti; e la presenza di un nodo nel registro, quale che ne sia il grado sinaptico, non dice nulla, di per se', sulla sua condotta. Vale qui, come in ogni pagina del corpus e della base che esso federa, la Regola di Ferro comune alle due opere: dove la fonte documenta, si certifica; dove la fonte tace, si indaga e non si afferma; e nessun inventario, per quanto vasto, si trasforma in imputazione. Il vincolo sulle fonti e' stato rispettato,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corpus/opera/ITALIA_NERA_REGISTRO_INTEGRALE_V63.docx (registro-madre)</w:t>
      </w:r>
    </w:p>
    <w:p>
      <w:pPr>
        <w:spacing w:line="276" w:lineRule="auto" w:before="0" w:after="0"/>
        <w:ind w:firstLine="425"/>
        <w:jc w:val="both"/>
      </w:pPr>
      <w:r>
        <w:rPr>
          <w:rFonts w:ascii="Times New Roman" w:hAnsi="Times New Roman" w:cs="Times New Roman" w:eastAsia="Times New Roman"/>
          <w:b w:val="0"/>
          <w:sz w:val="24"/>
        </w:rPr>
        <w:t>corpus/opera/nodi/ (486 schede-nodo di base)</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(connettoma)</w:t>
      </w:r>
    </w:p>
    <w:p>
      <w:pPr>
        <w:spacing w:line="276" w:lineRule="auto" w:before="0" w:after="0"/>
        <w:ind w:firstLine="425"/>
        <w:jc w:val="both"/>
      </w:pPr>
      <w:r>
        <w:rPr>
          <w:rFonts w:ascii="Times New Roman" w:hAnsi="Times New Roman" w:cs="Times New Roman" w:eastAsia="Times New Roman"/>
          <w:b w:val="0"/>
          <w:sz w:val="24"/>
        </w:rPr>
        <w:t>repertorio/ITALIA_NERA_REGISTRO_ANALITICO_NODI_INTEGRALE.xlsx (registro voce 47)</w:t>
      </w:r>
    </w:p>
    <w:p>
      <w:pPr>
        <w:spacing w:line="276" w:lineRule="auto" w:before="0" w:after="0"/>
        <w:ind w:firstLine="425"/>
        <w:jc w:val="both"/>
      </w:pPr>
      <w:r>
        <w:rPr>
          <w:rFonts w:ascii="Times New Roman" w:hAnsi="Times New Roman" w:cs="Times New Roman" w:eastAsia="Times New Roman"/>
          <w:b w:val="0"/>
          <w:sz w:val="24"/>
        </w:rPr>
        <w:t>repertorio/ITALIA_NERA_REGISTRO_UNICO_NODI_V63.xlsx (il registro unico qui descritto)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