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Sesta nota della campagna, e primo dei sotto-teatri che il cappello sulla diaspora introduceva. Il documento ricostruisce in dettaglio il reclutamento statunitense degli scienziati del Terzo Reich, con un fitto apparato di nomi tratti dai fascicoli declassificati degli archivi nazionali. La verifica ne riscontra gli snodi portanti e controlla la coerenza con la nota quinta. Il controllo è del sei agosto duemilaventisei.</w:t>
      </w:r>
    </w:p>
    <w:p>
      <w:pPr>
        <w:spacing w:line="276" w:lineRule="auto" w:before="0" w:after="0"/>
        <w:ind w:firstLine="425"/>
        <w:jc w:val="both"/>
      </w:pPr>
      <w:r>
        <w:rPr>
          <w:rFonts w:ascii="Times New Roman" w:hAnsi="Times New Roman" w:cs="Times New Roman" w:eastAsia="Times New Roman"/>
          <w:b/>
          <w:sz w:val="24"/>
        </w:rPr>
        <w:t>L'ossatura è confermata al grado pieno.</w:t>
      </w:r>
      <w:r>
        <w:rPr>
          <w:rFonts w:ascii="Times New Roman" w:hAnsi="Times New Roman" w:cs="Times New Roman" w:eastAsia="Times New Roman"/>
          <w:b w:val="0"/>
          <w:sz w:val="24"/>
        </w:rPr>
        <w:t xml:space="preserve"> Trovano riscontro puntuale la genesi dell'operazione, decisa dal comando militare congiunto nel luglio del millenovecentoquarantacinque con il primo nome in codice poi mutato in Paperclip, gestita dall'agenzia interforze per gli obiettivi d'informazione, con oltre milleseicento specialisti trasferiti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divieto presidenziale di reclutare nazisti attivi, aggirato con la «bonifica» dei fascicoli — la graffetta che dà il nome all'operazione — e con la copertura dell'ufficio investigativo federale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gruppo missilistico di Peenemünde, i suoi centoventisette specialisti, il trasferimento a Fort Bliss e poi a Huntsville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Le figure apicali reggono una per una.</w:t>
      </w:r>
      <w:r>
        <w:rPr>
          <w:rFonts w:ascii="Times New Roman" w:hAnsi="Times New Roman" w:cs="Times New Roman" w:eastAsia="Times New Roman"/>
          <w:b w:val="0"/>
          <w:sz w:val="24"/>
        </w:rPr>
        <w:t xml:space="preserve"> Wernher von Braun, iscritto al partito nel millenovecentotrentasette e ufficiale delle SS, consapevole del lavoro schiavo alla fabbrica sotterranea del Mittelwerk e poi eroe del programma lunare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Arthur Rudolph, direttore della produzione dei razzi e poi manager del vettore lunare, iscritto al partito fin dal millenovecentotrentuno e capitano delle SS, che nel millenovecentottantaquattro, sotto inchiesta dell'ufficio per le indagini speciali, rinunciò alla cittadinanza e lasciò gli Stati Uniti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Kurt Debus, ufficiale delle SS e primo direttore del centro spaziale della Florida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Walter Dornberger, comandante di Peenemünde, detenuto in Gran Bretagna e poi vicepresidente d'una società aeronautica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Georg Rickhey, l'unico scienziato del programma a essere processato per crimini di guerra, al processo sul campo di Dora, e assolto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Regge anche il capitolo medico: Hubertus Strughold, il «padre della medicina spaziale», a capo dell'istituto aeromedico della forza aerea del Reich, i cui sottoposti condussero esperimenti mortali a Dachau, poi accolto in Texas — con l'onore a lui intestato revocato più tardi, la biblioteca rinominata nel millenovecentonovantacinque e la rimozione dalla galleria spaziale nel duemilasei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Walter Schreiber, complice degli esperimenti di Ravensbrück, giunto alla scuola di medicina aeronautica nel millenovecentocinquantuno, denunciato dalla stampa e fatto espatriare in Argentina con l'aiuto dell'apparato statunitense lungo le vie di fuga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Coerenza col corpus, e un ponte con le note precedenti.</w:t>
      </w:r>
      <w:r>
        <w:rPr>
          <w:rFonts w:ascii="Times New Roman" w:hAnsi="Times New Roman" w:cs="Times New Roman" w:eastAsia="Times New Roman"/>
          <w:b w:val="0"/>
          <w:sz w:val="24"/>
        </w:rPr>
        <w:t xml:space="preserve"> Il documento è pienamente allineato al cappello sulla diaspora verificato nella nota quinta: cifre, organismi e date coincidono, e la parte medica conferma quel quadro </w:t>
      </w:r>
      <w:r>
        <w:rPr>
          <w:rFonts w:ascii="Times New Roman" w:hAnsi="Times New Roman" w:cs="Times New Roman" w:eastAsia="Times New Roman"/>
          <w:b/>
          <w:sz w:val="24"/>
        </w:rPr>
        <w:t>(Livello A, coerente)</w:t>
      </w:r>
      <w:r>
        <w:rPr>
          <w:rFonts w:ascii="Times New Roman" w:hAnsi="Times New Roman" w:cs="Times New Roman" w:eastAsia="Times New Roman"/>
          <w:b w:val="0"/>
          <w:sz w:val="24"/>
        </w:rPr>
        <w:t xml:space="preserve">. Compare inoltre Klaus Barbie, il «macellaio di Lione», non come scienziato ma come informatore del controspionaggio militare presente nei fascicoli declassificati: il documento lo usa correttamente per mostrare che la stessa macchina d'esfiltrazione protesse anche puri criminali, e questo si salda alla filiera delle vie di fuga già verificata nella nota terza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Le poche cautele.</w:t>
      </w:r>
      <w:r>
        <w:rPr>
          <w:rFonts w:ascii="Times New Roman" w:hAnsi="Times New Roman" w:cs="Times New Roman" w:eastAsia="Times New Roman"/>
          <w:b w:val="0"/>
          <w:sz w:val="24"/>
        </w:rPr>
        <w:t xml:space="preserve"> Vanno corretti due dettagli di data senza conseguenze sostanziali: la designazione iniziale dell'operazione cade il diciannove e non il venti luglio, e la revoca dell'onore a Strughold va distinta nei suoi due momenti, la biblioteca nel millenovecentonovantacinque e la galleria spaziale nel duemilasei, laddove il documento li accorpa </w:t>
      </w:r>
      <w:r>
        <w:rPr>
          <w:rFonts w:ascii="Times New Roman" w:hAnsi="Times New Roman" w:cs="Times New Roman" w:eastAsia="Times New Roman"/>
          <w:b/>
          <w:sz w:val="24"/>
        </w:rPr>
        <w:t>(correzioni di grado A)</w:t>
      </w:r>
      <w:r>
        <w:rPr>
          <w:rFonts w:ascii="Times New Roman" w:hAnsi="Times New Roman" w:cs="Times New Roman" w:eastAsia="Times New Roman"/>
          <w:b w:val="0"/>
          <w:sz w:val="24"/>
        </w:rPr>
        <w:t xml:space="preserve">. La stima del valore dei brevetti trasferiti, dell'ordine di dieci miliardi di dollari dell'epoca, è una valutazione coeva da tenere al grado del probabile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la lunghissima coda di nomi minori tratti dai fascicoli, pur ancorata alle scatole d'archivio, va usata come inventario da riscontrare e non come insieme di attribuzioni già chiuse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Verdetto complessivo.</w:t>
      </w:r>
      <w:r>
        <w:rPr>
          <w:rFonts w:ascii="Times New Roman" w:hAnsi="Times New Roman" w:cs="Times New Roman" w:eastAsia="Times New Roman"/>
          <w:b w:val="0"/>
          <w:sz w:val="24"/>
        </w:rPr>
        <w:t xml:space="preserve"> Documento accurato, ben ancorato agli archivi e coerente con la spina già verificata: le figure apicali del programma sono confermate una per una al grado pieno, e il quadro medico-criminale regge. Se ne certifica la verifica con questo esito: pienamente utilizzabile per l'opera, con le due minime correzioni di data, la stima dei brevetti al grado del probabile e la coda anagrafica trattata come inventario. È la sesta voce del registro; restano da verificare, sullo stesso cappello, i teatri sovietico e sudamericano.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Operation Paperclip (Overcast, 19 luglio 1945; JIOA) — https://en.wikipedia.org/wiki/Operation_Paperclip</w:t>
      </w:r>
    </w:p>
    <w:p>
      <w:pPr>
        <w:spacing w:line="276" w:lineRule="auto" w:before="0" w:after="0"/>
        <w:ind w:firstLine="425"/>
        <w:jc w:val="both"/>
      </w:pPr>
      <w:r>
        <w:rPr>
          <w:rFonts w:ascii="Times New Roman" w:hAnsi="Times New Roman" w:cs="Times New Roman" w:eastAsia="Times New Roman"/>
          <w:b w:val="0"/>
          <w:sz w:val="24"/>
        </w:rPr>
        <w:t>Wernher von Braun (NSDAP 1937; SS; Mittelbau-Dora) — https://en.wikipedia.org/wiki/Wernher_von_Braun</w:t>
      </w:r>
    </w:p>
    <w:p>
      <w:pPr>
        <w:spacing w:line="276" w:lineRule="auto" w:before="0" w:after="0"/>
        <w:ind w:firstLine="425"/>
        <w:jc w:val="both"/>
      </w:pPr>
      <w:r>
        <w:rPr>
          <w:rFonts w:ascii="Times New Roman" w:hAnsi="Times New Roman" w:cs="Times New Roman" w:eastAsia="Times New Roman"/>
          <w:b w:val="0"/>
          <w:sz w:val="24"/>
        </w:rPr>
        <w:t>Arthur Rudolph (NSDAP 1931; SS; rinuncia alla cittadinanza, 1984) — https://en.wikipedia.org/wiki/Arthur_Rudolph</w:t>
      </w:r>
    </w:p>
    <w:p>
      <w:pPr>
        <w:spacing w:line="276" w:lineRule="auto" w:before="0" w:after="0"/>
        <w:ind w:firstLine="425"/>
        <w:jc w:val="both"/>
      </w:pPr>
      <w:r>
        <w:rPr>
          <w:rFonts w:ascii="Times New Roman" w:hAnsi="Times New Roman" w:cs="Times New Roman" w:eastAsia="Times New Roman"/>
          <w:b w:val="0"/>
          <w:sz w:val="24"/>
        </w:rPr>
        <w:t>Kurt Debus — https://en.wikipedia.org/wiki/Kurt_H._Debus</w:t>
      </w:r>
    </w:p>
    <w:p>
      <w:pPr>
        <w:spacing w:line="276" w:lineRule="auto" w:before="0" w:after="0"/>
        <w:ind w:firstLine="425"/>
        <w:jc w:val="both"/>
      </w:pPr>
      <w:r>
        <w:rPr>
          <w:rFonts w:ascii="Times New Roman" w:hAnsi="Times New Roman" w:cs="Times New Roman" w:eastAsia="Times New Roman"/>
          <w:b w:val="0"/>
          <w:sz w:val="24"/>
        </w:rPr>
        <w:t>Walter Dornberger — https://en.wikipedia.org/wiki/Walter_Dornberger</w:t>
      </w:r>
    </w:p>
    <w:p>
      <w:pPr>
        <w:spacing w:line="276" w:lineRule="auto" w:before="0" w:after="0"/>
        <w:ind w:firstLine="425"/>
        <w:jc w:val="both"/>
      </w:pPr>
      <w:r>
        <w:rPr>
          <w:rFonts w:ascii="Times New Roman" w:hAnsi="Times New Roman" w:cs="Times New Roman" w:eastAsia="Times New Roman"/>
          <w:b w:val="0"/>
          <w:sz w:val="24"/>
        </w:rPr>
        <w:t>Hubertus Strughold (biblioteca rinominata 1995; galleria spaziale 2006) — https://en.wikipedia.org/wiki/Hubertus_Strughold</w:t>
      </w:r>
    </w:p>
    <w:p>
      <w:pPr>
        <w:spacing w:line="276" w:lineRule="auto" w:before="0" w:after="0"/>
        <w:ind w:firstLine="425"/>
        <w:jc w:val="both"/>
      </w:pPr>
      <w:r>
        <w:rPr>
          <w:rFonts w:ascii="Times New Roman" w:hAnsi="Times New Roman" w:cs="Times New Roman" w:eastAsia="Times New Roman"/>
          <w:b w:val="0"/>
          <w:sz w:val="24"/>
        </w:rPr>
        <w:t>Walter Schreiber (Ravensbrück; espatrio in Argentina) — https://en.wikipedia.org/wiki/Walter_Schreiber</w:t>
      </w:r>
    </w:p>
    <w:p>
      <w:pPr>
        <w:spacing w:line="276" w:lineRule="auto" w:before="0" w:after="0"/>
        <w:ind w:firstLine="425"/>
        <w:jc w:val="both"/>
      </w:pPr>
      <w:r>
        <w:rPr>
          <w:rFonts w:ascii="Times New Roman" w:hAnsi="Times New Roman" w:cs="Times New Roman" w:eastAsia="Times New Roman"/>
          <w:b w:val="0"/>
          <w:sz w:val="24"/>
        </w:rPr>
        <w:t>Klaus Barbie (informatore del controspionaggio USA) — https://en.wikipedia.org/wiki/Klaus_Barbie</w:t>
      </w:r>
    </w:p>
    <w:p>
      <w:pPr>
        <w:spacing w:line="276" w:lineRule="auto" w:before="0" w:after="0"/>
        <w:ind w:firstLine="425"/>
        <w:jc w:val="both"/>
      </w:pPr>
      <w:r>
        <w:rPr>
          <w:rFonts w:ascii="Times New Roman" w:hAnsi="Times New Roman" w:cs="Times New Roman" w:eastAsia="Times New Roman"/>
          <w:b w:val="0"/>
          <w:sz w:val="24"/>
        </w:rPr>
        <w:t>Riscontro interno al corpus: nota di verifica n.5 (cappello diaspora) — corpus/diagnostica/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