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Questo lavoro estende ancora il sotto-hub russo, spostandone il baricentro dall'energia all'informazione. Se il ramo precedente aveva mostrato Gazprom come arma del gas, questo mostra come lo stesso colosso statale alimenti la macchina che controlla ciò che i russi vedono e ascoltano, attraverso una banca amica e un oligarca che è la cerniera fra la finanza, i media e la cerchia ristretta del potere. È il passaggio in cui l'opera apre il fronte del dominio dei media e della guerra cognitiva, già seminato nel registro-madre come insieme di candidati. Il lavoro è del sei agosto duemilaventisei.</w:t>
      </w:r>
    </w:p>
    <w:p>
      <w:pPr>
        <w:spacing w:line="276" w:lineRule="auto" w:before="0" w:after="0"/>
        <w:ind w:firstLine="425"/>
        <w:jc w:val="both"/>
      </w:pPr>
      <w:r>
        <w:rPr>
          <w:rFonts w:ascii="Times New Roman" w:hAnsi="Times New Roman" w:cs="Times New Roman" w:eastAsia="Times New Roman"/>
          <w:b/>
          <w:sz w:val="24"/>
        </w:rPr>
        <w:t>La cerniera: Jurij Kovalchuk.</w:t>
      </w:r>
      <w:r>
        <w:rPr>
          <w:rFonts w:ascii="Times New Roman" w:hAnsi="Times New Roman" w:cs="Times New Roman" w:eastAsia="Times New Roman"/>
          <w:b w:val="0"/>
          <w:sz w:val="24"/>
        </w:rPr>
        <w:t xml:space="preserve"> Il nodo centrale è un uomo che il Tesoro statunitense, sanzionandolo nel duemilaquattordici, definì il «banchiere personale» e uno dei «cassieri» del presidente russo. Kovalchuk conobbe Putin ai tempi di San Pietroburgo e fu con lui fra i fondatori della cooperativa di dacie sul lago che diede il nome al nucleo originario della cerchia ristretta del potere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Dal duemilaquattro è il maggiore azionista e il presidente del consiglio della Bank Rossiya, la banca conosciuta come quella degli amici del presidente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È lui l'incrocio: da un lato la finanza, dall'altro i media, in mezzo l'amicizia col capo dello Stato.</w:t>
      </w:r>
    </w:p>
    <w:p>
      <w:pPr>
        <w:spacing w:line="276" w:lineRule="auto" w:before="0" w:after="0"/>
        <w:ind w:firstLine="425"/>
        <w:jc w:val="both"/>
      </w:pPr>
      <w:r>
        <w:rPr>
          <w:rFonts w:ascii="Times New Roman" w:hAnsi="Times New Roman" w:cs="Times New Roman" w:eastAsia="Times New Roman"/>
          <w:b/>
          <w:sz w:val="24"/>
        </w:rPr>
        <w:t>Il trasferimento: da Gazprom alla banca amica.</w:t>
      </w:r>
      <w:r>
        <w:rPr>
          <w:rFonts w:ascii="Times New Roman" w:hAnsi="Times New Roman" w:cs="Times New Roman" w:eastAsia="Times New Roman"/>
          <w:b w:val="0"/>
          <w:sz w:val="24"/>
        </w:rPr>
        <w:t xml:space="preserve"> L'arco decisivo è documentato. Il presidente russo fece sì che Gazprom cedesse alla Bank Rossiya, a prezzo di favore, i propri attivi mediatici, il gruppo assicurativo Sogaz e altri beni finanziari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È il meccanismo con cui la ricchezza del colosso statale del gas si travasa nelle mani d'un privato fedele: la stessa Gazprom che il ramo precedente aveva mostrato come strumento della leva energetica diventa qui la fonte da cui si alimenta la macchina mediatica. La banca degli amici del presidente, ingrassata da quelle cessioni, poté così diventare il perno d'un impero dell'informazione.</w:t>
      </w:r>
    </w:p>
    <w:p>
      <w:pPr>
        <w:spacing w:line="276" w:lineRule="auto" w:before="0" w:after="0"/>
        <w:ind w:firstLine="425"/>
        <w:jc w:val="both"/>
      </w:pPr>
      <w:r>
        <w:rPr>
          <w:rFonts w:ascii="Times New Roman" w:hAnsi="Times New Roman" w:cs="Times New Roman" w:eastAsia="Times New Roman"/>
          <w:b/>
          <w:sz w:val="24"/>
        </w:rPr>
        <w:t>La macchina: il National Media Group.</w:t>
      </w:r>
      <w:r>
        <w:rPr>
          <w:rFonts w:ascii="Times New Roman" w:hAnsi="Times New Roman" w:cs="Times New Roman" w:eastAsia="Times New Roman"/>
          <w:b w:val="0"/>
          <w:sz w:val="24"/>
        </w:rPr>
        <w:t xml:space="preserve"> Attraverso la sua holding, il National Media Group creato nel duemilaotto, Kovalchuk controlla alcune delle reti più influenti del Paese — il primo canale, la rete privata più seguita, il quinto canale — e testate storiche come il quotidiano fondato in epoca sovietica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A questa si affianca il braccio mediatico proprio di Gazprom, che possiede altre reti televisive. Il risultato è una presa sistematica su ciò che la popolazione russa vede e legge: non un monopolio formale, ma un controllo concentrato in poche mani fedeli, che l'opera legge come l'infrastruttura interna della guerra cognitiva </w:t>
      </w:r>
      <w:r>
        <w:rPr>
          <w:rFonts w:ascii="Times New Roman" w:hAnsi="Times New Roman" w:cs="Times New Roman" w:eastAsia="Times New Roman"/>
          <w:b/>
          <w:sz w:val="24"/>
        </w:rPr>
        <w:t>(la cornice interpretativa è dell'opera; il controllo mediatico è invece fatto documentato)</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La saldatura col corpus, e la promozione dei candidati.</w:t>
      </w:r>
      <w:r>
        <w:rPr>
          <w:rFonts w:ascii="Times New Roman" w:hAnsi="Times New Roman" w:cs="Times New Roman" w:eastAsia="Times New Roman"/>
          <w:b w:val="0"/>
          <w:sz w:val="24"/>
        </w:rPr>
        <w:t xml:space="preserve"> Con questo passaggio il sotto-hub tocca esattamente ciò che il registro-madre aveva già iscritto, ma soltanto come materia grezza da vagliare: fra i candidati del dominio dei media figuravano già il gruppo mediatico di Gazprom, il National Media Group, Kovalchuk stesso, l'assicurazione Sogaz, e l'insieme proveniva dal corpus sui media e la guerra cognitiva della Federazione Russa conservato nella memoria operativa. La triangolazione qui compiuta — con la designazione del Tesoro, la ricostruzione dell'assetto proprietario e le cessioni di Gazprom — promuove quei candidati da presenza testuale a nodo documentato </w:t>
      </w:r>
      <w:r>
        <w:rPr>
          <w:rFonts w:ascii="Times New Roman" w:hAnsi="Times New Roman" w:cs="Times New Roman" w:eastAsia="Times New Roman"/>
          <w:b/>
          <w:sz w:val="24"/>
        </w:rPr>
        <w:t>(promozione di grado, coerente col registro-madre)</w:t>
      </w:r>
      <w:r>
        <w:rPr>
          <w:rFonts w:ascii="Times New Roman" w:hAnsi="Times New Roman" w:cs="Times New Roman" w:eastAsia="Times New Roman"/>
          <w:b w:val="0"/>
          <w:sz w:val="24"/>
        </w:rPr>
        <w:t>. E lega il fronte dei media a quello dell'energia già costruito: Gazprom è il perno che l'uno e l'altro condividono.</w:t>
      </w:r>
    </w:p>
    <w:p>
      <w:pPr>
        <w:spacing w:line="276" w:lineRule="auto" w:before="0" w:after="0"/>
        <w:ind w:firstLine="425"/>
        <w:jc w:val="both"/>
      </w:pPr>
      <w:r>
        <w:rPr>
          <w:rFonts w:ascii="Times New Roman" w:hAnsi="Times New Roman" w:cs="Times New Roman" w:eastAsia="Times New Roman"/>
          <w:b/>
          <w:sz w:val="24"/>
        </w:rPr>
        <w:t>Verdetto.</w:t>
      </w:r>
      <w:r>
        <w:rPr>
          <w:rFonts w:ascii="Times New Roman" w:hAnsi="Times New Roman" w:cs="Times New Roman" w:eastAsia="Times New Roman"/>
          <w:b w:val="0"/>
          <w:sz w:val="24"/>
        </w:rPr>
        <w:t xml:space="preserve"> L'estensione nodizza otto nodi e otto archi del fronte mediatico, depositati nel foglio di servizio allegato con i loro gradi. Lo statuto è rispettato: la designazione del banchiere di Putin, il controllo della Bank Rossiya, le cessioni di Gazprom a prezzo di favore, la holding mediatica e le reti controllate, la cooperativa della cerchia ristretta e le sanzioni sono al grado pieno; la cornice della guerra cognitiva resta un'interpretazione dell'opera, mentre il controllo dei media è un fatto. Se ne certifica l'approfondimento con questo esito. È l'undicesima voce d'integrazione della sessione, e apre nel corpo dell'opera il fronte del dominio dei media, saldandolo a quello dell'energia attraverso il perno Gazprom.</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U.S. Department of the Treasury — designazione di Yuri Kovalchuk (2014; 'personal banker'/'cashier') — https://home.treasury.gov/news/press-releases/jl23331</w:t>
      </w:r>
    </w:p>
    <w:p>
      <w:pPr>
        <w:spacing w:line="276" w:lineRule="auto" w:before="0" w:after="0"/>
        <w:ind w:firstLine="425"/>
        <w:jc w:val="both"/>
      </w:pPr>
      <w:r>
        <w:rPr>
          <w:rFonts w:ascii="Times New Roman" w:hAnsi="Times New Roman" w:cs="Times New Roman" w:eastAsia="Times New Roman"/>
          <w:b w:val="0"/>
          <w:sz w:val="24"/>
        </w:rPr>
        <w:t>Yuri Kovalchuk (Bank Rossiya; National Media Group; cooperativa Ozero) — https://en.wikipedia.org/wiki/Yuri_Kovalchuk</w:t>
      </w:r>
    </w:p>
    <w:p>
      <w:pPr>
        <w:spacing w:line="276" w:lineRule="auto" w:before="0" w:after="0"/>
        <w:ind w:firstLine="425"/>
        <w:jc w:val="both"/>
      </w:pPr>
      <w:r>
        <w:rPr>
          <w:rFonts w:ascii="Times New Roman" w:hAnsi="Times New Roman" w:cs="Times New Roman" w:eastAsia="Times New Roman"/>
          <w:b w:val="0"/>
          <w:sz w:val="24"/>
        </w:rPr>
        <w:t>Bank Rossiya (asset mediatici e Sogaz ceduti da Gazprom a prezzo di favore) — https://en.wikipedia.org/wiki/Bank_Rossiya</w:t>
      </w:r>
    </w:p>
    <w:p>
      <w:pPr>
        <w:spacing w:line="276" w:lineRule="auto" w:before="0" w:after="0"/>
        <w:ind w:firstLine="425"/>
        <w:jc w:val="both"/>
      </w:pPr>
      <w:r>
        <w:rPr>
          <w:rFonts w:ascii="Times New Roman" w:hAnsi="Times New Roman" w:cs="Times New Roman" w:eastAsia="Times New Roman"/>
          <w:b w:val="0"/>
          <w:sz w:val="24"/>
        </w:rPr>
        <w:t>National Media Group (Channel One, REN TV, Channel Five, Izvestia) — https://en.wikipedia.org/wiki/National_Media_Group</w:t>
      </w:r>
    </w:p>
    <w:p>
      <w:pPr>
        <w:spacing w:line="276" w:lineRule="auto" w:before="0" w:after="0"/>
        <w:ind w:firstLine="425"/>
        <w:jc w:val="both"/>
      </w:pPr>
      <w:r>
        <w:rPr>
          <w:rFonts w:ascii="Times New Roman" w:hAnsi="Times New Roman" w:cs="Times New Roman" w:eastAsia="Times New Roman"/>
          <w:b w:val="0"/>
          <w:sz w:val="24"/>
        </w:rPr>
        <w:t>Forbes — «Meet The Oligarch Who Whispers In Putin's Ear» (Kovalchuk e i media) — https://www.forbes.com/sites/johnhyatt/2022/03/18/meet-the-man-who-whispers-in-putins-ear/</w:t>
      </w:r>
    </w:p>
    <w:p>
      <w:pPr>
        <w:spacing w:line="276" w:lineRule="auto" w:before="0" w:after="0"/>
        <w:ind w:firstLine="425"/>
        <w:jc w:val="both"/>
      </w:pPr>
      <w:r>
        <w:rPr>
          <w:rFonts w:ascii="Times New Roman" w:hAnsi="Times New Roman" w:cs="Times New Roman" w:eastAsia="Times New Roman"/>
          <w:b w:val="0"/>
          <w:sz w:val="24"/>
        </w:rPr>
        <w:t>Incrocio interno al corpus: ramo gas/RosUkrEnergo (sessione); registro-madre (candidati D8: Gazprom-Media, National Media Group, Kovalchuk, Sogaz, VGTRK) e corpus «Media e guerra cognitiva della Federazione Russa» — corpus/opera/</w:t>
      </w:r>
    </w:p>
    <w:p>
      <w:pPr>
        <w:spacing w:line="276" w:lineRule="auto" w:before="0" w:after="0"/>
        <w:ind w:firstLine="425"/>
        <w:jc w:val="both"/>
      </w:pPr>
      <w:r>
        <w:rPr>
          <w:rFonts w:ascii="Times New Roman" w:hAnsi="Times New Roman" w:cs="Times New Roman" w:eastAsia="Times New Roman"/>
          <w:b w:val="0"/>
          <w:sz w:val="24"/>
        </w:rPr>
        <w:t>Registro di servizio allegato: repertorio/ITALIA_NERA_SOTTOHUB_MEDIA_KOVALCHUK.xlsx</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