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approfondimento popola il fronte esterno del dominio dei media, quello che l'opera chiama guerra cognitiva: l'apparato con cui lo Stato russo agisce sull'opinione pubblica altrui, distinto dal controllo interno dell'informazione già trattato col nodo Kovalchuk. L'apparato si legge bene per generazioni successive: la fabbrica di troll degli anni Duemiladieci, la macchina di Stato dei siti-clone del tempo di guerra, e la stagione più recente in cui si comprano voci occidentali e si tenta di avvelenare le stesse macchine dell'intelligenza artificiale. La disciplina probatoria resta ferma, con una distinzione che qui torna cruciale fra il fatto giudiziario e la tesi contestata. Il lavoro è del sei agosto duemilaventisei.</w:t>
      </w:r>
    </w:p>
    <w:p>
      <w:pPr>
        <w:spacing w:line="276" w:lineRule="auto" w:before="0" w:after="0"/>
        <w:ind w:firstLine="425"/>
        <w:jc w:val="both"/>
      </w:pPr>
      <w:r>
        <w:rPr>
          <w:rFonts w:ascii="Times New Roman" w:hAnsi="Times New Roman" w:cs="Times New Roman" w:eastAsia="Times New Roman"/>
          <w:b/>
          <w:sz w:val="24"/>
        </w:rPr>
        <w:t>Prima generazione: la fabbrica di troll.</w:t>
      </w:r>
      <w:r>
        <w:rPr>
          <w:rFonts w:ascii="Times New Roman" w:hAnsi="Times New Roman" w:cs="Times New Roman" w:eastAsia="Times New Roman"/>
          <w:b w:val="0"/>
          <w:sz w:val="24"/>
        </w:rPr>
        <w:t xml:space="preserve"> Il capostipite è l'Agenzia per la ricerca su Internet, la fabbrica di troll di San Pietroburgo che negli anni Duemiladieci inondò i social di account e contenuti falsi per interferire nelle elezioni presidenziali statunitensi e favorire un candidato. Fu finanziata dalle società di Yevgeny Prigozhin, il cosiddetto cuoco di Putin poi divenuto capo della compagnia militare Wagner. Il procuratore speciale statunitense la incriminò nel febbraio del duemiladiciotto, insieme a tredici cittadini russi e alle società di Prigozhin </w:t>
      </w:r>
      <w:r>
        <w:rPr>
          <w:rFonts w:ascii="Times New Roman" w:hAnsi="Times New Roman" w:cs="Times New Roman" w:eastAsia="Times New Roman"/>
          <w:b/>
          <w:sz w:val="24"/>
        </w:rPr>
        <w:t>(Livello A per l'atto d'accusa)</w:t>
      </w:r>
      <w:r>
        <w:rPr>
          <w:rFonts w:ascii="Times New Roman" w:hAnsi="Times New Roman" w:cs="Times New Roman" w:eastAsia="Times New Roman"/>
          <w:b w:val="0"/>
          <w:sz w:val="24"/>
        </w:rPr>
        <w:t xml:space="preserve">. Va però detto con esattezza che il procedimento contro la società finanziatrice fu poi ritirato nel duemilaventi, per non svelare le tecniche investigative: dunque un'incriminazione clamorosa, ma senza processo statunitense </w:t>
      </w:r>
      <w:r>
        <w:rPr>
          <w:rFonts w:ascii="Times New Roman" w:hAnsi="Times New Roman" w:cs="Times New Roman" w:eastAsia="Times New Roman"/>
          <w:b/>
          <w:sz w:val="24"/>
        </w:rPr>
        <w:t>(cautela di grado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Seconda generazione: la macchina di Stato dei siti-clone.</w:t>
      </w:r>
      <w:r>
        <w:rPr>
          <w:rFonts w:ascii="Times New Roman" w:hAnsi="Times New Roman" w:cs="Times New Roman" w:eastAsia="Times New Roman"/>
          <w:b w:val="0"/>
          <w:sz w:val="24"/>
        </w:rPr>
        <w:t xml:space="preserve"> Con la guerra all'Ucraina l'apparato si fa più strutturato e apertamente statale. La campagna nota come Doppelganger clona i siti dei media e delle istituzioni occidentali per diffondere disinformazione: secondo l'atto giurato del dipartimento di giustizia statunitense essa opera sotto la regia dell'amministrazione presidenziale russa, e in particolare del primo vicecapo di gabinetto Sergei Kiriyenko </w:t>
      </w:r>
      <w:r>
        <w:rPr>
          <w:rFonts w:ascii="Times New Roman" w:hAnsi="Times New Roman" w:cs="Times New Roman" w:eastAsia="Times New Roman"/>
          <w:b/>
          <w:sz w:val="24"/>
        </w:rPr>
        <w:t>(Livello A come attribuzione documentale)</w:t>
      </w:r>
      <w:r>
        <w:rPr>
          <w:rFonts w:ascii="Times New Roman" w:hAnsi="Times New Roman" w:cs="Times New Roman" w:eastAsia="Times New Roman"/>
          <w:b w:val="0"/>
          <w:sz w:val="24"/>
        </w:rPr>
        <w:t xml:space="preserve">. Gli esecutori sono aziende precise: la Social Design Agency di Ilya Gambashidze, la Structura di Nikolai Tupikin, e l'organizzazione senza scopo di lucro Dialog, fondata nel duemiladiciannove, che impiega l'intelligenza artificiale e i falsi video per potenziare l'inganno. Su di esse sono cadute le sanzioni dell'ufficio del Tesoro statunitense nel marzo del duemilaventiquattro, e nel settembre dello stesso anno il dipartimento di giustizia ha sequestrato trentadue domini della rete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Terza generazione: comprare le voci e avvelenare le macchine.</w:t>
      </w:r>
      <w:r>
        <w:rPr>
          <w:rFonts w:ascii="Times New Roman" w:hAnsi="Times New Roman" w:cs="Times New Roman" w:eastAsia="Times New Roman"/>
          <w:b w:val="0"/>
          <w:sz w:val="24"/>
        </w:rPr>
        <w:t xml:space="preserve"> La stagione più recente muove su due binari nuovi. Il primo è l'acquisto diretto di voci occidentali: attraverso la società Tenet Media, due dipendenti dell'emittente di Stato russa fecero arrivare quasi dieci milioni di dollari — circa il novanta per cento degli incassi della società — per pagare noti commentatori di destra affinché diffondessero contenuti graditi al Cremlino; i due furono incriminati a New York nel settembre del duemilaventiquattro per riciclaggio e violazione della legge sugli agenti stranieri, mentre i commentatori risultano inconsapevoli e non incriminati </w:t>
      </w:r>
      <w:r>
        <w:rPr>
          <w:rFonts w:ascii="Times New Roman" w:hAnsi="Times New Roman" w:cs="Times New Roman" w:eastAsia="Times New Roman"/>
          <w:b/>
          <w:sz w:val="24"/>
        </w:rPr>
        <w:t>(Livello A per l'incriminazione; i creatori non sono imputati)</w:t>
      </w:r>
      <w:r>
        <w:rPr>
          <w:rFonts w:ascii="Times New Roman" w:hAnsi="Times New Roman" w:cs="Times New Roman" w:eastAsia="Times New Roman"/>
          <w:b w:val="0"/>
          <w:sz w:val="24"/>
        </w:rPr>
        <w:t xml:space="preserve">. Il secondo binario è ancora più insidioso: la cosiddetta rete Pravda, un insieme di siti filo-Cremlino che riversa milioni di articoli all'anno, con traffico umano quasi nullo, il cui scopo non è persuadere i lettori ma contaminare i dati con cui si addestrano i modelli linguistici, orientandone le risposte </w:t>
      </w:r>
      <w:r>
        <w:rPr>
          <w:rFonts w:ascii="Times New Roman" w:hAnsi="Times New Roman" w:cs="Times New Roman" w:eastAsia="Times New Roman"/>
          <w:b/>
          <w:sz w:val="24"/>
        </w:rPr>
        <w:t>(Livello B per l'esistenza e il volume, documentati dagli osservatori; Livello C per il meccanismo)</w:t>
      </w:r>
      <w:r>
        <w:rPr>
          <w:rFonts w:ascii="Times New Roman" w:hAnsi="Times New Roman" w:cs="Times New Roman" w:eastAsia="Times New Roman"/>
          <w:b w:val="0"/>
          <w:sz w:val="24"/>
        </w:rPr>
        <w:t>. Su quest'ultimo punto va segnalata l'onestà del dubbio: alcuni studiosi contestano che i modelli siano davvero manipolati, leggendo il fenomeno come un vuoto informativo più che come una manomissione.</w:t>
      </w:r>
    </w:p>
    <w:p>
      <w:pPr>
        <w:spacing w:line="276" w:lineRule="auto" w:before="0" w:after="0"/>
        <w:ind w:firstLine="425"/>
        <w:jc w:val="both"/>
      </w:pPr>
      <w:r>
        <w:rPr>
          <w:rFonts w:ascii="Times New Roman" w:hAnsi="Times New Roman" w:cs="Times New Roman" w:eastAsia="Times New Roman"/>
          <w:b/>
          <w:sz w:val="24"/>
        </w:rPr>
        <w:t>La saldatura col corpus, e la promozione dei candidati.</w:t>
      </w:r>
      <w:r>
        <w:rPr>
          <w:rFonts w:ascii="Times New Roman" w:hAnsi="Times New Roman" w:cs="Times New Roman" w:eastAsia="Times New Roman"/>
          <w:b w:val="0"/>
          <w:sz w:val="24"/>
        </w:rPr>
        <w:t xml:space="preserve"> Questo fronte esterno è il contraltare del fronte interno: dove il nodo Kovalchuk mostrava il controllo dei media dentro la Russia, questo mostra l'azione verso l'esterno, e Prigozhin lega la propaganda alla compagnia militare Wagner, già fra i candidati del dominio delle forze armate. Soprattutto, l'intero apparato coincide con l'elenco di candidati che il registro-madre aveva iscritto per il dominio dei media a partire dal corpus sulla guerra cognitiva della Federazione Russa: l'Agenzia per la ricerca su Internet, la Social Design Agency, Gambashidze, la Structura, Tupikin, la Dialog, la campagna Doppelganger, Tenet Media, l'emittente di Stato, la rete Pravda, Kiriyenko. La triangolazione qui compiuta — con incriminazioni, sanzioni e sequestri — promuove quei candidati da presenza testuale a nodo documentato </w:t>
      </w:r>
      <w:r>
        <w:rPr>
          <w:rFonts w:ascii="Times New Roman" w:hAnsi="Times New Roman" w:cs="Times New Roman" w:eastAsia="Times New Roman"/>
          <w:b/>
          <w:sz w:val="24"/>
        </w:rPr>
        <w:t>(promozione di grado, coerente col registro-madre)</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Verdetto.</w:t>
      </w:r>
      <w:r>
        <w:rPr>
          <w:rFonts w:ascii="Times New Roman" w:hAnsi="Times New Roman" w:cs="Times New Roman" w:eastAsia="Times New Roman"/>
          <w:b w:val="0"/>
          <w:sz w:val="24"/>
        </w:rPr>
        <w:t xml:space="preserve"> L'approfondimento nodizza tredici nodi e otto archi del fronte della guerra cognitiva, per generazioni, depositati nel foglio di servizio allegato con i loro gradi. Lo statuto è rispettato con particolare rigore: le incriminazioni, le sanzioni e i sequestri sono al grado pieno; l'esistenza della rete che punta ai modelli di intelligenza artificiale è al grado del probabile; il meccanismo con cui li orienterebbe è al grado più basso, perché è oggetto di dibattito fra gli studiosi; e si tiene fermo che l'incriminato non è un condannato, che il caso della prima generazione fu ritirato, e che le voci occidentali coinvolte non sono imputate. Se ne certifica l'approfondimento con questo esito. È la dodicesima voce d'integrazione della sessione, e completa il fronte del dominio dei media aperto col nodo precedente.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U.S. DoJ — Internet Research Agency indictment (Mueller, 16 febbraio 2018) — https://www.justice.gov/d9/fieldable-panel-panes/basic-panes/attachments/2018/02/16/internet_research_agency_indictment.pdf</w:t>
      </w:r>
    </w:p>
    <w:p>
      <w:pPr>
        <w:spacing w:line="276" w:lineRule="auto" w:before="0" w:after="0"/>
        <w:ind w:firstLine="425"/>
        <w:jc w:val="both"/>
      </w:pPr>
      <w:r>
        <w:rPr>
          <w:rFonts w:ascii="Times New Roman" w:hAnsi="Times New Roman" w:cs="Times New Roman" w:eastAsia="Times New Roman"/>
          <w:b w:val="0"/>
          <w:sz w:val="24"/>
        </w:rPr>
        <w:t>U.S. Treasury (OFAC) — sanzioni Doppelganger: SDA/Gambashidze, Structura/Tupikin (marzo 2024) — https://home.treasury.gov/news/press-releases/jy2195</w:t>
      </w:r>
    </w:p>
    <w:p>
      <w:pPr>
        <w:spacing w:line="276" w:lineRule="auto" w:before="0" w:after="0"/>
        <w:ind w:firstLine="425"/>
        <w:jc w:val="both"/>
      </w:pPr>
      <w:r>
        <w:rPr>
          <w:rFonts w:ascii="Times New Roman" w:hAnsi="Times New Roman" w:cs="Times New Roman" w:eastAsia="Times New Roman"/>
          <w:b w:val="0"/>
          <w:sz w:val="24"/>
        </w:rPr>
        <w:t>U.S. DoJ — sequestro dei domini Doppelganger; SDA, Structura, ANO Dialog sotto la direzione di Kiriyenko (settembre 2024) — https://www.justice.gov/archives/opa/pr/justice-department-disrupts-covert-russian-government-sponsored-foreign-malign-influence</w:t>
      </w:r>
    </w:p>
    <w:p>
      <w:pPr>
        <w:spacing w:line="276" w:lineRule="auto" w:before="0" w:after="0"/>
        <w:ind w:firstLine="425"/>
        <w:jc w:val="both"/>
      </w:pPr>
      <w:r>
        <w:rPr>
          <w:rFonts w:ascii="Times New Roman" w:hAnsi="Times New Roman" w:cs="Times New Roman" w:eastAsia="Times New Roman"/>
          <w:b w:val="0"/>
          <w:sz w:val="24"/>
        </w:rPr>
        <w:t>DoJ/SDNY — Tenet Media: RT, Kalashnikov e Afanasyeva, ~9,7 mln $ (settembre 2024) — https://www.cnn.com/2024/09/04/politics/doj-alleges-russia-funded-company-linked-social-media-stars</w:t>
      </w:r>
    </w:p>
    <w:p>
      <w:pPr>
        <w:spacing w:line="276" w:lineRule="auto" w:before="0" w:after="0"/>
        <w:ind w:firstLine="425"/>
        <w:jc w:val="both"/>
      </w:pPr>
      <w:r>
        <w:rPr>
          <w:rFonts w:ascii="Times New Roman" w:hAnsi="Times New Roman" w:cs="Times New Roman" w:eastAsia="Times New Roman"/>
          <w:b w:val="0"/>
          <w:sz w:val="24"/>
        </w:rPr>
        <w:t>DFRLab — «Pravda in the pipeline» (LLM grooming); Harvard Misinformation Review (tesi alternativa dei 'data voids') — https://dfrlab.org/2026/04/08/pravda-in-the-pipeline/</w:t>
      </w:r>
    </w:p>
    <w:p>
      <w:pPr>
        <w:spacing w:line="276" w:lineRule="auto" w:before="0" w:after="0"/>
        <w:ind w:firstLine="425"/>
        <w:jc w:val="both"/>
      </w:pPr>
      <w:r>
        <w:rPr>
          <w:rFonts w:ascii="Times New Roman" w:hAnsi="Times New Roman" w:cs="Times New Roman" w:eastAsia="Times New Roman"/>
          <w:b w:val="0"/>
          <w:sz w:val="24"/>
        </w:rPr>
        <w:t>Incrocio interno al corpus: nodo Kovalchuk/NMG (fronte interno, sessione); registro-madre (candidati D8 sulla guerra cognitiva: IRA, SDA, Gambashidze, Structura, Tupikin, ANO Dialog, Doppelganger, Tenet Media, RT, rete Pravda, Kiriyenko; Prigozhin/Wagner in D9) — corpus/opera/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repertorio/ITALIA_NERA_FRONTE_D8_GUERRA_COGNITIVA.xlsx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