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ind w:firstLine="0"/>
        <w:jc w:val="center"/>
      </w:pPr>
      <w:r>
        <w:rPr>
          <w:rFonts w:ascii="Times New Roman" w:hAnsi="Times New Roman" w:cs="Times New Roman" w:eastAsia="Times New Roman"/>
          <w:b/>
          <w:sz w:val="24"/>
        </w:rPr>
        <w:t>ALDO MORO</w:t>
      </w:r>
    </w:p>
    <w:p>
      <w:pPr>
        <w:spacing w:line="276" w:lineRule="auto" w:after="120"/>
        <w:ind w:firstLine="0"/>
        <w:jc w:val="center"/>
      </w:pPr>
      <w:r>
        <w:rPr>
          <w:rFonts w:ascii="Times New Roman" w:hAnsi="Times New Roman" w:cs="Times New Roman" w:eastAsia="Times New Roman"/>
          <w:b/>
          <w:sz w:val="24"/>
        </w:rPr>
        <w:t>IL REGISTRO DEI CINQUANTACINQUE GIORNI</w:t>
      </w:r>
    </w:p>
    <w:p>
      <w:pPr>
        <w:spacing w:line="276" w:lineRule="auto" w:after="120"/>
        <w:ind w:firstLine="0"/>
        <w:jc w:val="center"/>
      </w:pPr>
      <w:r>
        <w:rPr>
          <w:rFonts w:ascii="Times New Roman" w:hAnsi="Times New Roman" w:cs="Times New Roman" w:eastAsia="Times New Roman"/>
          <w:b/>
          <w:sz w:val="24"/>
        </w:rPr>
        <w:t>APPENDICE TREDICESIMA ALLA FASE SETTIMA</w:t>
      </w:r>
    </w:p>
    <w:p>
      <w:pPr>
        <w:spacing w:line="276" w:lineRule="auto" w:after="120"/>
        <w:ind w:firstLine="0"/>
        <w:jc w:val="center"/>
      </w:pPr>
      <w:r>
        <w:rPr>
          <w:rFonts w:ascii="Times New Roman" w:hAnsi="Times New Roman" w:cs="Times New Roman" w:eastAsia="Times New Roman"/>
          <w:b/>
          <w:sz w:val="24"/>
        </w:rPr>
        <w:t>Una sola testimonianza formale</w:t>
      </w:r>
    </w:p>
    <w:p>
      <w:pPr>
        <w:spacing w:line="276" w:lineRule="auto" w:after="120"/>
        <w:ind w:firstLine="0"/>
        <w:jc w:val="center"/>
      </w:pPr>
      <w:r>
        <w:rPr>
          <w:rFonts w:ascii="Times New Roman" w:hAnsi="Times New Roman" w:cs="Times New Roman" w:eastAsia="Times New Roman"/>
          <w:b/>
          <w:sz w:val="24"/>
        </w:rPr>
        <w:t>Esecuzione della Voce quarantaseiesima</w:t>
      </w:r>
    </w:p>
    <w:p>
      <w:pPr>
        <w:spacing w:line="276" w:lineRule="auto" w:after="120"/>
        <w:ind w:firstLine="0"/>
        <w:jc w:val="center"/>
      </w:pPr>
      <w:r>
        <w:rPr>
          <w:rFonts w:ascii="Times New Roman" w:hAnsi="Times New Roman" w:cs="Times New Roman" w:eastAsia="Times New Roman"/>
          <w:b/>
          <w:sz w:val="24"/>
        </w:rPr>
        <w:t>Luigi De Michele</w:t>
      </w:r>
    </w:p>
    <w:p>
      <w:pPr>
        <w:spacing w:line="276" w:lineRule="auto" w:after="120"/>
        <w:ind w:firstLine="0"/>
        <w:jc w:val="center"/>
      </w:pPr>
      <w:r>
        <w:rPr>
          <w:rFonts w:ascii="Times New Roman" w:hAnsi="Times New Roman" w:cs="Times New Roman" w:eastAsia="Times New Roman"/>
          <w:b/>
          <w:sz w:val="24"/>
        </w:rPr>
        <w:t>15 agosto 2026</w:t>
      </w:r>
    </w:p>
    <w:p>
      <w:pPr>
        <w:spacing w:line="276" w:lineRule="auto" w:after="120" w:before="240"/>
        <w:ind w:firstLine="0"/>
        <w:jc w:val="left"/>
      </w:pPr>
      <w:r>
        <w:rPr>
          <w:rFonts w:ascii="Times New Roman" w:hAnsi="Times New Roman" w:cs="Times New Roman" w:eastAsia="Times New Roman"/>
          <w:b/>
          <w:sz w:val="24"/>
        </w:rPr>
        <w:t>Atto di edizione dell'appendice tredicesima</w:t>
      </w:r>
    </w:p>
    <w:p>
      <w:pPr>
        <w:spacing w:line="276" w:lineRule="auto" w:after="120"/>
        <w:ind w:firstLine="425"/>
        <w:jc w:val="both"/>
      </w:pPr>
      <w:r>
        <w:rPr>
          <w:rFonts w:ascii="Times New Roman" w:hAnsi="Times New Roman" w:cs="Times New Roman" w:eastAsia="Times New Roman"/>
          <w:b w:val="0"/>
          <w:sz w:val="24"/>
        </w:rPr>
        <w:t>La presente è appendice tredicesima alla Fase Settima ed esegue la Voce quarantaseiesima, iscritta dall'appendice dodicesima, la quale prescrive di ricavare dal prospetto analitico delle sedute l'oggetto delle ventisette sedute i cui processi verbali non sono posseduti, e di individuare fra gli auditi in sede formale quelli le cui deposizioni riguardino il caso. Come le dodici anteriori, essa non modifica alcun Capitolo: i settanta restano settanta.</w:t>
      </w:r>
    </w:p>
    <w:p>
      <w:pPr>
        <w:spacing w:line="276" w:lineRule="auto" w:after="120"/>
        <w:ind w:firstLine="425"/>
        <w:jc w:val="both"/>
      </w:pPr>
      <w:r>
        <w:rPr>
          <w:rFonts w:ascii="Times New Roman" w:hAnsi="Times New Roman" w:cs="Times New Roman" w:eastAsia="Times New Roman"/>
          <w:b w:val="0"/>
          <w:sz w:val="24"/>
        </w:rPr>
        <w:t>L'esecuzione produce due risultati, dei quali il secondo non era previsto e corregge l'appendice dodicesima in un punto che essa aveva dichiarato di non sapere spiegare.</w:t>
      </w:r>
    </w:p>
    <w:p>
      <w:pPr>
        <w:spacing w:line="276" w:lineRule="auto" w:after="120" w:before="240"/>
        <w:ind w:firstLine="0"/>
        <w:jc w:val="left"/>
      </w:pPr>
      <w:r>
        <w:rPr>
          <w:rFonts w:ascii="Times New Roman" w:hAnsi="Times New Roman" w:cs="Times New Roman" w:eastAsia="Times New Roman"/>
          <w:b/>
          <w:sz w:val="24"/>
        </w:rPr>
        <w:t>Parte prima — Il difetto dello strumento, e la risoluzione posizionale</w:t>
      </w:r>
    </w:p>
    <w:p>
      <w:pPr>
        <w:spacing w:line="276" w:lineRule="auto" w:after="120"/>
        <w:ind w:firstLine="425"/>
        <w:jc w:val="both"/>
      </w:pPr>
      <w:r>
        <w:rPr>
          <w:rFonts w:ascii="Times New Roman" w:hAnsi="Times New Roman" w:cs="Times New Roman" w:eastAsia="Times New Roman"/>
          <w:b w:val="0"/>
          <w:sz w:val="24"/>
        </w:rPr>
        <w:t>Si dichiara anzitutto un difetto della fonte impiegata, poiché senza la sua correzione l'intera collazione sarebbe stata falsa e falsa in modo plausibile, che è la specie peggiore.</w:t>
      </w:r>
    </w:p>
    <w:p>
      <w:pPr>
        <w:spacing w:line="276" w:lineRule="auto" w:after="120"/>
        <w:ind w:firstLine="425"/>
        <w:jc w:val="both"/>
      </w:pPr>
      <w:r>
        <w:rPr>
          <w:rFonts w:ascii="Times New Roman" w:hAnsi="Times New Roman" w:cs="Times New Roman" w:eastAsia="Times New Roman"/>
          <w:b w:val="0"/>
          <w:sz w:val="24"/>
        </w:rPr>
        <w:t>Il prospetto è posseduto in trascrizione automatica, e il riconoscimento ottico ha reso l'indicatore ordinale che segue il numero di seduta come una cifra ulteriore. La prima seduta compare pertanto come diciottesima, la seconda come ventiquattresima, la terza come trentaduesima, la quarta come quarantaquattresima, la quinta come cinquantaquattresima. La deformazione non è costante e dipende dalla forma che l'indicatore assume nella stampa.</w:t>
      </w:r>
    </w:p>
    <w:p>
      <w:pPr>
        <w:spacing w:line="276" w:lineRule="auto" w:after="120"/>
        <w:ind w:firstLine="425"/>
        <w:jc w:val="both"/>
      </w:pPr>
      <w:r>
        <w:rPr>
          <w:rFonts w:ascii="Times New Roman" w:hAnsi="Times New Roman" w:cs="Times New Roman" w:eastAsia="Times New Roman"/>
          <w:b w:val="0"/>
          <w:sz w:val="24"/>
        </w:rPr>
        <w:t>La prima lettura, condotta sui numeri così risultanti, ha prodotto una collazione interamente errata, nella quale a sedute mancanti erano attribuiti oggetti appartenenti ad altre sedute. L'errore non era rilevabile dall'interno: i numeri erano plausibili, le date erano plausibili, e gli oggetti erano oggetti reali di sedute reali. È stato rilevato leggendo le prime cinque voci e constatando che la prima seduta di una Commissione non può essere la diciottesima.</w:t>
      </w:r>
    </w:p>
    <w:p>
      <w:pPr>
        <w:spacing w:line="276" w:lineRule="auto" w:after="120"/>
        <w:ind w:firstLine="425"/>
        <w:jc w:val="both"/>
      </w:pPr>
      <w:r>
        <w:rPr>
          <w:rFonts w:ascii="Times New Roman" w:hAnsi="Times New Roman" w:cs="Times New Roman" w:eastAsia="Times New Roman"/>
          <w:b w:val="0"/>
          <w:sz w:val="24"/>
        </w:rPr>
        <w:t>La risoluzione adottata è posizionale e non numerica. Il prospetto è cronologico; si sono pertanto estratte le date nell'ordine in cui compaiono e si è assunto che l'ennesima voce corrisponda all'ennesima seduta. La risoluzione è verificata su cinque ancoraggi indipendenti costituiti da processi verbali posseduti, dei quali si conoscono numero e data: la quarta voce reca la data del ventitré novembre millenovecentottantotto, che è quella del quarto processo verbale posseduto, e le altre quattro collimano del pari.</w:t>
      </w:r>
    </w:p>
    <w:p>
      <w:pPr>
        <w:spacing w:line="276" w:lineRule="auto" w:after="120"/>
        <w:ind w:firstLine="425"/>
        <w:jc w:val="both"/>
      </w:pPr>
      <w:r>
        <w:rPr>
          <w:rFonts w:ascii="Times New Roman" w:hAnsi="Times New Roman" w:cs="Times New Roman" w:eastAsia="Times New Roman"/>
          <w:b w:val="0"/>
          <w:sz w:val="24"/>
        </w:rPr>
        <w:t>Si dichiara che la risoluzione è un'inferenza dell'opera e non un dato del documento, ed è falsificabile con un esemplare a stampa correttamente impaginato. È la seconda volta nella giornata che una convenzione di numerazione va risolta per inferenza e verificata su ancoraggi, e le due risoluzioni riguardano due strumenti diversi del medesimo fondo.</w:t>
      </w:r>
    </w:p>
    <w:p>
      <w:pPr>
        <w:spacing w:line="276" w:lineRule="auto" w:after="120"/>
        <w:ind w:firstLine="425"/>
        <w:jc w:val="both"/>
      </w:pPr>
      <w:r>
        <w:rPr>
          <w:rFonts w:ascii="Times New Roman" w:hAnsi="Times New Roman" w:cs="Times New Roman" w:eastAsia="Times New Roman"/>
          <w:b w:val="0"/>
          <w:sz w:val="24"/>
        </w:rPr>
        <w:t>Si registra altresì che il prospetto posseduto si arresta alla settantasettesima seduta, del quindici novembre millenovecentonovantuno. Le sedute dalla settantottesima alla centoduesima non vi sono comprese.</w:t>
      </w:r>
    </w:p>
    <w:p>
      <w:pPr>
        <w:spacing w:line="276" w:lineRule="auto" w:after="120" w:before="240"/>
        <w:ind w:firstLine="0"/>
        <w:jc w:val="left"/>
      </w:pPr>
      <w:r>
        <w:rPr>
          <w:rFonts w:ascii="Times New Roman" w:hAnsi="Times New Roman" w:cs="Times New Roman" w:eastAsia="Times New Roman"/>
          <w:b/>
          <w:sz w:val="24"/>
        </w:rPr>
        <w:t>Parte seconda — L'oggetto delle sedute non possedute</w:t>
      </w:r>
    </w:p>
    <w:p>
      <w:pPr>
        <w:spacing w:line="276" w:lineRule="auto" w:after="120"/>
        <w:ind w:firstLine="425"/>
        <w:jc w:val="both"/>
      </w:pPr>
      <w:r>
        <w:rPr>
          <w:rFonts w:ascii="Times New Roman" w:hAnsi="Times New Roman" w:cs="Times New Roman" w:eastAsia="Times New Roman"/>
          <w:b w:val="0"/>
          <w:sz w:val="24"/>
        </w:rPr>
        <w:t>Delle ventisette sedute i cui processi verbali non sono posseduti, venticinque cadono entro la copertura del prospetto e il loro oggetto è determinato. Due — l'ottantaseiesima e la novantatreesima — cadono oltre e restano ignote.</w:t>
      </w:r>
    </w:p>
    <w:p>
      <w:pPr>
        <w:spacing w:line="276" w:lineRule="auto" w:after="120"/>
        <w:ind w:firstLine="425"/>
        <w:jc w:val="both"/>
      </w:pPr>
      <w:r>
        <w:rPr>
          <w:rFonts w:ascii="Times New Roman" w:hAnsi="Times New Roman" w:cs="Times New Roman" w:eastAsia="Times New Roman"/>
          <w:b w:val="0"/>
          <w:sz w:val="24"/>
        </w:rPr>
        <w:t>Si espone la ripartizione delle venticinque per materia, poiché è il dato che la voce domandava.</w:t>
      </w:r>
    </w:p>
    <w:p>
      <w:pPr>
        <w:spacing w:line="276" w:lineRule="auto" w:after="120"/>
        <w:ind w:firstLine="425"/>
        <w:jc w:val="both"/>
      </w:pPr>
      <w:r>
        <w:rPr>
          <w:rFonts w:ascii="Times New Roman" w:hAnsi="Times New Roman" w:cs="Times New Roman" w:eastAsia="Times New Roman"/>
          <w:b w:val="0"/>
          <w:sz w:val="24"/>
        </w:rPr>
        <w:t>Quattordici concernono l'inchiesta sul disastro aereo, in forma di testimonianze formali di ufficiali generali e di dirigenti, di audizioni di ministri e di parlamentari, di discussione della relazione del Presidente.</w:t>
      </w:r>
    </w:p>
    <w:p>
      <w:pPr>
        <w:spacing w:line="276" w:lineRule="auto" w:after="120"/>
        <w:ind w:firstLine="425"/>
        <w:jc w:val="both"/>
      </w:pPr>
      <w:r>
        <w:rPr>
          <w:rFonts w:ascii="Times New Roman" w:hAnsi="Times New Roman" w:cs="Times New Roman" w:eastAsia="Times New Roman"/>
          <w:b w:val="0"/>
          <w:sz w:val="24"/>
        </w:rPr>
        <w:t>Sei concernono l'inchiesta sull'organizzazione clandestina, in forma di testimonianze formali di ufficiali generali e di discussione del documento predisposto dal Presidente.</w:t>
      </w:r>
    </w:p>
    <w:p>
      <w:pPr>
        <w:spacing w:line="276" w:lineRule="auto" w:after="120"/>
        <w:ind w:firstLine="425"/>
        <w:jc w:val="both"/>
      </w:pPr>
      <w:r>
        <w:rPr>
          <w:rFonts w:ascii="Times New Roman" w:hAnsi="Times New Roman" w:cs="Times New Roman" w:eastAsia="Times New Roman"/>
          <w:b w:val="0"/>
          <w:sz w:val="24"/>
        </w:rPr>
        <w:t>Una concerne l'inchiesta su un apparato informativo e su un piano degli anni sessanta.</w:t>
      </w:r>
    </w:p>
    <w:p>
      <w:pPr>
        <w:spacing w:line="276" w:lineRule="auto" w:after="120"/>
        <w:ind w:firstLine="425"/>
        <w:jc w:val="both"/>
      </w:pPr>
      <w:r>
        <w:rPr>
          <w:rFonts w:ascii="Times New Roman" w:hAnsi="Times New Roman" w:cs="Times New Roman" w:eastAsia="Times New Roman"/>
          <w:b w:val="0"/>
          <w:sz w:val="24"/>
        </w:rPr>
        <w:t>Quattro concernono materie interne: elezione dell'ufficio di presidenza, discussione e approvazione e successive modifiche del regolamento interno, esame del programma d'inchiesta, comunicazioni del Presidente e ordine dei lavori.</w:t>
      </w:r>
    </w:p>
    <w:p>
      <w:pPr>
        <w:spacing w:line="276" w:lineRule="auto" w:after="120"/>
        <w:ind w:firstLine="425"/>
        <w:jc w:val="both"/>
      </w:pPr>
      <w:r>
        <w:rPr>
          <w:rFonts w:ascii="Times New Roman" w:hAnsi="Times New Roman" w:cs="Times New Roman" w:eastAsia="Times New Roman"/>
          <w:b w:val="0"/>
          <w:sz w:val="24"/>
        </w:rPr>
        <w:t>Nessuna delle venticinque concerne il caso.</w:t>
      </w:r>
    </w:p>
    <w:p>
      <w:pPr>
        <w:spacing w:line="276" w:lineRule="auto" w:after="120"/>
        <w:ind w:firstLine="425"/>
        <w:jc w:val="both"/>
      </w:pPr>
      <w:r>
        <w:rPr>
          <w:rFonts w:ascii="Times New Roman" w:hAnsi="Times New Roman" w:cs="Times New Roman" w:eastAsia="Times New Roman"/>
          <w:b w:val="0"/>
          <w:sz w:val="24"/>
        </w:rPr>
        <w:t>Il risultato va enunciato per ciò che significa. La lacuna del corpus posseduto, che l'appendice terza aveva dichiarata come Stato Zero su ventisette processi verbali e che l'appendice dodicesima aveva riqualificata come mancata consultazione di volumi a stampa, si rivela per venticinque ventisettesimi irrilevante ai fini dell'opera. Ciò che manca non riguarda la materia. Restano ignote due sedute su centodue.</w:t>
      </w:r>
    </w:p>
    <w:p>
      <w:pPr>
        <w:spacing w:line="276" w:lineRule="auto" w:after="120"/>
        <w:ind w:firstLine="425"/>
        <w:jc w:val="both"/>
      </w:pPr>
      <w:r>
        <w:rPr>
          <w:rFonts w:ascii="Times New Roman" w:hAnsi="Times New Roman" w:cs="Times New Roman" w:eastAsia="Times New Roman"/>
          <w:b w:val="0"/>
          <w:sz w:val="24"/>
        </w:rPr>
        <w:t>Si registra un secondo effetto della collazione, che non era il suo oggetto e che vale più del primo. La distribuzione delle sedute mancanti per materia è prossima alla distribuzione delle sedute della Commissione per materia: mancano soprattutto sedute sull'inchiesta più voluminosa, e mancano nella proporzione nella quale essa pesa. Il corpus posseduto non è dunque un sottoinsieme selezionato contro il caso, e le lacune non hanno struttura. È un controllo contro la distorsione di selezione, e non era stato compiuto: le dodici appendici anteriori hanno lavorato su un corpus del quale non era accertato che fosse imparziale rispetto al proprio oggetto. Ora lo è, entro il limite di questa verifica.</w:t>
      </w:r>
    </w:p>
    <w:p>
      <w:pPr>
        <w:spacing w:line="276" w:lineRule="auto" w:after="120" w:before="240"/>
        <w:ind w:firstLine="0"/>
        <w:jc w:val="left"/>
      </w:pPr>
      <w:r>
        <w:rPr>
          <w:rFonts w:ascii="Times New Roman" w:hAnsi="Times New Roman" w:cs="Times New Roman" w:eastAsia="Times New Roman"/>
          <w:b/>
          <w:sz w:val="24"/>
        </w:rPr>
        <w:t>Parte terza — Una sola testimonianza formale</w:t>
      </w:r>
    </w:p>
    <w:p>
      <w:pPr>
        <w:spacing w:line="276" w:lineRule="auto" w:after="120"/>
        <w:ind w:firstLine="425"/>
        <w:jc w:val="both"/>
      </w:pPr>
      <w:r>
        <w:rPr>
          <w:rFonts w:ascii="Times New Roman" w:hAnsi="Times New Roman" w:cs="Times New Roman" w:eastAsia="Times New Roman"/>
          <w:b w:val="0"/>
          <w:sz w:val="24"/>
        </w:rPr>
        <w:t>L'elenco degli auditi in sede formale è ordinato in tre modi, alfabetico, cronologico e tematico. L'ordine tematico raggruppa le deposizioni per inchiesta.</w:t>
      </w:r>
    </w:p>
    <w:p>
      <w:pPr>
        <w:spacing w:line="276" w:lineRule="auto" w:after="120"/>
        <w:ind w:firstLine="425"/>
        <w:jc w:val="both"/>
      </w:pPr>
      <w:r>
        <w:rPr>
          <w:rFonts w:ascii="Times New Roman" w:hAnsi="Times New Roman" w:cs="Times New Roman" w:eastAsia="Times New Roman"/>
          <w:b w:val="0"/>
          <w:sz w:val="24"/>
        </w:rPr>
        <w:t>Sotto l'intitolazione del caso figura una sola voce. È una testimonianza formale del diciassette ottobre millenovecentonovanta, resa alla sessantaduesima seduta dal capo della polizia in carica.</w:t>
      </w:r>
    </w:p>
    <w:p>
      <w:pPr>
        <w:spacing w:line="276" w:lineRule="auto" w:after="120"/>
        <w:ind w:firstLine="425"/>
        <w:jc w:val="both"/>
      </w:pPr>
      <w:r>
        <w:rPr>
          <w:rFonts w:ascii="Times New Roman" w:hAnsi="Times New Roman" w:cs="Times New Roman" w:eastAsia="Times New Roman"/>
          <w:b w:val="0"/>
          <w:sz w:val="24"/>
        </w:rPr>
        <w:t>Una, su centodue sedute e su quattro anni di lavori.</w:t>
      </w:r>
    </w:p>
    <w:p>
      <w:pPr>
        <w:spacing w:line="276" w:lineRule="auto" w:after="120"/>
        <w:ind w:firstLine="425"/>
        <w:jc w:val="both"/>
      </w:pPr>
      <w:r>
        <w:rPr>
          <w:rFonts w:ascii="Times New Roman" w:hAnsi="Times New Roman" w:cs="Times New Roman" w:eastAsia="Times New Roman"/>
          <w:b w:val="0"/>
          <w:sz w:val="24"/>
        </w:rPr>
        <w:t>Si dichiari la procedura con la quale il dato è stato ricavato, poiché la trascrizione presenta le colonne dislocate: le date, i numeri di seduta, la qualificazione della deposizione e i nominativi compaiono in quattro blocchi separati anziché in righe. Si è ricostruita la corrispondenza per posizione, e la ricostruzione è verificata su un riscontro indipendente: l'unità quindicesima del fascicolo del caso, individuata dall'appendice quarta, reca i documenti consegnati dal capo della polizia nel corso della testimonianza formale del diciassette ottobre millenovecentonovanta. La data, la qualità dell'audito e la natura dell'atto collimano, e la sessantaduesima seduta è quella che l'appendice terza aveva già individuata come seduta del diciassette ottobre millenovecentonovanta. La ricostruzione posizionale è pertanto confermata da tre elementi indipendenti dall'elenco.</w:t>
      </w:r>
    </w:p>
    <w:p>
      <w:pPr>
        <w:spacing w:line="276" w:lineRule="auto" w:after="120"/>
        <w:ind w:firstLine="425"/>
        <w:jc w:val="both"/>
      </w:pPr>
      <w:r>
        <w:rPr>
          <w:rFonts w:ascii="Times New Roman" w:hAnsi="Times New Roman" w:cs="Times New Roman" w:eastAsia="Times New Roman"/>
          <w:b w:val="0"/>
          <w:sz w:val="24"/>
        </w:rPr>
        <w:t>Si accosti la cifra a quelle delle altre inchieste rilevabili dal medesimo ordine tematico: oltre cento deposizioni per l'inchiesta sul disastro aereo, ventisei per quella sull'organizzazione clandestina, dodici per quella sull'apparato informativo, diciannove per quella su un sequestro del millenovecentottantuno. E una per il caso.</w:t>
      </w:r>
    </w:p>
    <w:p>
      <w:pPr>
        <w:spacing w:line="276" w:lineRule="auto" w:after="120" w:before="240"/>
        <w:ind w:firstLine="0"/>
        <w:jc w:val="left"/>
      </w:pPr>
      <w:r>
        <w:rPr>
          <w:rFonts w:ascii="Times New Roman" w:hAnsi="Times New Roman" w:cs="Times New Roman" w:eastAsia="Times New Roman"/>
          <w:b/>
          <w:sz w:val="24"/>
        </w:rPr>
        <w:t>Parte quarta — La correzione dell'appendice dodicesima</w:t>
      </w:r>
    </w:p>
    <w:p>
      <w:pPr>
        <w:spacing w:line="276" w:lineRule="auto" w:after="120"/>
        <w:ind w:firstLine="425"/>
        <w:jc w:val="both"/>
      </w:pPr>
      <w:r>
        <w:rPr>
          <w:rFonts w:ascii="Times New Roman" w:hAnsi="Times New Roman" w:cs="Times New Roman" w:eastAsia="Times New Roman"/>
          <w:b w:val="0"/>
          <w:sz w:val="24"/>
        </w:rPr>
        <w:t>L'appendice dodicesima ha rilevato che l'indice analitico per argomenti delle deposizioni fu pubblicato per tre inchieste e non per quella sul caso, ha qualificato l'asimmetria come dato, e ha enunciato tre cause possibili dichiarando di non discriminare fra esse: l'ampiezza relativa dei corpora, il tempo disponibile alla vigilia dello scioglimento, l'esistenza di una Commissione anteriore dedicata.</w:t>
      </w:r>
    </w:p>
    <w:p>
      <w:pPr>
        <w:spacing w:line="276" w:lineRule="auto" w:after="120"/>
        <w:ind w:firstLine="425"/>
        <w:jc w:val="both"/>
      </w:pPr>
      <w:r>
        <w:rPr>
          <w:rFonts w:ascii="Times New Roman" w:hAnsi="Times New Roman" w:cs="Times New Roman" w:eastAsia="Times New Roman"/>
          <w:b w:val="0"/>
          <w:sz w:val="24"/>
        </w:rPr>
        <w:t>La causa è una quarta, e più semplice di tutte e tre. Un indice analitico per argomenti delle deposizioni non fu pubblicato per il caso perché le deposizioni formali sul caso erano una.</w:t>
      </w:r>
    </w:p>
    <w:p>
      <w:pPr>
        <w:spacing w:line="276" w:lineRule="auto" w:after="120"/>
        <w:ind w:firstLine="425"/>
        <w:jc w:val="both"/>
      </w:pPr>
      <w:r>
        <w:rPr>
          <w:rFonts w:ascii="Times New Roman" w:hAnsi="Times New Roman" w:cs="Times New Roman" w:eastAsia="Times New Roman"/>
          <w:b w:val="0"/>
          <w:sz w:val="24"/>
        </w:rPr>
        <w:t>Si registra la correzione a proprio sfavore, e se ne trae la regola che vale per l'intera giornata. Quando si rileva un'assenza e se ne enumerano le cause possibili, si verifichi prima di tutto se l'oggetto assente esistesse. Le tre cause enunciate presupponevano tutte un corpus di deposizioni da indicizzare, e nessuna delle tre poteva essere vera in mancanza di quel corpus. Si è cercata la spiegazione della mancanza di un indice senza avere contato ciò che l'indice avrebbe dovuto indicizzare.</w:t>
      </w:r>
    </w:p>
    <w:p>
      <w:pPr>
        <w:spacing w:line="276" w:lineRule="auto" w:after="120"/>
        <w:ind w:firstLine="425"/>
        <w:jc w:val="both"/>
      </w:pPr>
      <w:r>
        <w:rPr>
          <w:rFonts w:ascii="Times New Roman" w:hAnsi="Times New Roman" w:cs="Times New Roman" w:eastAsia="Times New Roman"/>
          <w:b w:val="0"/>
          <w:sz w:val="24"/>
        </w:rPr>
        <w:t>Si osservi che l'errore appartiene alla medesima specie del quinto: non un errore di misura, ma l'avere costruito un ragionamento sopra un presupposto non verificato che una sola lettura avrebbe verificato.</w:t>
      </w:r>
    </w:p>
    <w:p>
      <w:pPr>
        <w:spacing w:line="276" w:lineRule="auto" w:after="120" w:before="240"/>
        <w:ind w:firstLine="0"/>
        <w:jc w:val="left"/>
      </w:pPr>
      <w:r>
        <w:rPr>
          <w:rFonts w:ascii="Times New Roman" w:hAnsi="Times New Roman" w:cs="Times New Roman" w:eastAsia="Times New Roman"/>
          <w:b/>
          <w:sz w:val="24"/>
        </w:rPr>
        <w:t>Parte quinta — Dove si trova il lavoro sul caso</w:t>
      </w:r>
    </w:p>
    <w:p>
      <w:pPr>
        <w:spacing w:line="276" w:lineRule="auto" w:after="120"/>
        <w:ind w:firstLine="425"/>
        <w:jc w:val="both"/>
      </w:pPr>
      <w:r>
        <w:rPr>
          <w:rFonts w:ascii="Times New Roman" w:hAnsi="Times New Roman" w:cs="Times New Roman" w:eastAsia="Times New Roman"/>
          <w:b w:val="0"/>
          <w:sz w:val="24"/>
        </w:rPr>
        <w:t>Se le deposizioni formali sul caso furono una, la questione diviene dove si trovi il resto del lavoro, poiché il fascicolo reca cinquanta unità acquisite e la Commissione approvò sul caso una relazione conclusiva.</w:t>
      </w:r>
    </w:p>
    <w:p>
      <w:pPr>
        <w:spacing w:line="276" w:lineRule="auto" w:after="120"/>
        <w:ind w:firstLine="425"/>
        <w:jc w:val="both"/>
      </w:pPr>
      <w:r>
        <w:rPr>
          <w:rFonts w:ascii="Times New Roman" w:hAnsi="Times New Roman" w:cs="Times New Roman" w:eastAsia="Times New Roman"/>
          <w:b w:val="0"/>
          <w:sz w:val="24"/>
        </w:rPr>
        <w:t>Le fonti possedute lo dicono, e in tre luoghi concordanti. L'indice degli indici descrive, come proprio gruppo distinto, l'indice in ordine alfabetico e tematico dei testi ascoltati in sede informale dai gruppi di lavoro delegati dalla Commissione a svolgere particolari accertamenti, e dichiara che alcuni dei relativi resoconti sono riversati sul sistema informatico e consultabili nelle banche-immagini delle singole inchieste. L'unità trentatreesima del fascicolo reca osservazioni consegnate nel corso di un incontro con il gruppo di lavoro sul caso. L'unità trentaduesima reca una memoria consegnata alla Commissione da un componente che aveva condotto ricerca propria.</w:t>
      </w:r>
    </w:p>
    <w:p>
      <w:pPr>
        <w:spacing w:line="276" w:lineRule="auto" w:after="120"/>
        <w:ind w:firstLine="425"/>
        <w:jc w:val="both"/>
      </w:pPr>
      <w:r>
        <w:rPr>
          <w:rFonts w:ascii="Times New Roman" w:hAnsi="Times New Roman" w:cs="Times New Roman" w:eastAsia="Times New Roman"/>
          <w:b w:val="0"/>
          <w:sz w:val="24"/>
        </w:rPr>
        <w:t>Ne segue che l'inchiesta sul caso, nella X legislatura, fu condotta in prevalenza in sede informale, per gruppi di lavoro, e che i suoi atti orali si trovano nei resoconti di quei gruppi e non nei volumi dei resoconti stenografici delle sedute. Chi cercasse le deposizioni sul caso negli otto volumi a stampa ne troverebbe una.</w:t>
      </w:r>
    </w:p>
    <w:p>
      <w:pPr>
        <w:spacing w:line="276" w:lineRule="auto" w:after="120"/>
        <w:ind w:firstLine="425"/>
        <w:jc w:val="both"/>
      </w:pPr>
      <w:r>
        <w:rPr>
          <w:rFonts w:ascii="Times New Roman" w:hAnsi="Times New Roman" w:cs="Times New Roman" w:eastAsia="Times New Roman"/>
          <w:b w:val="0"/>
          <w:sz w:val="24"/>
        </w:rPr>
        <w:t>Si registra la conseguenza sulla disciplina delle fonti. Un resoconto di audizione informale dinanzi a un gruppo di lavoro non ha il regime di una testimonianza formale: non è reso con le forme e con le sanzioni che l'articolo secondo della legge istitutiva richiama, e il suo valore probatorio è quello di una dichiarazione raccolta e non di una testimonianza assunta. Ove l'opera venga a impiegarne, dovrà graduarli in conseguenza, e non potrà graduarli per la sede.</w:t>
      </w:r>
    </w:p>
    <w:p>
      <w:pPr>
        <w:spacing w:line="276" w:lineRule="auto" w:after="120"/>
        <w:ind w:firstLine="425"/>
        <w:jc w:val="both"/>
      </w:pPr>
      <w:r>
        <w:rPr>
          <w:rFonts w:ascii="Times New Roman" w:hAnsi="Times New Roman" w:cs="Times New Roman" w:eastAsia="Times New Roman"/>
          <w:b w:val="0"/>
          <w:sz w:val="24"/>
        </w:rPr>
        <w:t>Voce quarantasettesima — I resoconti dei gruppi di lavoro sul caso. Oggetto: l'indice in ordine alfabetico e tematico dei testi ascoltati in sede informale dai gruppi di lavoro, limitatamente al caso; e i resoconti medesimi, per la parte riversata nella banca-immagini. Sede: l'Indice generale degli atti della X legislatura, e la banca-immagini dell'inchiesta, il cui codice ha per parte fissa la lettera dell'inchiesta. Chiusura: individuazione dei testi ascoltati e reperimento dei resoconti. Smentita: la constatazione che i resoconti delle audizioni informali non siano stati redatti o non siano stati riversati, nel qual caso l'attività del gruppo di lavoro sarebbe documentata dai soli atti acquisiti e la voce si chiuderebbe con Stato Zero.</w:t>
      </w:r>
    </w:p>
    <w:p>
      <w:pPr>
        <w:spacing w:line="276" w:lineRule="auto" w:after="120" w:before="240"/>
        <w:ind w:firstLine="0"/>
        <w:jc w:val="left"/>
      </w:pPr>
      <w:r>
        <w:rPr>
          <w:rFonts w:ascii="Times New Roman" w:hAnsi="Times New Roman" w:cs="Times New Roman" w:eastAsia="Times New Roman"/>
          <w:b/>
          <w:sz w:val="24"/>
        </w:rPr>
        <w:t>Parte sesta — Mutazioni di stato e Stati Zero</w:t>
      </w:r>
    </w:p>
    <w:p>
      <w:pPr>
        <w:spacing w:line="276" w:lineRule="auto" w:after="120"/>
        <w:ind w:firstLine="425"/>
        <w:jc w:val="both"/>
      </w:pPr>
      <w:r>
        <w:rPr>
          <w:rFonts w:ascii="Times New Roman" w:hAnsi="Times New Roman" w:cs="Times New Roman" w:eastAsia="Times New Roman"/>
          <w:b w:val="0"/>
          <w:sz w:val="24"/>
        </w:rPr>
        <w:t>La Voce quarantaseiesima si chiude per venticinque sedute su ventisette e per l'individuazione delle deposizioni formali sul caso. Si iscrive la Voce quarantasettesima. Si registra la correzione dell'appendice dodicesima quanto alla causa dell'asimmetria. Nessun grado di alcuna proposizione dell'opera muta.</w:t>
      </w:r>
    </w:p>
    <w:p>
      <w:pPr>
        <w:spacing w:line="276" w:lineRule="auto" w:after="120"/>
        <w:ind w:firstLine="425"/>
        <w:jc w:val="both"/>
      </w:pPr>
      <w:r>
        <w:rPr>
          <w:rFonts w:ascii="Times New Roman" w:hAnsi="Times New Roman" w:cs="Times New Roman" w:eastAsia="Times New Roman"/>
          <w:b w:val="0"/>
          <w:sz w:val="24"/>
        </w:rPr>
        <w:t>Si dichiarano gli Stati Zero. Primo: l'oggetto della ottantaseiesima e della novantatreesima seduta resta ignoto, poiché il prospetto posseduto si arresta alla settantasettesima. Secondo: la copertura del prospetto per le sedute dalla settantottesima alla centoduesima non è posseduta, ed è la parte del prospetto che comprende il periodo nel quale il fascicolo del caso ricevette le proprie ultime acquisizioni. Terzo: i resoconti dei gruppi di lavoro non sono posseduti né individuati. Quarto: la risoluzione posizionale delle due convenzioni di numerazione resta inferenza dell'opera e non è stata verificata su esemplare a stampa.</w:t>
      </w:r>
    </w:p>
    <w:p>
      <w:pPr>
        <w:spacing w:line="276" w:lineRule="auto" w:after="120" w:before="240"/>
        <w:ind w:firstLine="0"/>
        <w:jc w:val="left"/>
      </w:pPr>
      <w:r>
        <w:rPr>
          <w:rFonts w:ascii="Times New Roman" w:hAnsi="Times New Roman" w:cs="Times New Roman" w:eastAsia="Times New Roman"/>
          <w:b/>
          <w:sz w:val="24"/>
        </w:rPr>
        <w:t>Riga di giornale</w:t>
      </w:r>
    </w:p>
    <w:p>
      <w:pPr>
        <w:spacing w:line="276" w:lineRule="auto" w:after="120"/>
        <w:ind w:firstLine="425"/>
        <w:jc w:val="both"/>
      </w:pPr>
      <w:r>
        <w:rPr>
          <w:rFonts w:ascii="Times New Roman" w:hAnsi="Times New Roman" w:cs="Times New Roman" w:eastAsia="Times New Roman"/>
          <w:b w:val="0"/>
          <w:sz w:val="24"/>
        </w:rPr>
        <w:t>Riga del quindici agosto duemilaventisei, undicesima del giorno sul medesimo cantiere. Cantiere: designazione per atto delle fonti. Materia: il prospetto analitico delle sedute e l'elenco degli auditi in sede formale della X legislatura.</w:t>
      </w:r>
    </w:p>
    <w:p>
      <w:pPr>
        <w:spacing w:line="276" w:lineRule="auto" w:after="120"/>
        <w:ind w:firstLine="425"/>
        <w:jc w:val="both"/>
      </w:pPr>
      <w:r>
        <w:rPr>
          <w:rFonts w:ascii="Times New Roman" w:hAnsi="Times New Roman" w:cs="Times New Roman" w:eastAsia="Times New Roman"/>
          <w:b w:val="0"/>
          <w:sz w:val="24"/>
        </w:rPr>
        <w:t>Esito positivo: determinazione dell'oggetto di venticinque delle ventisette sedute non possedute, con accertamento che nessuna di esse concerne il caso; controllo contro la distorsione di selezione, con accertamento che le lacune del corpus posseduto sono distribuite in proporzione al peso delle inchieste e non hanno struttura; accertamento che le deposizioni formali sul caso nella X legislatura furono una sola, resa alla sessantaduesima seduta del diciassette ottobre millenovecentonovanta, con verifica su tre elementi indipendenti; correzione dell'appendice dodicesima quanto alla causa dell'asimmetria degli indici analitici; individuazione della sede nella quale si trova il lavoro sul caso, che è quella dei gruppi di lavoro in sede informale, con la conseguente disciplina di grado; una voce nuova iscritta in tavola.</w:t>
      </w:r>
    </w:p>
    <w:p>
      <w:pPr>
        <w:spacing w:line="276" w:lineRule="auto" w:after="120"/>
        <w:ind w:firstLine="425"/>
        <w:jc w:val="both"/>
      </w:pPr>
      <w:r>
        <w:rPr>
          <w:rFonts w:ascii="Times New Roman" w:hAnsi="Times New Roman" w:cs="Times New Roman" w:eastAsia="Times New Roman"/>
          <w:b w:val="0"/>
          <w:sz w:val="24"/>
        </w:rPr>
        <w:t>Esito negativo: due sedute su centodue restano ignote quanto all'oggetto; la parte del prospetto relativa alle ultime venticinque sedute non è posseduta; i resoconti dei gruppi di lavoro non sono individuati.</w:t>
      </w:r>
    </w:p>
    <w:p>
      <w:pPr>
        <w:spacing w:line="276" w:lineRule="auto" w:after="120"/>
        <w:ind w:firstLine="425"/>
        <w:jc w:val="both"/>
      </w:pPr>
      <w:r>
        <w:rPr>
          <w:rFonts w:ascii="Times New Roman" w:hAnsi="Times New Roman" w:cs="Times New Roman" w:eastAsia="Times New Roman"/>
          <w:b w:val="0"/>
          <w:sz w:val="24"/>
        </w:rPr>
        <w:t>Riga di errore proprio, sesta della giornata, rilevata prima della pubblicazione. La trascrizione automatica del prospetto ha reso l'indicatore ordinale come cifra, e la prima lettura ha prodotto una collazione interamente errata nella quale a sedute mancanti erano attribuiti oggetti di altre sedute. L'errore non era rilevabile dall'interno, poiché numeri, date e oggetti erano tutti reali; è stato rilevato constatando che la prima seduta di una Commissione non può essere la diciottesima. Si registra che il controllo che lo ha scoperto è il più elementare disponibile, ed è la lettura della prima riga.</w:t>
      </w:r>
    </w:p>
    <w:p>
      <w:pPr>
        <w:spacing w:line="276" w:lineRule="auto" w:after="120"/>
        <w:ind w:firstLine="425"/>
        <w:jc w:val="both"/>
      </w:pPr>
      <w:r>
        <w:rPr>
          <w:rFonts w:ascii="Times New Roman" w:hAnsi="Times New Roman" w:cs="Times New Roman" w:eastAsia="Times New Roman"/>
          <w:b w:val="0"/>
          <w:sz w:val="24"/>
        </w:rPr>
        <w:t>Riga di errore proprio, settima della giornata. L'appendice dodicesima ha enumerato tre cause possibili di un'assenza senza avere contato ciò che l'assenza riguardava. Le tre cause presupponevano tutte l'esistenza di un corpus da indicizzare, e quel corpus consta di un elemento. Regola che se ne trae: quando si rileva un'assenza e se ne enumerano le cause, si verifichi prima di tutto se l'oggetto assente esistesse.</w:t>
      </w:r>
    </w:p>
    <w:p>
      <w:pPr>
        <w:spacing w:line="276" w:lineRule="auto" w:after="120"/>
        <w:ind w:firstLine="425"/>
        <w:jc w:val="both"/>
      </w:pPr>
      <w:r>
        <w:rPr>
          <w:rFonts w:ascii="Times New Roman" w:hAnsi="Times New Roman" w:cs="Times New Roman" w:eastAsia="Times New Roman"/>
          <w:b w:val="0"/>
          <w:sz w:val="24"/>
        </w:rPr>
        <w:t>Riga di avvertenza. Il presente atto non riferisce il contenuto di alcuna deposizione, di alcuna seduta e di alcun resoconto. La persona che rese la sola testimonianza formale sul caso è designata per la funzione che esercitava, la quale basta a identificare l'atto. La rilevazione del numero delle deposizioni per inchiesta è una misura dell'attività dell'organo e non un giudizio su di essa, e in particolare non implica alcuna valutazione sulla diligenza con la quale l'inchiesta fu condotta, che le presenti fonti non consentono di formulare.</w:t>
      </w:r>
    </w:p>
    <w:p>
      <w:pPr>
        <w:spacing w:line="276" w:lineRule="auto" w:after="120" w:before="240"/>
        <w:ind w:firstLine="0"/>
        <w:jc w:val="left"/>
      </w:pPr>
      <w:r>
        <w:rPr>
          <w:rFonts w:ascii="Times New Roman" w:hAnsi="Times New Roman" w:cs="Times New Roman" w:eastAsia="Times New Roman"/>
          <w:b/>
          <w:sz w:val="24"/>
        </w:rPr>
        <w:t>Colophon</w:t>
      </w:r>
    </w:p>
    <w:p>
      <w:pPr>
        <w:spacing w:line="276" w:lineRule="auto" w:after="120"/>
        <w:ind w:firstLine="425"/>
        <w:jc w:val="both"/>
      </w:pPr>
      <w:r>
        <w:rPr>
          <w:rFonts w:ascii="Times New Roman" w:hAnsi="Times New Roman" w:cs="Times New Roman" w:eastAsia="Times New Roman"/>
          <w:b w:val="0"/>
          <w:sz w:val="24"/>
        </w:rPr>
        <w:t>APPENDICE TREDICESIMA ALLA FASE SETTIMA, una sola testimonianza formale, quindici agosto duemilaventisei. I settanta Capitoli restano settanta. Le redazioni anteriori non sono modificate: le pietre deposte non si scalpellano, e le correzioni sono dichiarate accanto ad esse. Resta sovrana la Regola di Ferro: dove la fonte documenta, l'opera certifica; dove la fonte tace, l'opera indaga e non afferma. Quando si rileva un'assenza e se ne enumerano le cause, si verifichi prima di tutto se l'oggetto assente esistesse.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