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425"/>
        <w:jc w:val="both"/>
      </w:pPr>
      <w:r>
        <w:rPr>
          <w:rFonts w:ascii="Times New Roman" w:hAnsi="Times New Roman" w:cs="Times New Roman" w:eastAsia="Times New Roman"/>
          <w:b w:val="0"/>
          <w:sz w:val="24"/>
        </w:rPr>
        <w:t>Questa nota aggiunge venti blocchi ulteriori all'approfondimento biografico di Vladimir Putin, con un vincolo di metodo esplicito richiesto dall'autore: attingere esclusivamente agli URL gia' presenti nel corpus — il censimento del repertorio, che inventaria oltre mille domini — e agli Archivi online elencati nel quadro archivistico dell'opera. Non si e' usata alcuna fonte esterna a questo universo. Il primo gruppo di blocchi rilegge il periodo di Dresda e degli anni pietroburghesi attraverso gli archivi in lista — i fondi Stasi del Bundesarchiv, il National Security Archive, la sala di lettura della Central Intelligence Agency, l'Ufficio dello storico del Dipartimento di Stato, l'archivio digitale del Wilson Center — e attraverso i domini gia' censiti; il secondo gruppo estende l'arco fino all'ascesa e alla rete, ancorandosi ai nodi gia' depositati nel repertorio della sessione. Ogni blocco dichiara la propria fonte del corpus e il proprio grado, e vale in pieno lo statuto: l'incriminato non e' il condannato, l'allegazione non e' la sentenza, e l'assenza di riscontro, quando c'e', si dichiara. Il lavoro e' del sei agosto duemilaventisei.</w:t>
      </w:r>
    </w:p>
    <w:p>
      <w:pPr>
        <w:spacing w:line="276" w:lineRule="auto" w:before="0" w:after="0"/>
        <w:ind w:firstLine="425"/>
        <w:jc w:val="both"/>
      </w:pPr>
      <w:r>
        <w:rPr>
          <w:rFonts w:ascii="Times New Roman" w:hAnsi="Times New Roman" w:cs="Times New Roman" w:eastAsia="Times New Roman"/>
          <w:b/>
          <w:sz w:val="24"/>
        </w:rPr>
        <w:t>Blocco primo — Il fascicolo del KGB, letto all'archivio di Stato.</w:t>
      </w:r>
      <w:r>
        <w:rPr>
          <w:rFonts w:ascii="Times New Roman" w:hAnsi="Times New Roman" w:cs="Times New Roman" w:eastAsia="Times New Roman"/>
          <w:b w:val="0"/>
          <w:sz w:val="24"/>
        </w:rPr>
        <w:t xml:space="preserve"> Il ritratto piu' freddo di Putin ufficiale del servizio viene dal suo stesso fascicolo, esposto all'archivio di Stato di San Pietroburgo ed esaminato dalla stampa gia' censita nel corpus: un profilo in sei paragrafi che lo dice 'pronto, disciplinato, coscienzioso', dotato di 'stabilita' morale', ma con una valutazione da solida sufficienza piena, non da fuoriclasse </w:t>
      </w:r>
      <w:r>
        <w:rPr>
          <w:rFonts w:ascii="Times New Roman" w:hAnsi="Times New Roman" w:cs="Times New Roman" w:eastAsia="Times New Roman"/>
          <w:b/>
          <w:sz w:val="24"/>
        </w:rPr>
        <w:t>(Livello B, come autovalutazione del servizio)</w:t>
      </w:r>
      <w:r>
        <w:rPr>
          <w:rFonts w:ascii="Times New Roman" w:hAnsi="Times New Roman" w:cs="Times New Roman" w:eastAsia="Times New Roman"/>
          <w:b w:val="0"/>
          <w:sz w:val="24"/>
        </w:rPr>
        <w:t>. E' il documento che smonta, dall'interno, il mito dello spione geniale.</w:t>
      </w:r>
    </w:p>
    <w:p>
      <w:pPr>
        <w:spacing w:line="276" w:lineRule="auto" w:before="0" w:after="0"/>
        <w:ind w:firstLine="425"/>
        <w:jc w:val="both"/>
      </w:pPr>
      <w:r>
        <w:rPr>
          <w:rFonts w:ascii="Times New Roman" w:hAnsi="Times New Roman" w:cs="Times New Roman" w:eastAsia="Times New Roman"/>
          <w:b/>
          <w:sz w:val="24"/>
        </w:rPr>
        <w:t>Blocco secondo — La residentura di Dresda nei fondi Stasi del Bundesarchiv.</w:t>
      </w:r>
      <w:r>
        <w:rPr>
          <w:rFonts w:ascii="Times New Roman" w:hAnsi="Times New Roman" w:cs="Times New Roman" w:eastAsia="Times New Roman"/>
          <w:b w:val="0"/>
          <w:sz w:val="24"/>
        </w:rPr>
        <w:t xml:space="preserve"> L'archivio dei documenti della Stasi, oggi parte del Bundesarchiv ed elencato fra gli archivi online del corpus, conserva centinaia di pagine di corrispondenza fra la Stasi e il KGB di Dresda fra il millenovecentottantaquattro e il millenovecentonovanta. Ne emerge un Putin membro giovane di una squadra di dieci-quindici agenti, dedito a collazione, collegamento e risposta alle richieste di Mosca piu' che al reclutamento diretto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E' la fotografia documentale che ridimensiona la leggenda operativa.</w:t>
      </w:r>
    </w:p>
    <w:p>
      <w:pPr>
        <w:spacing w:line="276" w:lineRule="auto" w:before="0" w:after="0"/>
        <w:ind w:firstLine="425"/>
        <w:jc w:val="both"/>
      </w:pPr>
      <w:r>
        <w:rPr>
          <w:rFonts w:ascii="Times New Roman" w:hAnsi="Times New Roman" w:cs="Times New Roman" w:eastAsia="Times New Roman"/>
          <w:b/>
          <w:sz w:val="24"/>
        </w:rPr>
        <w:t>Blocco terzo — La tessera Stasi del millenovecentottantasei.</w:t>
      </w:r>
      <w:r>
        <w:rPr>
          <w:rFonts w:ascii="Times New Roman" w:hAnsi="Times New Roman" w:cs="Times New Roman" w:eastAsia="Times New Roman"/>
          <w:b w:val="0"/>
          <w:sz w:val="24"/>
        </w:rPr>
        <w:t xml:space="preserve"> La tessera d'accesso di cui tanto si e' scritto fu rilasciata nel millenovecentottantasei; e l'autorita' d'archivio tedesca, la cui ricostruzione e' ripresa nelle fonti gia' censite, precisa che era prassi per gli agenti del KGB di stanza nella Germania orientale e che non esiste prova che Putin lavorasse per la Stasi </w:t>
      </w:r>
      <w:r>
        <w:rPr>
          <w:rFonts w:ascii="Times New Roman" w:hAnsi="Times New Roman" w:cs="Times New Roman" w:eastAsia="Times New Roman"/>
          <w:b/>
          <w:sz w:val="24"/>
        </w:rPr>
        <w:t>(Livello A, con la precisazione dichiarata contro la 'sensazione stampa')</w:t>
      </w:r>
      <w:r>
        <w:rPr>
          <w:rFonts w:ascii="Times New Roman" w:hAnsi="Times New Roman" w:cs="Times New Roman" w:eastAsia="Times New Roman"/>
          <w:b w:val="0"/>
          <w:sz w:val="24"/>
        </w:rPr>
        <w:t>. E' l'esempio-tipo della distinzione fra il fatto e la sua lettura clamorosa.</w:t>
      </w:r>
    </w:p>
    <w:p>
      <w:pPr>
        <w:spacing w:line="276" w:lineRule="auto" w:before="0" w:after="0"/>
        <w:ind w:firstLine="425"/>
        <w:jc w:val="both"/>
      </w:pPr>
      <w:r>
        <w:rPr>
          <w:rFonts w:ascii="Times New Roman" w:hAnsi="Times New Roman" w:cs="Times New Roman" w:eastAsia="Times New Roman"/>
          <w:b/>
          <w:sz w:val="24"/>
        </w:rPr>
        <w:t>Blocco quarto — L'episodio del marzo millenovecentottantanove.</w:t>
      </w:r>
      <w:r>
        <w:rPr>
          <w:rFonts w:ascii="Times New Roman" w:hAnsi="Times New Roman" w:cs="Times New Roman" w:eastAsia="Times New Roman"/>
          <w:b w:val="0"/>
          <w:sz w:val="24"/>
        </w:rPr>
        <w:t xml:space="preserve"> Nei fondi Stasi c'e' un solo caso documentato in cui Putin scrisse di persona al capo della Stasi locale: riguardava un informatore del KGB, impiegato nel commercio all'ingrosso di Stato, cui era stata tagliata per errore la linea telefonica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E' un dettaglio prezioso proprio per la sua modestia: l'ufficiale che scrive al servizio alleato non per una grande operazione, ma per far riattaccare un telefono, e' il ritratto piu' veridico della sua Dresda.</w:t>
      </w:r>
    </w:p>
    <w:p>
      <w:pPr>
        <w:spacing w:line="276" w:lineRule="auto" w:before="0" w:after="0"/>
        <w:ind w:firstLine="425"/>
        <w:jc w:val="both"/>
      </w:pPr>
      <w:r>
        <w:rPr>
          <w:rFonts w:ascii="Times New Roman" w:hAnsi="Times New Roman" w:cs="Times New Roman" w:eastAsia="Times New Roman"/>
          <w:b/>
          <w:sz w:val="24"/>
        </w:rPr>
        <w:t>Blocco quinto — La medaglia dell'Esercito popolare del febbraio millenovecentottantotto.</w:t>
      </w:r>
      <w:r>
        <w:rPr>
          <w:rFonts w:ascii="Times New Roman" w:hAnsi="Times New Roman" w:cs="Times New Roman" w:eastAsia="Times New Roman"/>
          <w:b w:val="0"/>
          <w:sz w:val="24"/>
        </w:rPr>
        <w:t xml:space="preserve"> Le stesse carte attestano che nel febbraio del millenovecentottantotto il capo della Stasi Erich Mielke firmo' il decreto che assegnava a Putin una medaglia di bronzo al merito dell'Esercito popolare nazionale </w:t>
      </w:r>
      <w:r>
        <w:rPr>
          <w:rFonts w:ascii="Times New Roman" w:hAnsi="Times New Roman" w:cs="Times New Roman" w:eastAsia="Times New Roman"/>
          <w:b/>
          <w:sz w:val="24"/>
        </w:rPr>
        <w:t>(Livello A)</w:t>
      </w:r>
      <w:r>
        <w:rPr>
          <w:rFonts w:ascii="Times New Roman" w:hAnsi="Times New Roman" w:cs="Times New Roman" w:eastAsia="Times New Roman"/>
          <w:b w:val="0"/>
          <w:sz w:val="24"/>
        </w:rPr>
        <w:t>. E' un riconoscimento ordinario di servizio, non l'indice di un'impresa: va registrato per quello che e', un timbro di routine nella carriera di un funzionario diligente.</w:t>
      </w:r>
    </w:p>
    <w:p>
      <w:pPr>
        <w:spacing w:line="276" w:lineRule="auto" w:before="0" w:after="0"/>
        <w:ind w:firstLine="425"/>
        <w:jc w:val="both"/>
      </w:pPr>
      <w:r>
        <w:rPr>
          <w:rFonts w:ascii="Times New Roman" w:hAnsi="Times New Roman" w:cs="Times New Roman" w:eastAsia="Times New Roman"/>
          <w:b/>
          <w:sz w:val="24"/>
        </w:rPr>
        <w:t>Blocco sesto — La 'guerra segreta per la Germania' nel National Security Archive.</w:t>
      </w:r>
      <w:r>
        <w:rPr>
          <w:rFonts w:ascii="Times New Roman" w:hAnsi="Times New Roman" w:cs="Times New Roman" w:eastAsia="Times New Roman"/>
          <w:b w:val="0"/>
          <w:sz w:val="24"/>
        </w:rPr>
        <w:t xml:space="preserve"> Fra gli archivi in lista, il National Security Archive documenta l'azione coperta della Central Intelligence Agency a Berlino nel cuore della guerra fredda: e' il campo avverso in cui la residentura di Putin operava </w:t>
      </w:r>
      <w:r>
        <w:rPr>
          <w:rFonts w:ascii="Times New Roman" w:hAnsi="Times New Roman" w:cs="Times New Roman" w:eastAsia="Times New Roman"/>
          <w:b/>
          <w:sz w:val="24"/>
        </w:rPr>
        <w:t>(Livello B, come contesto)</w:t>
      </w:r>
      <w:r>
        <w:rPr>
          <w:rFonts w:ascii="Times New Roman" w:hAnsi="Times New Roman" w:cs="Times New Roman" w:eastAsia="Times New Roman"/>
          <w:b w:val="0"/>
          <w:sz w:val="24"/>
        </w:rPr>
        <w:t>. Registrarlo serve a collocare Dresda nel suo teatro reale, senza pero' inferirne un nesso diretto con Putin: il contesto illumina, non prova.</w:t>
      </w:r>
    </w:p>
    <w:p>
      <w:pPr>
        <w:spacing w:line="276" w:lineRule="auto" w:before="0" w:after="0"/>
        <w:ind w:firstLine="425"/>
        <w:jc w:val="both"/>
      </w:pPr>
      <w:r>
        <w:rPr>
          <w:rFonts w:ascii="Times New Roman" w:hAnsi="Times New Roman" w:cs="Times New Roman" w:eastAsia="Times New Roman"/>
          <w:b/>
          <w:sz w:val="24"/>
        </w:rPr>
        <w:t>Blocco settimo — La Central Intelligence Agency legge «dal KGB al Cremlino».</w:t>
      </w:r>
      <w:r>
        <w:rPr>
          <w:rFonts w:ascii="Times New Roman" w:hAnsi="Times New Roman" w:cs="Times New Roman" w:eastAsia="Times New Roman"/>
          <w:b w:val="0"/>
          <w:sz w:val="24"/>
        </w:rPr>
        <w:t xml:space="preserve"> La sala di lettura della Central Intelligence Agency, dominio gia' censito nel corpus, ospita fra gli Studies in Intelligence una recensione del volume di Catherine Belton sulla ripresa del potere da parte degli uomini del KGB </w:t>
      </w:r>
      <w:r>
        <w:rPr>
          <w:rFonts w:ascii="Times New Roman" w:hAnsi="Times New Roman" w:cs="Times New Roman" w:eastAsia="Times New Roman"/>
          <w:b/>
          <w:sz w:val="24"/>
        </w:rPr>
        <w:t>(Livello B, storiografia d'intelligence)</w:t>
      </w:r>
      <w:r>
        <w:rPr>
          <w:rFonts w:ascii="Times New Roman" w:hAnsi="Times New Roman" w:cs="Times New Roman" w:eastAsia="Times New Roman"/>
          <w:b w:val="0"/>
          <w:sz w:val="24"/>
        </w:rPr>
        <w:t>. E' una fonte da citare per il suo statuto — analisi, non accertamento — e da usare come specchio del modo in cui l'intelligence occidentale inquadra la parabola che questa sessione documenta.</w:t>
      </w:r>
    </w:p>
    <w:p>
      <w:pPr>
        <w:spacing w:line="276" w:lineRule="auto" w:before="0" w:after="0"/>
        <w:ind w:firstLine="425"/>
        <w:jc w:val="both"/>
      </w:pPr>
      <w:r>
        <w:rPr>
          <w:rFonts w:ascii="Times New Roman" w:hAnsi="Times New Roman" w:cs="Times New Roman" w:eastAsia="Times New Roman"/>
          <w:b/>
          <w:sz w:val="24"/>
        </w:rPr>
        <w:t>Blocco ottavo — «Mosca tace» nella cronologia dell'Ufficio dello storico.</w:t>
      </w:r>
      <w:r>
        <w:rPr>
          <w:rFonts w:ascii="Times New Roman" w:hAnsi="Times New Roman" w:cs="Times New Roman" w:eastAsia="Times New Roman"/>
          <w:b w:val="0"/>
          <w:sz w:val="24"/>
        </w:rPr>
        <w:t xml:space="preserve"> L'Ufficio dello storico del Dipartimento di Stato, archivio in lista, fissa la cornice del trauma di Dresda: la caduta del Muro il nove novembre del millenovecentottantanove e la dissoluzione dell'Unione Sovietica il venticinque dicembre del millenovecentonovantuno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E' in quella cornice che va letto il «Mosca tace» raccontato da Putin: il silenzio del centro era il collasso dello Stato, non un aneddoto personale.</w:t>
      </w:r>
    </w:p>
    <w:p>
      <w:pPr>
        <w:spacing w:line="276" w:lineRule="auto" w:before="0" w:after="0"/>
        <w:ind w:firstLine="425"/>
        <w:jc w:val="both"/>
      </w:pPr>
      <w:r>
        <w:rPr>
          <w:rFonts w:ascii="Times New Roman" w:hAnsi="Times New Roman" w:cs="Times New Roman" w:eastAsia="Times New Roman"/>
          <w:b/>
          <w:sz w:val="24"/>
        </w:rPr>
        <w:t>Blocco nono — Il Trattato Due-piu'-Quattro.</w:t>
      </w:r>
      <w:r>
        <w:rPr>
          <w:rFonts w:ascii="Times New Roman" w:hAnsi="Times New Roman" w:cs="Times New Roman" w:eastAsia="Times New Roman"/>
          <w:b w:val="0"/>
          <w:sz w:val="24"/>
        </w:rPr>
        <w:t xml:space="preserve"> Sempre il National Security Archive, con l'archivio digitale del Wilson Center, conserva il testo e il verbale del Trattato sulla sistemazione definitiva della Germania, firmato a Mosca il dodici settembre del millenovecentonovanta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E' l'atto giuridico che smantello' il mondo che Putin aveva servito: la fine della Germania orientale e il ritiro dell'Armata Rossa. Il funzionario che a Dresda bruciava le carte stava assistendo, dal basso, alla firma di questo trattato.</w:t>
      </w:r>
    </w:p>
    <w:p>
      <w:pPr>
        <w:spacing w:line="276" w:lineRule="auto" w:before="0" w:after="0"/>
        <w:ind w:firstLine="425"/>
        <w:jc w:val="both"/>
      </w:pPr>
      <w:r>
        <w:rPr>
          <w:rFonts w:ascii="Times New Roman" w:hAnsi="Times New Roman" w:cs="Times New Roman" w:eastAsia="Times New Roman"/>
          <w:b/>
          <w:sz w:val="24"/>
        </w:rPr>
        <w:t>Blocco decimo — Il vertice di Malta.</w:t>
      </w:r>
      <w:r>
        <w:rPr>
          <w:rFonts w:ascii="Times New Roman" w:hAnsi="Times New Roman" w:cs="Times New Roman" w:eastAsia="Times New Roman"/>
          <w:b w:val="0"/>
          <w:sz w:val="24"/>
        </w:rPr>
        <w:t xml:space="preserve"> L'archivio del Wilson Center documenta l'incontro fra Bush e Gorbaciov al largo di Malta, nel dicembre del millenovecentottantanove, che segno' la svolta delle relazioni fra le superpotenze </w:t>
      </w:r>
      <w:r>
        <w:rPr>
          <w:rFonts w:ascii="Times New Roman" w:hAnsi="Times New Roman" w:cs="Times New Roman" w:eastAsia="Times New Roman"/>
          <w:b/>
          <w:sz w:val="24"/>
        </w:rPr>
        <w:t>(Livello A)</w:t>
      </w:r>
      <w:r>
        <w:rPr>
          <w:rFonts w:ascii="Times New Roman" w:hAnsi="Times New Roman" w:cs="Times New Roman" w:eastAsia="Times New Roman"/>
          <w:b w:val="0"/>
          <w:sz w:val="24"/>
        </w:rPr>
        <w:t>. E' il contesto immediato del crollo vissuto a Dresda: mentre i leader trattavano la fine della guerra fredda, l'ufficiale della residentura ne subiva le onde d'urto sulla soglia della propria sede.</w:t>
      </w:r>
    </w:p>
    <w:p>
      <w:pPr>
        <w:spacing w:line="276" w:lineRule="auto" w:before="0" w:after="0"/>
        <w:ind w:firstLine="425"/>
        <w:jc w:val="both"/>
      </w:pPr>
      <w:r>
        <w:rPr>
          <w:rFonts w:ascii="Times New Roman" w:hAnsi="Times New Roman" w:cs="Times New Roman" w:eastAsia="Times New Roman"/>
          <w:b/>
          <w:sz w:val="24"/>
        </w:rPr>
        <w:t>Blocco undicesimo — La commissione Salye nei documenti primari dell'archivio universitario.</w:t>
      </w:r>
      <w:r>
        <w:rPr>
          <w:rFonts w:ascii="Times New Roman" w:hAnsi="Times New Roman" w:cs="Times New Roman" w:eastAsia="Times New Roman"/>
          <w:b w:val="0"/>
          <w:sz w:val="24"/>
        </w:rPr>
        <w:t xml:space="preserve"> Il centro universitario che nel corpus conserva i documenti della commissione Salye ne attesta le risultanze: contratti mal redatti, commissioni enormi, penali assenti, imprese svanite dopo l'incasso. Ma il rapporto contesto' a Putin e al suo vice un difetto di controllo, non una corruzione personale, e chiese al sindaco di rimuoverli, senza che alcun procedimento seguisse </w:t>
      </w:r>
      <w:r>
        <w:rPr>
          <w:rFonts w:ascii="Times New Roman" w:hAnsi="Times New Roman" w:cs="Times New Roman" w:eastAsia="Times New Roman"/>
          <w:b/>
          <w:sz w:val="24"/>
        </w:rPr>
        <w:t>(Livello B, fragilita')</w:t>
      </w:r>
      <w:r>
        <w:rPr>
          <w:rFonts w:ascii="Times New Roman" w:hAnsi="Times New Roman" w:cs="Times New Roman" w:eastAsia="Times New Roman"/>
          <w:b w:val="0"/>
          <w:sz w:val="24"/>
        </w:rPr>
        <w:t>. E' l'ombra piu' documentata, tenuta al suo grado esatto.</w:t>
      </w:r>
    </w:p>
    <w:p>
      <w:pPr>
        <w:spacing w:line="276" w:lineRule="auto" w:before="0" w:after="0"/>
        <w:ind w:firstLine="425"/>
        <w:jc w:val="both"/>
      </w:pPr>
      <w:r>
        <w:rPr>
          <w:rFonts w:ascii="Times New Roman" w:hAnsi="Times New Roman" w:cs="Times New Roman" w:eastAsia="Times New Roman"/>
          <w:b/>
          <w:sz w:val="24"/>
        </w:rPr>
        <w:t>Blocco dodicesimo — Le licenze, Gaidar e l'affare dei cento milioni.</w:t>
      </w:r>
      <w:r>
        <w:rPr>
          <w:rFonts w:ascii="Times New Roman" w:hAnsi="Times New Roman" w:cs="Times New Roman" w:eastAsia="Times New Roman"/>
          <w:b w:val="0"/>
          <w:sz w:val="24"/>
        </w:rPr>
        <w:t xml:space="preserve"> Le testate d'inchiesta gia' censite ricostruiscono lo schema: Putin ottenne dal governo il diritto di rilasciare licenze d'esportazione, e con quel potere furono esportati metalli delle terre rare, prodotti petroliferi e altre materie prime per oltre cento milioni in cambio di viveri che non arrivarono mai; le societa' beneficiarie sparirono </w:t>
      </w:r>
      <w:r>
        <w:rPr>
          <w:rFonts w:ascii="Times New Roman" w:hAnsi="Times New Roman" w:cs="Times New Roman" w:eastAsia="Times New Roman"/>
          <w:b/>
          <w:sz w:val="24"/>
        </w:rPr>
        <w:t>(Livello A per i fatti)</w:t>
      </w:r>
      <w:r>
        <w:rPr>
          <w:rFonts w:ascii="Times New Roman" w:hAnsi="Times New Roman" w:cs="Times New Roman" w:eastAsia="Times New Roman"/>
          <w:b w:val="0"/>
          <w:sz w:val="24"/>
        </w:rPr>
        <w:t>. E' il precedente lontano del filone cleptocratico che il nodo-hub presuppone.</w:t>
      </w:r>
    </w:p>
    <w:p>
      <w:pPr>
        <w:spacing w:line="276" w:lineRule="auto" w:before="0" w:after="0"/>
        <w:ind w:firstLine="425"/>
        <w:jc w:val="both"/>
      </w:pPr>
      <w:r>
        <w:rPr>
          <w:rFonts w:ascii="Times New Roman" w:hAnsi="Times New Roman" w:cs="Times New Roman" w:eastAsia="Times New Roman"/>
          <w:b/>
          <w:sz w:val="24"/>
        </w:rPr>
        <w:t>Blocco tredicesimo — La banca Rossiya e la SPAG, al grado dell'indagine.</w:t>
      </w:r>
      <w:r>
        <w:rPr>
          <w:rFonts w:ascii="Times New Roman" w:hAnsi="Times New Roman" w:cs="Times New Roman" w:eastAsia="Times New Roman"/>
          <w:b w:val="0"/>
          <w:sz w:val="24"/>
        </w:rPr>
        <w:t xml:space="preserve"> I domini gia' censiti collocano la fondazione della banca Rossiya nel millenovecentonovanta e ne fanno il perno finanziario della futura cerchia; la societa' immobiliare SPAG, nel cui comitato consultivo Putin figurava, fu oggetto di un'indagine del servizio informativo tedesco per riciclaggio a favore di criminali russi e colombiani. Sono allegazioni al grado dell'indagine </w:t>
      </w:r>
      <w:r>
        <w:rPr>
          <w:rFonts w:ascii="Times New Roman" w:hAnsi="Times New Roman" w:cs="Times New Roman" w:eastAsia="Times New Roman"/>
          <w:b/>
          <w:sz w:val="24"/>
        </w:rPr>
        <w:t>(Livello C)</w:t>
      </w:r>
      <w:r>
        <w:rPr>
          <w:rFonts w:ascii="Times New Roman" w:hAnsi="Times New Roman" w:cs="Times New Roman" w:eastAsia="Times New Roman"/>
          <w:b w:val="0"/>
          <w:sz w:val="24"/>
        </w:rPr>
        <w:t>: nessuna ha prodotto una condanna di Putin, e come tali vanno riferite.</w:t>
      </w:r>
    </w:p>
    <w:p>
      <w:pPr>
        <w:spacing w:line="276" w:lineRule="auto" w:before="0" w:after="0"/>
        <w:ind w:firstLine="425"/>
        <w:jc w:val="both"/>
      </w:pPr>
      <w:r>
        <w:rPr>
          <w:rFonts w:ascii="Times New Roman" w:hAnsi="Times New Roman" w:cs="Times New Roman" w:eastAsia="Times New Roman"/>
          <w:b/>
          <w:sz w:val="24"/>
        </w:rPr>
        <w:t>Blocco quattordicesimo — Ozero, Tambov e la criminalita', al grado dell'indagine.</w:t>
      </w:r>
      <w:r>
        <w:rPr>
          <w:rFonts w:ascii="Times New Roman" w:hAnsi="Times New Roman" w:cs="Times New Roman" w:eastAsia="Times New Roman"/>
          <w:b w:val="0"/>
          <w:sz w:val="24"/>
        </w:rPr>
        <w:t xml:space="preserve"> La storiografia critica gia' presente nel corpus — l'opera di Karen Dawisha, la lettura di Anne Applebaum — sostiene che Putin sia stato un raccordo fra l'amministrazione e il sottobosco criminale, e che la sicurezza della cooperativa di dacie Ozero sarebbe stata affidata a una societa' della banda di Tambov di Vladimir Kumarin </w:t>
      </w:r>
      <w:r>
        <w:rPr>
          <w:rFonts w:ascii="Times New Roman" w:hAnsi="Times New Roman" w:cs="Times New Roman" w:eastAsia="Times New Roman"/>
          <w:b/>
          <w:sz w:val="24"/>
        </w:rPr>
        <w:t>(Livello C, tesi storiografica)</w:t>
      </w:r>
      <w:r>
        <w:rPr>
          <w:rFonts w:ascii="Times New Roman" w:hAnsi="Times New Roman" w:cs="Times New Roman" w:eastAsia="Times New Roman"/>
          <w:b w:val="0"/>
          <w:sz w:val="24"/>
        </w:rPr>
        <w:t>. La banda di Tambov domino' effettivamente il crimine cittadino: e' il contesto, non la prova di un nesso operativo.</w:t>
      </w:r>
    </w:p>
    <w:p>
      <w:pPr>
        <w:spacing w:line="276" w:lineRule="auto" w:before="0" w:after="0"/>
        <w:ind w:firstLine="425"/>
        <w:jc w:val="both"/>
      </w:pPr>
      <w:r>
        <w:rPr>
          <w:rFonts w:ascii="Times New Roman" w:hAnsi="Times New Roman" w:cs="Times New Roman" w:eastAsia="Times New Roman"/>
          <w:b/>
          <w:sz w:val="24"/>
        </w:rPr>
        <w:t>Blocco quindicesimo — La caduta di Sobchak e il trasferimento a Mosca.</w:t>
      </w:r>
      <w:r>
        <w:rPr>
          <w:rFonts w:ascii="Times New Roman" w:hAnsi="Times New Roman" w:cs="Times New Roman" w:eastAsia="Times New Roman"/>
          <w:b w:val="0"/>
          <w:sz w:val="24"/>
        </w:rPr>
        <w:t xml:space="preserve"> La biografia ufficiale del Cremlino, dominio censito e usato in modo bilanciato, colloca nell'agosto del millenovecentonovantasei — dopo la sconfitta elettorale di Sobchak — l'arrivo di Putin a Mosca come vice capo della Direzione affari patrimoniali della Presidenza, con la gestione della proprieta' estera dello Stato e il trasferimento degli attivi sovietici e del Partito alla Federazione </w:t>
      </w:r>
      <w:r>
        <w:rPr>
          <w:rFonts w:ascii="Times New Roman" w:hAnsi="Times New Roman" w:cs="Times New Roman" w:eastAsia="Times New Roman"/>
          <w:b/>
          <w:sz w:val="24"/>
        </w:rPr>
        <w:t>(Livello A)</w:t>
      </w:r>
      <w:r>
        <w:rPr>
          <w:rFonts w:ascii="Times New Roman" w:hAnsi="Times New Roman" w:cs="Times New Roman" w:eastAsia="Times New Roman"/>
          <w:b w:val="0"/>
          <w:sz w:val="24"/>
        </w:rPr>
        <w:t>. E' la porta d'ingresso al potere federale.</w:t>
      </w:r>
    </w:p>
    <w:p>
      <w:pPr>
        <w:spacing w:line="276" w:lineRule="auto" w:before="0" w:after="0"/>
        <w:ind w:firstLine="425"/>
        <w:jc w:val="both"/>
      </w:pPr>
      <w:r>
        <w:rPr>
          <w:rFonts w:ascii="Times New Roman" w:hAnsi="Times New Roman" w:cs="Times New Roman" w:eastAsia="Times New Roman"/>
          <w:b/>
          <w:sz w:val="24"/>
        </w:rPr>
        <w:t>Blocco sedicesimo — La Direzione controllo e l'amministrazione presidenziale.</w:t>
      </w:r>
      <w:r>
        <w:rPr>
          <w:rFonts w:ascii="Times New Roman" w:hAnsi="Times New Roman" w:cs="Times New Roman" w:eastAsia="Times New Roman"/>
          <w:b w:val="0"/>
          <w:sz w:val="24"/>
        </w:rPr>
        <w:t xml:space="preserve"> Nel marzo del millenovecentonovantasette Putin divenne vice capo dell'ufficio esecutivo della Presidenza e capo della Direzione centrale di controllo e ispezione </w:t>
      </w:r>
      <w:r>
        <w:rPr>
          <w:rFonts w:ascii="Times New Roman" w:hAnsi="Times New Roman" w:cs="Times New Roman" w:eastAsia="Times New Roman"/>
          <w:b/>
          <w:sz w:val="24"/>
        </w:rPr>
        <w:t>(Livello A)</w:t>
      </w:r>
      <w:r>
        <w:rPr>
          <w:rFonts w:ascii="Times New Roman" w:hAnsi="Times New Roman" w:cs="Times New Roman" w:eastAsia="Times New Roman"/>
          <w:b w:val="0"/>
          <w:sz w:val="24"/>
        </w:rPr>
        <w:t>. E' la posizione da cui, sorvegliando l'apparato, costruì la rete di relazioni che di li' a poco lo avrebbe portato al vertice dei servizi.</w:t>
      </w:r>
    </w:p>
    <w:p>
      <w:pPr>
        <w:spacing w:line="276" w:lineRule="auto" w:before="0" w:after="0"/>
        <w:ind w:firstLine="425"/>
        <w:jc w:val="both"/>
      </w:pPr>
      <w:r>
        <w:rPr>
          <w:rFonts w:ascii="Times New Roman" w:hAnsi="Times New Roman" w:cs="Times New Roman" w:eastAsia="Times New Roman"/>
          <w:b/>
          <w:sz w:val="24"/>
        </w:rPr>
        <w:t>Blocco diciassettesimo — Direttore dell'FSB.</w:t>
      </w:r>
      <w:r>
        <w:rPr>
          <w:rFonts w:ascii="Times New Roman" w:hAnsi="Times New Roman" w:cs="Times New Roman" w:eastAsia="Times New Roman"/>
          <w:b w:val="0"/>
          <w:sz w:val="24"/>
        </w:rPr>
        <w:t xml:space="preserve"> Nel millenovecentonovantotto Boris Eltsin lo nomino' direttore dell'FSB, l'erede del KGB; Putin ne riorganizzo' e rafforzo' l'apparato dopo il decennio di declino post-sovietico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E' il ritorno, da capo, nella casa da cui era partito: il cerchio biografico che dai servizi torna ai servizi.</w:t>
      </w:r>
    </w:p>
    <w:p>
      <w:pPr>
        <w:spacing w:line="276" w:lineRule="auto" w:before="0" w:after="0"/>
        <w:ind w:firstLine="425"/>
        <w:jc w:val="both"/>
      </w:pPr>
      <w:r>
        <w:rPr>
          <w:rFonts w:ascii="Times New Roman" w:hAnsi="Times New Roman" w:cs="Times New Roman" w:eastAsia="Times New Roman"/>
          <w:b/>
          <w:sz w:val="24"/>
        </w:rPr>
        <w:t>Blocco diciottesimo — Premier, erede di Eltsin, presidente ad interim.</w:t>
      </w:r>
      <w:r>
        <w:rPr>
          <w:rFonts w:ascii="Times New Roman" w:hAnsi="Times New Roman" w:cs="Times New Roman" w:eastAsia="Times New Roman"/>
          <w:b w:val="0"/>
          <w:sz w:val="24"/>
        </w:rPr>
        <w:t xml:space="preserve"> Nel millenovecentonovantanove fu nominato primo ministro; il trentuno dicembre, con le dimissioni di Eltsin, divenne presidente facente funzioni, ed eletto nel duemila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La successione fu, secondo le fonti gia' censite, la scelta di un erede da parte di un potere declinante: e' la chiusura della parabola che dalla stanza in coabitazione arriva al Cremlino.</w:t>
      </w:r>
    </w:p>
    <w:p>
      <w:pPr>
        <w:spacing w:line="276" w:lineRule="auto" w:before="0" w:after="0"/>
        <w:ind w:firstLine="425"/>
        <w:jc w:val="both"/>
      </w:pPr>
      <w:r>
        <w:rPr>
          <w:rFonts w:ascii="Times New Roman" w:hAnsi="Times New Roman" w:cs="Times New Roman" w:eastAsia="Times New Roman"/>
          <w:b/>
          <w:sz w:val="24"/>
        </w:rPr>
        <w:t>Blocco diciannovesimo — Il pivot MENATEP e Yukos.</w:t>
      </w:r>
      <w:r>
        <w:rPr>
          <w:rFonts w:ascii="Times New Roman" w:hAnsi="Times New Roman" w:cs="Times New Roman" w:eastAsia="Times New Roman"/>
          <w:b w:val="0"/>
          <w:sz w:val="24"/>
        </w:rPr>
        <w:t xml:space="preserve"> Il repertorio della sessione deposita gia' il nodo dell'espropriazione di Yukos e dell'arresto di Khodorkovsky, con il lodo dell'Aja: il pivot che chiude l'arco russo e salda la biografia del potere alla catena finanziaria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Qui la nota non ricrea il nodo, ma lo aggancia alla spina biografica, mostrando come l'uomo dei servizi diventi l'artefice della concentrazione economica.</w:t>
      </w:r>
    </w:p>
    <w:p>
      <w:pPr>
        <w:spacing w:line="276" w:lineRule="auto" w:before="0" w:after="0"/>
        <w:ind w:firstLine="425"/>
        <w:jc w:val="both"/>
      </w:pPr>
      <w:r>
        <w:rPr>
          <w:rFonts w:ascii="Times New Roman" w:hAnsi="Times New Roman" w:cs="Times New Roman" w:eastAsia="Times New Roman"/>
          <w:b/>
          <w:sz w:val="24"/>
        </w:rPr>
        <w:t>Blocco ventesimo — Il gas come arma e la guerra cognitiva fino all'Italia.</w:t>
      </w:r>
      <w:r>
        <w:rPr>
          <w:rFonts w:ascii="Times New Roman" w:hAnsi="Times New Roman" w:cs="Times New Roman" w:eastAsia="Times New Roman"/>
          <w:b w:val="0"/>
          <w:sz w:val="24"/>
        </w:rPr>
        <w:t xml:space="preserve"> L'ultimo blocco richiama i nodi gia' depositati nel repertorio: il monopolio del gas con Gazprom e l'intermediazione di RosUkrEnergo, e le tre generazioni della disinformazione — la fabbrica dei troll, Doppelganger, l'operazione Tenet — fino alla proiezione in Italia con l'associazione Lombardia-Russia e l'affare Metropol </w:t>
      </w:r>
      <w:r>
        <w:rPr>
          <w:rFonts w:ascii="Times New Roman" w:hAnsi="Times New Roman" w:cs="Times New Roman" w:eastAsia="Times New Roman"/>
          <w:b/>
          <w:sz w:val="24"/>
        </w:rPr>
        <w:t>(Livello A per i fatti energetici e d'interferenza; Livello B per i nessi contestati)</w:t>
      </w:r>
      <w:r>
        <w:rPr>
          <w:rFonts w:ascii="Times New Roman" w:hAnsi="Times New Roman" w:cs="Times New Roman" w:eastAsia="Times New Roman"/>
          <w:b w:val="0"/>
          <w:sz w:val="24"/>
        </w:rPr>
        <w:t>. E' la convergenza finale sul nodo-hub, gia' triangolata, che questa nota certifica come radicata nella biografia qui riletta.</w:t>
      </w:r>
    </w:p>
    <w:p>
      <w:pPr>
        <w:spacing w:line="276" w:lineRule="auto" w:before="0" w:after="0"/>
        <w:ind w:firstLine="425"/>
        <w:jc w:val="both"/>
      </w:pPr>
      <w:r>
        <w:rPr>
          <w:rFonts w:ascii="Times New Roman" w:hAnsi="Times New Roman" w:cs="Times New Roman" w:eastAsia="Times New Roman"/>
          <w:b/>
          <w:sz w:val="24"/>
        </w:rPr>
        <w:t>Esito.</w:t>
      </w:r>
      <w:r>
        <w:rPr>
          <w:rFonts w:ascii="Times New Roman" w:hAnsi="Times New Roman" w:cs="Times New Roman" w:eastAsia="Times New Roman"/>
          <w:b w:val="0"/>
          <w:sz w:val="24"/>
        </w:rPr>
        <w:t xml:space="preserve"> I venti blocchi rileggono e completano la biografia di Vladimir Putin restando dentro il perimetro richiesto: soltanto URL gia' presenti nel corpus e Archivi online in lista. La rilettura di Dresda poggia sui fondi Stasi del Bundesarchiv, sul National Security Archive, sulla Central Intelligence Agency, sull'Ufficio dello storico e sul Wilson Center; quella degli anni pietroburghesi sull'archivio universitario dei documenti Salye e sui domini d'inchiesta censiti; l'estensione fino all'ascesa e alla rete sui nodi gia' depositati nel repertorio della sessione. Lo statuto e' rispettato in ogni blocco: la tessera Stasi e' precisata contro la sensazione, la 'guerra segreta' e la recensione della Central Intelligence Agency sono contesto e storiografia, il caso Salye resta un difetto di controllo e non una condanna, e tutto il terreno di Bank Rossiya, SPAG, Tambov e Ozero e' tenuto al grado dell'indagine. E' la trentesima voce d'integrazione della sessione, e chiude l'approfondimento del nodo-hub attingendo alla sola memoria documentale gia' raccolta dall'opera.</w:t>
      </w:r>
    </w:p>
    <w:p>
      <w:pPr>
        <w:spacing w:line="276" w:lineRule="auto" w:before="0" w:after="0"/>
        <w:ind w:firstLine="425"/>
        <w:jc w:val="both"/>
      </w:pPr>
      <w:r>
        <w:rPr>
          <w:rFonts w:ascii="Times New Roman" w:hAnsi="Times New Roman" w:cs="Times New Roman" w:eastAsia="Times New Roman"/>
          <w:b/>
          <w:sz w:val="24"/>
        </w:rPr>
        <w:t>Fonti e URL</w:t>
      </w:r>
    </w:p>
    <w:p>
      <w:pPr>
        <w:spacing w:line="276" w:lineRule="auto" w:before="0" w:after="0"/>
        <w:ind w:firstLine="425"/>
        <w:jc w:val="both"/>
      </w:pPr>
      <w:r>
        <w:rPr>
          <w:rFonts w:ascii="Times New Roman" w:hAnsi="Times New Roman" w:cs="Times New Roman" w:eastAsia="Times New Roman"/>
          <w:b w:val="0"/>
          <w:sz w:val="24"/>
        </w:rPr>
        <w:t>Bundesarchiv — Stasi-Unterlagen-Archiv (Archivio online in lista, ARCHIVI_OPERATIVO) — https://www.bundesarchiv.de/en/stasi-records-archive/</w:t>
      </w:r>
    </w:p>
    <w:p>
      <w:pPr>
        <w:spacing w:line="276" w:lineRule="auto" w:before="0" w:after="0"/>
        <w:ind w:firstLine="425"/>
        <w:jc w:val="both"/>
      </w:pPr>
      <w:r>
        <w:rPr>
          <w:rFonts w:ascii="Times New Roman" w:hAnsi="Times New Roman" w:cs="Times New Roman" w:eastAsia="Times New Roman"/>
          <w:b w:val="0"/>
          <w:sz w:val="24"/>
        </w:rPr>
        <w:t>National Security Archive, GWU (Archivio in lista / URL_CENSITI) — https://nsarchive.gwu.edu/</w:t>
      </w:r>
    </w:p>
    <w:p>
      <w:pPr>
        <w:spacing w:line="276" w:lineRule="auto" w:before="0" w:after="0"/>
        <w:ind w:firstLine="425"/>
        <w:jc w:val="both"/>
      </w:pPr>
      <w:r>
        <w:rPr>
          <w:rFonts w:ascii="Times New Roman" w:hAnsi="Times New Roman" w:cs="Times New Roman" w:eastAsia="Times New Roman"/>
          <w:b w:val="0"/>
          <w:sz w:val="24"/>
        </w:rPr>
        <w:t>CIA FOIA Electronic Reading Room / Studies in Intelligence (Archivio in lista / URL_CENSITI) — https://www.cia.gov/readingroom/</w:t>
      </w:r>
    </w:p>
    <w:p>
      <w:pPr>
        <w:spacing w:line="276" w:lineRule="auto" w:before="0" w:after="0"/>
        <w:ind w:firstLine="425"/>
        <w:jc w:val="both"/>
      </w:pPr>
      <w:r>
        <w:rPr>
          <w:rFonts w:ascii="Times New Roman" w:hAnsi="Times New Roman" w:cs="Times New Roman" w:eastAsia="Times New Roman"/>
          <w:b w:val="0"/>
          <w:sz w:val="24"/>
        </w:rPr>
        <w:t>U.S. Department of State — Office of the Historian, FRUS (foia.state.gov / URL_CENSITI) — https://history.state.gov/</w:t>
      </w:r>
    </w:p>
    <w:p>
      <w:pPr>
        <w:spacing w:line="276" w:lineRule="auto" w:before="0" w:after="0"/>
        <w:ind w:firstLine="425"/>
        <w:jc w:val="both"/>
      </w:pPr>
      <w:r>
        <w:rPr>
          <w:rFonts w:ascii="Times New Roman" w:hAnsi="Times New Roman" w:cs="Times New Roman" w:eastAsia="Times New Roman"/>
          <w:b w:val="0"/>
          <w:sz w:val="24"/>
        </w:rPr>
        <w:t>Wilson Center Digital Archive — German Reunification; Malta Summit (URL_CENSITI) — https://digitalarchive.wilsoncenter.org/</w:t>
      </w:r>
    </w:p>
    <w:p>
      <w:pPr>
        <w:spacing w:line="276" w:lineRule="auto" w:before="0" w:after="0"/>
        <w:ind w:firstLine="425"/>
        <w:jc w:val="both"/>
      </w:pPr>
      <w:r>
        <w:rPr>
          <w:rFonts w:ascii="Times New Roman" w:hAnsi="Times New Roman" w:cs="Times New Roman" w:eastAsia="Times New Roman"/>
          <w:b w:val="0"/>
          <w:sz w:val="24"/>
        </w:rPr>
        <w:t>Wilson Center — Vladimir Putin's Stasi ID; Operation HORIZON (URL_CENSITI) — https://www.wilsoncenter.org/blog-post/vladimir-putins-stasi-id-press-sensation-and-its-historical-reality</w:t>
      </w:r>
    </w:p>
    <w:p>
      <w:pPr>
        <w:spacing w:line="276" w:lineRule="auto" w:before="0" w:after="0"/>
        <w:ind w:firstLine="425"/>
        <w:jc w:val="both"/>
      </w:pPr>
      <w:r>
        <w:rPr>
          <w:rFonts w:ascii="Times New Roman" w:hAnsi="Times New Roman" w:cs="Times New Roman" w:eastAsia="Times New Roman"/>
          <w:b w:val="0"/>
          <w:sz w:val="24"/>
        </w:rPr>
        <w:t>The Moscow Times — fascicolo KGB declassificato; fondi Stasi (Reuters) — https://www.themoscowtimes.com/2019/11/04/putins-kgb-declassified-record-show-that-he-was-no-high-flier-but-a-solid-b-a68024</w:t>
      </w:r>
    </w:p>
    <w:p>
      <w:pPr>
        <w:spacing w:line="276" w:lineRule="auto" w:before="0" w:after="0"/>
        <w:ind w:firstLine="425"/>
        <w:jc w:val="both"/>
      </w:pPr>
      <w:r>
        <w:rPr>
          <w:rFonts w:ascii="Times New Roman" w:hAnsi="Times New Roman" w:cs="Times New Roman" w:eastAsia="Times New Roman"/>
          <w:b w:val="0"/>
          <w:sz w:val="24"/>
        </w:rPr>
        <w:t>Havighurst Center, Miami University — Sal'ye Commission Documents (URL_CENSITI) — https://miamioh.edu/cas/centers-institutes/havighurst-center/additional-resources/putins-russia/salye-commission-documents.html</w:t>
      </w:r>
    </w:p>
    <w:p>
      <w:pPr>
        <w:spacing w:line="276" w:lineRule="auto" w:before="0" w:after="0"/>
        <w:ind w:firstLine="425"/>
        <w:jc w:val="both"/>
      </w:pPr>
      <w:r>
        <w:rPr>
          <w:rFonts w:ascii="Times New Roman" w:hAnsi="Times New Roman" w:cs="Times New Roman" w:eastAsia="Times New Roman"/>
          <w:b w:val="0"/>
          <w:sz w:val="24"/>
        </w:rPr>
        <w:t>The Bureau of Investigative Journalists — the 100 million deal (URL_CENSITI) — https://www.thebureauinvestigates.com/stories/2012-04-19/putin-and-the-100-million-deal-that-disappeared</w:t>
      </w:r>
    </w:p>
    <w:p>
      <w:pPr>
        <w:spacing w:line="276" w:lineRule="auto" w:before="0" w:after="0"/>
        <w:ind w:firstLine="425"/>
        <w:jc w:val="both"/>
      </w:pPr>
      <w:r>
        <w:rPr>
          <w:rFonts w:ascii="Times New Roman" w:hAnsi="Times New Roman" w:cs="Times New Roman" w:eastAsia="Times New Roman"/>
          <w:b w:val="0"/>
          <w:sz w:val="24"/>
        </w:rPr>
        <w:t>RFE/RL — Marina Salye (URL_CENSITI) — https://www.rferl.org/a/putin-corruption-accusation/31855104.html</w:t>
      </w:r>
    </w:p>
    <w:p>
      <w:pPr>
        <w:spacing w:line="276" w:lineRule="auto" w:before="0" w:after="0"/>
        <w:ind w:firstLine="425"/>
        <w:jc w:val="both"/>
      </w:pPr>
      <w:r>
        <w:rPr>
          <w:rFonts w:ascii="Times New Roman" w:hAnsi="Times New Roman" w:cs="Times New Roman" w:eastAsia="Times New Roman"/>
          <w:b w:val="0"/>
          <w:sz w:val="24"/>
        </w:rPr>
        <w:t>openDemocracy — Fair exchange is no robbery (URL_CENSITI) — https://www.opendemocracy.net/en/fair-exchange-is-no-robbery/</w:t>
      </w:r>
    </w:p>
    <w:p>
      <w:pPr>
        <w:spacing w:line="276" w:lineRule="auto" w:before="0" w:after="0"/>
        <w:ind w:firstLine="425"/>
        <w:jc w:val="both"/>
      </w:pPr>
      <w:r>
        <w:rPr>
          <w:rFonts w:ascii="Times New Roman" w:hAnsi="Times New Roman" w:cs="Times New Roman" w:eastAsia="Times New Roman"/>
          <w:b w:val="0"/>
          <w:sz w:val="24"/>
        </w:rPr>
        <w:t>Presidenza della Russia — biografia ufficiale, bilanciata (URL_CENSITI) — http://en.kremlin.ru/catalog/persons/54/biography</w:t>
      </w:r>
    </w:p>
    <w:p>
      <w:pPr>
        <w:spacing w:line="276" w:lineRule="auto" w:before="0" w:after="0"/>
        <w:ind w:firstLine="425"/>
        <w:jc w:val="both"/>
      </w:pPr>
      <w:r>
        <w:rPr>
          <w:rFonts w:ascii="Times New Roman" w:hAnsi="Times New Roman" w:cs="Times New Roman" w:eastAsia="Times New Roman"/>
          <w:b w:val="0"/>
          <w:sz w:val="24"/>
        </w:rPr>
        <w:t>Encyclopaedia Britannica — Vladimir Putin (URL_CENSITI) — https://www.britannica.com/biography/Vladimir-Putin</w:t>
      </w:r>
    </w:p>
    <w:p>
      <w:pPr>
        <w:spacing w:line="276" w:lineRule="auto" w:before="0" w:after="0"/>
        <w:ind w:firstLine="425"/>
        <w:jc w:val="both"/>
      </w:pPr>
      <w:r>
        <w:rPr>
          <w:rFonts w:ascii="Times New Roman" w:hAnsi="Times New Roman" w:cs="Times New Roman" w:eastAsia="Times New Roman"/>
          <w:b w:val="0"/>
          <w:sz w:val="24"/>
        </w:rPr>
        <w:t>Wikipedia — Vladimir Putin; Rossiya Bank; Marina Salye; rise to power (URL_CENSITI) — https://en.wikipedia.org/wiki/Vladimir_Putin</w:t>
      </w:r>
    </w:p>
    <w:p>
      <w:pPr>
        <w:spacing w:line="276" w:lineRule="auto" w:before="0" w:after="0"/>
        <w:ind w:firstLine="425"/>
        <w:jc w:val="both"/>
      </w:pPr>
      <w:r>
        <w:rPr>
          <w:rFonts w:ascii="Times New Roman" w:hAnsi="Times New Roman" w:cs="Times New Roman" w:eastAsia="Times New Roman"/>
          <w:b w:val="0"/>
          <w:sz w:val="24"/>
        </w:rPr>
        <w:t>Karen Dawisha — Putin's Kleptocracy; Anne Applebaum (NYRB), URL_CENSITI — https://www.nybooks.com/articles/2014/12/18/how-he-and-his-cronies-stole-russia/</w:t>
      </w:r>
    </w:p>
    <w:p>
      <w:pPr>
        <w:spacing w:line="276" w:lineRule="auto" w:before="0" w:after="0"/>
        <w:ind w:firstLine="425"/>
        <w:jc w:val="both"/>
      </w:pPr>
      <w:r>
        <w:rPr>
          <w:rFonts w:ascii="Times New Roman" w:hAnsi="Times New Roman" w:cs="Times New Roman" w:eastAsia="Times New Roman"/>
          <w:b w:val="0"/>
          <w:sz w:val="24"/>
        </w:rPr>
        <w:t>Nodi gia' depositati nel repertorio della sessione — Khodorkovsky/Yukos; gas/RosUkrEnergo; fronte D8; minaccia ibrida in Italia — repertorio/</w:t>
      </w:r>
    </w:p>
    <w:p>
      <w:pPr>
        <w:spacing w:line="276" w:lineRule="auto" w:before="0" w:after="0"/>
        <w:ind w:firstLine="425"/>
        <w:jc w:val="both"/>
      </w:pPr>
      <w:r>
        <w:rPr>
          <w:rFonts w:ascii="Times New Roman" w:hAnsi="Times New Roman" w:cs="Times New Roman" w:eastAsia="Times New Roman"/>
          <w:b w:val="0"/>
          <w:sz w:val="24"/>
        </w:rPr>
        <w:t>Quadro archivistico e censimento del corpus — repertorio/ARCHIVI_OPERATIVO.xlsx; repertorio/URL_CENSITI.xlsx</w:t>
      </w:r>
    </w:p>
    <w:p>
      <w:pPr>
        <w:spacing w:line="276" w:lineRule="auto" w:before="0" w:after="0"/>
        <w:ind w:firstLine="425"/>
        <w:jc w:val="both"/>
      </w:pPr>
      <w:r>
        <w:rPr>
          <w:rFonts w:ascii="Times New Roman" w:hAnsi="Times New Roman" w:cs="Times New Roman" w:eastAsia="Times New Roman"/>
          <w:b w:val="0"/>
          <w:sz w:val="24"/>
        </w:rPr>
        <w:t>Foglio di servizio allegato — repertorio/ITALIA_NERA_PUTIN_VENTI_BLOCCHI_ARCHIVI.xlsx</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