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Questo approfondimento segue il ramo più promettente che il nodo European Union Bank aveva aperto: quello che, attraverso la banca MENATEP, conduce al grande scandalo di riciclaggio russo passato per la Bank of New York e, di lì, alla figura del boss Semion Mogilevich e alla Solntsevskaya già verificata nella nota quarta. Ne esce una catena continua che va dal deposito digitale off-shore fino al vertice della criminalità organizzata russa, e che salda in un solo tratto il dominio finanziario e quello criminale. La disciplina probatoria resta quella dell'opera. Il lavoro è del sei agosto duemilaventisei.</w:t>
      </w:r>
    </w:p>
    <w:p>
      <w:pPr>
        <w:spacing w:line="276" w:lineRule="auto" w:before="0" w:after="0"/>
        <w:ind w:firstLine="425"/>
        <w:jc w:val="both"/>
      </w:pPr>
      <w:r>
        <w:rPr>
          <w:rFonts w:ascii="Times New Roman" w:hAnsi="Times New Roman" w:cs="Times New Roman" w:eastAsia="Times New Roman"/>
          <w:b/>
          <w:sz w:val="24"/>
        </w:rPr>
        <w:t>Lo scandalo della Bank of New York, al grado pieno.</w:t>
      </w:r>
      <w:r>
        <w:rPr>
          <w:rFonts w:ascii="Times New Roman" w:hAnsi="Times New Roman" w:cs="Times New Roman" w:eastAsia="Times New Roman"/>
          <w:b w:val="0"/>
          <w:sz w:val="24"/>
        </w:rPr>
        <w:t xml:space="preserve"> Il fatto centrale è accertato e giudicato. Fra la fine del millenovecentonovantacinque e il settembre del millenovecentonovantanove, una vicepresidente della Bank of New York, Lucy Edwards, e suo marito Peter Berlin gestirono una rete illegale di trasferimento di denaro che fece transitare oltre sette miliardi di dollari, in gran parte provenienti dalla Russia, attraverso conti della banca intestati a società di comodo come Benex; le stime complessive dell'inquinamento salirono fino a circa dieci miliardi. I due si dichiararono colpevoli di cospirazione per riciclaggio e attività bancaria illegale e furono condannati; la banca non fu incriminata, ma accettò di pagare trentotto milioni di dollari fra sanzioni e risarcimenti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È il più grande caso di riciclaggio russo mai emerso negli Stati Uniti, e la porta attraverso cui la finanza post-sovietica riversò capitali in Occidente.</w:t>
      </w:r>
    </w:p>
    <w:p>
      <w:pPr>
        <w:spacing w:line="276" w:lineRule="auto" w:before="0" w:after="0"/>
        <w:ind w:firstLine="425"/>
        <w:jc w:val="both"/>
      </w:pPr>
      <w:r>
        <w:rPr>
          <w:rFonts w:ascii="Times New Roman" w:hAnsi="Times New Roman" w:cs="Times New Roman" w:eastAsia="Times New Roman"/>
          <w:b/>
          <w:sz w:val="24"/>
        </w:rPr>
        <w:t>L'aggancio con MENATEP, e dunque con la European Union Bank.</w:t>
      </w:r>
      <w:r>
        <w:rPr>
          <w:rFonts w:ascii="Times New Roman" w:hAnsi="Times New Roman" w:cs="Times New Roman" w:eastAsia="Times New Roman"/>
          <w:b w:val="0"/>
          <w:sz w:val="24"/>
        </w:rPr>
        <w:t xml:space="preserve"> Qui si chiude il cerchio aperto dal nodo precedente. Secondo le ricostruzioni, fino al millenovecentonovantotto due banche russe — l'Inkombank e la stessa MENATEP di Khodorkovsky — presero parte allo schema che passava per la Bank of New York </w:t>
      </w:r>
      <w:r>
        <w:rPr>
          <w:rFonts w:ascii="Times New Roman" w:hAnsi="Times New Roman" w:cs="Times New Roman" w:eastAsia="Times New Roman"/>
          <w:b/>
          <w:sz w:val="24"/>
        </w:rPr>
        <w:t>(Livello B, partecipazione riferita)</w:t>
      </w:r>
      <w:r>
        <w:rPr>
          <w:rFonts w:ascii="Times New Roman" w:hAnsi="Times New Roman" w:cs="Times New Roman" w:eastAsia="Times New Roman"/>
          <w:b w:val="0"/>
          <w:sz w:val="24"/>
        </w:rPr>
        <w:t xml:space="preserve">. Poiché la European Union Bank era affiliata a MENATEP, il nodo della prima banca off-shore digitale non resta un caso isolato di frode antiguana, ma si rivela un capillare del medesimo sistema di esfiltrazione: la banca-Internet raccoglieva in anonimato, la banca madre muoveva i flussi, il canale newyorkese li riversava nel circuito legale </w:t>
      </w:r>
      <w:r>
        <w:rPr>
          <w:rFonts w:ascii="Times New Roman" w:hAnsi="Times New Roman" w:cs="Times New Roman" w:eastAsia="Times New Roman"/>
          <w:b/>
          <w:sz w:val="24"/>
        </w:rPr>
        <w:t>(arco D-sei, coerente col nodo European Union Bank)</w:t>
      </w:r>
      <w:r>
        <w:rPr>
          <w:rFonts w:ascii="Times New Roman" w:hAnsi="Times New Roman" w:cs="Times New Roman" w:eastAsia="Times New Roman"/>
          <w:b w:val="0"/>
          <w:sz w:val="24"/>
        </w:rPr>
        <w:t>. È la ragione per cui quel piccolo crollo caraibico vale più di sé stesso.</w:t>
      </w:r>
    </w:p>
    <w:p>
      <w:pPr>
        <w:spacing w:line="276" w:lineRule="auto" w:before="0" w:after="0"/>
        <w:ind w:firstLine="425"/>
        <w:jc w:val="both"/>
      </w:pPr>
      <w:r>
        <w:rPr>
          <w:rFonts w:ascii="Times New Roman" w:hAnsi="Times New Roman" w:cs="Times New Roman" w:eastAsia="Times New Roman"/>
          <w:b/>
          <w:sz w:val="24"/>
        </w:rPr>
        <w:t>Il vertice criminale: Semion Mogilevich.</w:t>
      </w:r>
      <w:r>
        <w:rPr>
          <w:rFonts w:ascii="Times New Roman" w:hAnsi="Times New Roman" w:cs="Times New Roman" w:eastAsia="Times New Roman"/>
          <w:b w:val="0"/>
          <w:sz w:val="24"/>
        </w:rPr>
        <w:t xml:space="preserve"> La catena non si ferma alle banche. Il grande scandalo newyorkese intreccia la galassia di Semion Mogilevich, boss d'origine ucraina con cittadinanza russa e ungherese, indicato dagli investigatori come uno dei criminali più potenti e sfuggenti del mondo; la sua organizzazione fu il ramo europeo della Solntsevskaya </w:t>
      </w:r>
      <w:r>
        <w:rPr>
          <w:rFonts w:ascii="Times New Roman" w:hAnsi="Times New Roman" w:cs="Times New Roman" w:eastAsia="Times New Roman"/>
          <w:b/>
          <w:sz w:val="24"/>
        </w:rPr>
        <w:t>(Livello B per il ramo; il rilievo della figura è Livello A)</w:t>
      </w:r>
      <w:r>
        <w:rPr>
          <w:rFonts w:ascii="Times New Roman" w:hAnsi="Times New Roman" w:cs="Times New Roman" w:eastAsia="Times New Roman"/>
          <w:b w:val="0"/>
          <w:sz w:val="24"/>
        </w:rPr>
        <w:t xml:space="preserve">. Di Mogilevich è pienamente documentata la frode sulla scatola quotata YBM Magnex — valutata circa un miliardo di dollari alla borsa di Toronto e svuotata dall'interno, con la perdita di oltre centocinquanta milioni per gli investitori e il clamoroso blitz dell'ufficio federale d'investigazione nel maggio del millenovecentonovantotto in Pennsylvania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Nel duemilatré fu incriminato in quello stesso Stato con quarantacinque capi d'accusa fra racket, frode e riciclaggio, e nel duemilanove entrò nella lista dei dieci più ricercati dell'ufficio federale. Va però tenuta ferma la distinzione: è un uomo incriminato e latitante, mai processato negli Stati Uniti, non un condannato </w:t>
      </w:r>
      <w:r>
        <w:rPr>
          <w:rFonts w:ascii="Times New Roman" w:hAnsi="Times New Roman" w:cs="Times New Roman" w:eastAsia="Times New Roman"/>
          <w:b/>
          <w:sz w:val="24"/>
        </w:rPr>
        <w:t>(Livello A per l'atto d'accusa; nessuna condanna)</w:t>
      </w:r>
      <w:r>
        <w:rPr>
          <w:rFonts w:ascii="Times New Roman" w:hAnsi="Times New Roman" w:cs="Times New Roman" w:eastAsia="Times New Roman"/>
          <w:b w:val="0"/>
          <w:sz w:val="24"/>
        </w:rPr>
        <w:t xml:space="preserve">. E la tesi che ne fa un protetto dei servizi va tenuta al grado più basso </w:t>
      </w:r>
      <w:r>
        <w:rPr>
          <w:rFonts w:ascii="Times New Roman" w:hAnsi="Times New Roman" w:cs="Times New Roman" w:eastAsia="Times New Roman"/>
          <w:b/>
          <w:sz w:val="24"/>
        </w:rPr>
        <w:t>(Livello C)</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La saldatura col corpus, e la catena completa.</w:t>
      </w:r>
      <w:r>
        <w:rPr>
          <w:rFonts w:ascii="Times New Roman" w:hAnsi="Times New Roman" w:cs="Times New Roman" w:eastAsia="Times New Roman"/>
          <w:b w:val="0"/>
          <w:sz w:val="24"/>
        </w:rPr>
        <w:t xml:space="preserve"> Con questo passaggio il sotto-hub si innesta su ciò che è già in casa. La Solntsevskaya di Sergej Michajlov, di cui la SMO è il ramo europeo, è stata verificata nella nota quarta e censita nell'estrazione del dominio primo: il riciclaggio della Bank of New York è dunque il versante finanziario della medesima rete criminale russa che l'opera già conosce </w:t>
      </w:r>
      <w:r>
        <w:rPr>
          <w:rFonts w:ascii="Times New Roman" w:hAnsi="Times New Roman" w:cs="Times New Roman" w:eastAsia="Times New Roman"/>
          <w:b/>
          <w:sz w:val="24"/>
        </w:rPr>
        <w:t>(arco confermato, coerente con la nota quarta)</w:t>
      </w:r>
      <w:r>
        <w:rPr>
          <w:rFonts w:ascii="Times New Roman" w:hAnsi="Times New Roman" w:cs="Times New Roman" w:eastAsia="Times New Roman"/>
          <w:b w:val="0"/>
          <w:sz w:val="24"/>
        </w:rPr>
        <w:t>. La catena, letta per intero, corre così: la banca-Internet di Antigua raccoglie in anonimato; la banca madre MENATEP e l'Inkombank muovono i capitali; il canale Edwards-Berlin li riversa attraverso la Bank of New York; sullo sfondo la galassia Mogilevich e la Solntsevskaya. È il ritratto compiuto della finanza-criminale post-sovietica dei primi anni Novanta, dal deposito digitale al boss.</w:t>
      </w:r>
    </w:p>
    <w:p>
      <w:pPr>
        <w:spacing w:line="276" w:lineRule="auto" w:before="0" w:after="0"/>
        <w:ind w:firstLine="425"/>
        <w:jc w:val="both"/>
      </w:pPr>
      <w:r>
        <w:rPr>
          <w:rFonts w:ascii="Times New Roman" w:hAnsi="Times New Roman" w:cs="Times New Roman" w:eastAsia="Times New Roman"/>
          <w:b/>
          <w:sz w:val="24"/>
        </w:rPr>
        <w:t>Verdetto.</w:t>
      </w:r>
      <w:r>
        <w:rPr>
          <w:rFonts w:ascii="Times New Roman" w:hAnsi="Times New Roman" w:cs="Times New Roman" w:eastAsia="Times New Roman"/>
          <w:b w:val="0"/>
          <w:sz w:val="24"/>
        </w:rPr>
        <w:t xml:space="preserve"> L'approfondimento nodizza undici nodi e otto archi del sotto-hub, depositati nel foglio di servizio allegato con i loro gradi. Si tiene fermo lo statuto: lo scandalo della Bank of New York, la frode YBM e l'incriminazione di Mogilevich sono al grado pieno; la partecipazione di MENATEP e dell'Inkombank e il ramo europeo della Solntsevskaya sono al grado del probabile; le tesi sull'appartenenza ai servizi e la narrazione personale di Konanykhin restano al grado più basso; e si ribadisce che l'incriminato latitante non è un condannato. Se ne certifica l'approfondimento con questo esito. È la nona voce d'integrazione della sessione, e trasforma il nodo isolato della European Union Bank in un sotto-hub connesso del corpus russo.</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1999 Bank of New York money laundering scandal (Edwards/Berlin; oltre 7 mld $; BoNY 38 mln $) — https://www.thestreet.com/investing/guilty-pleas-entered-in-bank-of-new-york-money-laundering-scheme-885312</w:t>
      </w:r>
    </w:p>
    <w:p>
      <w:pPr>
        <w:spacing w:line="276" w:lineRule="auto" w:before="0" w:after="0"/>
        <w:ind w:firstLine="425"/>
        <w:jc w:val="both"/>
      </w:pPr>
      <w:r>
        <w:rPr>
          <w:rFonts w:ascii="Times New Roman" w:hAnsi="Times New Roman" w:cs="Times New Roman" w:eastAsia="Times New Roman"/>
          <w:b w:val="0"/>
          <w:sz w:val="24"/>
        </w:rPr>
        <w:t>Center for Public Integrity — San Francisco bank linked to BoNY probe — https://publicintegrity.org/inequality-poverty-opportunity/san-francisco-bank-linked-to-laundering-probe-at-bank-of-new-york/</w:t>
      </w:r>
    </w:p>
    <w:p>
      <w:pPr>
        <w:spacing w:line="276" w:lineRule="auto" w:before="0" w:after="0"/>
        <w:ind w:firstLine="425"/>
        <w:jc w:val="both"/>
      </w:pPr>
      <w:r>
        <w:rPr>
          <w:rFonts w:ascii="Times New Roman" w:hAnsi="Times New Roman" w:cs="Times New Roman" w:eastAsia="Times New Roman"/>
          <w:b w:val="0"/>
          <w:sz w:val="24"/>
        </w:rPr>
        <w:t>Semion Mogilevich (SMO; ramo europeo Solntsevskaya; YBM Magnex; 45 capi, EDPA 2003) — https://en.wikipedia.org/wiki/Semion_Mogilevich</w:t>
      </w:r>
    </w:p>
    <w:p>
      <w:pPr>
        <w:spacing w:line="276" w:lineRule="auto" w:before="0" w:after="0"/>
        <w:ind w:firstLine="425"/>
        <w:jc w:val="both"/>
      </w:pPr>
      <w:r>
        <w:rPr>
          <w:rFonts w:ascii="Times New Roman" w:hAnsi="Times New Roman" w:cs="Times New Roman" w:eastAsia="Times New Roman"/>
          <w:b w:val="0"/>
          <w:sz w:val="24"/>
        </w:rPr>
        <w:t>U.S. Department of State — Semion Mogilevich — https://www.state.gov/semion-mogilevich</w:t>
      </w:r>
    </w:p>
    <w:p>
      <w:pPr>
        <w:spacing w:line="276" w:lineRule="auto" w:before="0" w:after="0"/>
        <w:ind w:firstLine="425"/>
        <w:jc w:val="both"/>
      </w:pPr>
      <w:r>
        <w:rPr>
          <w:rFonts w:ascii="Times New Roman" w:hAnsi="Times New Roman" w:cs="Times New Roman" w:eastAsia="Times New Roman"/>
          <w:b w:val="0"/>
          <w:sz w:val="24"/>
        </w:rPr>
        <w:t>The Globe and Mail — YBM officers pocketed millions (frode YBM Magnex) — https://www.theglobeandmail.com/report-on-business/ybm-officers-pocketed-millions-us-says/article1013860/</w:t>
      </w:r>
    </w:p>
    <w:p>
      <w:pPr>
        <w:spacing w:line="276" w:lineRule="auto" w:before="0" w:after="0"/>
        <w:ind w:firstLine="425"/>
        <w:jc w:val="both"/>
      </w:pPr>
      <w:r>
        <w:rPr>
          <w:rFonts w:ascii="Times New Roman" w:hAnsi="Times New Roman" w:cs="Times New Roman" w:eastAsia="Times New Roman"/>
          <w:b w:val="0"/>
          <w:sz w:val="24"/>
        </w:rPr>
        <w:t>Incrocio interno al corpus: nota di verifica n.4 (Solntsevskaya/Michajlov, Mogilevich, reti russe), nodo European Union Bank ed estrazione nodi D1 — corpus/diagnostica/</w:t>
      </w:r>
    </w:p>
    <w:p>
      <w:pPr>
        <w:spacing w:line="276" w:lineRule="auto" w:before="0" w:after="0"/>
        <w:ind w:firstLine="425"/>
        <w:jc w:val="both"/>
      </w:pPr>
      <w:r>
        <w:rPr>
          <w:rFonts w:ascii="Times New Roman" w:hAnsi="Times New Roman" w:cs="Times New Roman" w:eastAsia="Times New Roman"/>
          <w:b w:val="0"/>
          <w:sz w:val="24"/>
        </w:rPr>
        <w:t>Registro di servizio allegato: repertorio/ITALIA_NERA_SOTTOHUB_RICICLAGGIO_RUSSO_BONY.xlsx</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