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documento riferisce l'esito della triangolazione tra la matrice a cento blocchi sugli arsenali clandestini italiani - la voce quarantaquattro del registro - e i venticinque casi principali del corpus ITALIA NERA. Il lavoro si e' articolato in duecentocinquanta blocchi mirati, ottenuti incrociando ciascuno dei venticinque casi con dieci assi fissi di confronto: il metodo di occultamento e la logistica; il materiale bellico; la radice storica; la geografia; gli uomini, i custodi e i formatori; la regia e i patti internazionali; le code irrisolte; l'esito giudiziario secondo lo statuto Savona; il travaso o la cerniera con altri fronti; e infine il verdetto proprio del caso, cioe' se ci si trovi davanti a una convergenza di milieu o a una catena di comando. La consegna dell'autore chiedeva di fare tutto il possibile perche' emergesse una natura speculare o affine tra i sistemi: quella richiesta e' stata onorata come obbligo di profondita' e non come obbligo di esito. Si e' spinto il confronto fin dove le fonti reggono, e cio' che e' emerso e' stato dichiarato al grado che merita.</w:t>
      </w:r>
    </w:p>
    <w:p>
      <w:pPr>
        <w:spacing w:line="276" w:lineRule="auto" w:before="0" w:after="0"/>
        <w:ind w:firstLine="425"/>
        <w:jc w:val="both"/>
      </w:pPr>
      <w:r>
        <w:rPr>
          <w:rFonts w:ascii="Times New Roman" w:hAnsi="Times New Roman" w:cs="Times New Roman" w:eastAsia="Times New Roman"/>
          <w:b w:val="0"/>
          <w:sz w:val="24"/>
        </w:rPr>
        <w:t>Il vincolo sulle fonti e' stato rispettato in ogni blocco: non si e' fatto uso di Grokipedia ne' del quotidiano il manifesto, nella sua edizione cartacea come in quella in rete. Ogni blocco porta il proprio grado, secondo la scala consueta: verde per il fatto certo, giallo per il probabile, arancio per il candidato o la tesi da istruttoria, grigio per il reperto negativo o l'assenza dichiarata. Le tesi totalizzanti - la regia sovietica unica alla maniera del racconto di Claire Sterling, lo Stato stragista integrale, Putin regista di ogni cosa - restano confinate al livello arancio, dichiarate ma mai promosse.</w:t>
      </w:r>
    </w:p>
    <w:p>
      <w:pPr>
        <w:spacing w:line="276" w:lineRule="auto" w:before="0" w:after="0"/>
        <w:ind w:firstLine="425"/>
        <w:jc w:val="both"/>
      </w:pPr>
      <w:r>
        <w:rPr>
          <w:rFonts w:ascii="Times New Roman" w:hAnsi="Times New Roman" w:cs="Times New Roman" w:eastAsia="Times New Roman"/>
          <w:b w:val="0"/>
          <w:sz w:val="24"/>
        </w:rPr>
        <w:t>Il primo blocco tematico raccoglie i casi balistici gia' certificati nelle voci precedenti. L'esecuzione di Aldo Moro conferma il doppio volto dell'armamento brigatista: la Walther PPK calibro nove corto, mai ritrovata, resta un unicum senza scia, mentre la mitraglietta Skorpion viene dal mercato interno di Sanremo e non da alcun deposito di Stato. La strage di via Fani mette in scena il campionario della guerra civile - la FNAB quarantatre' di Morucci e Bonisoli, la TZ quarantacinque, la Beretta modello dodici - che spara ancora a piu' di trent'anni dalla Liberazione. Il trittico sulle pistole calibro nove corto stabilisce che quel calibro, in Italia, e' il territorio della Beretta d'ordinanza, e che la Walther di via Montalcini e' un'anomalia isolata. In tutti questi casi il verdetto e' identico: convergenza di tipologia e di mercato, mai identita' d'arma imposta da una regia.</w:t>
      </w:r>
    </w:p>
    <w:p>
      <w:pPr>
        <w:spacing w:line="276" w:lineRule="auto" w:before="0" w:after="0"/>
        <w:ind w:firstLine="425"/>
        <w:jc w:val="both"/>
      </w:pPr>
      <w:r>
        <w:rPr>
          <w:rFonts w:ascii="Times New Roman" w:hAnsi="Times New Roman" w:cs="Times New Roman" w:eastAsia="Times New Roman"/>
          <w:b w:val="0"/>
          <w:sz w:val="24"/>
        </w:rPr>
        <w:t>Il secondo blocco riguarda i grandi depositi. L'Arsenale Sardo di Lula si rivela speculare ai nascondigli di Gladio per tecnica e per luogo: la stessa Sardegna che ospitava il Centro di addestramento di Capo Marrargiu custodiva, tra il Monte Albo e il Monte Pitzinnu, il bazar internazionale delle Brigate Rosse. I nascondigli di Gladio, a loro volta, mostrano la matrice piu' pura dell'occultamento di Stato: cento depositi soltanto nel Friuli-Venezia Giulia, dodici mai recuperati, un patto segreto italoamericano del millenovecentocinquantasei che fa da gemello esatto all'accordo tra le Brigate Rosse e la resistenza palestinese del millenovecentosettantanove. La catena della Skorpion dimostra come una sola arma-firma possa attraversare fronti opposti, dai militanti del Movimento Sociale di Acca Larentia agli omicidi del Partito Comunista Combattente.</w:t>
      </w:r>
    </w:p>
    <w:p>
      <w:pPr>
        <w:spacing w:line="276" w:lineRule="auto" w:before="0" w:after="0"/>
        <w:ind w:firstLine="425"/>
        <w:jc w:val="both"/>
      </w:pPr>
      <w:r>
        <w:rPr>
          <w:rFonts w:ascii="Times New Roman" w:hAnsi="Times New Roman" w:cs="Times New Roman" w:eastAsia="Times New Roman"/>
          <w:b w:val="0"/>
          <w:sz w:val="24"/>
        </w:rPr>
        <w:t>Il terzo blocco copre i sistemi eversivi e criminali del versante nero. Gli arsenali dei Nuclei Armati Rivoluzionari, l'Avanguardia Nazionale come flusso privo di un deposito unico, e la Banda della Magliana convergono su un unico luogo-simbolo: i sotterranei del Ministero della Sanita', dove le armi della banda e quelle dei Nuclei erano custodite insieme da un usciere stipendiato. E' il rovescio speculare del nascondiglio di Gladio: la' lo Stato interrava armi nel territorio dei cittadini, qui il crimine interrava armi dentro un ministero dello Stato. Fu proprio in quell'arsenale che si trovarono le cartucce Gevelot dello stesso raro tipo usato per uccidere Mino Pecorelli, un ponte materiale che pero' non si tradusse mai in responsabilita' accertate, essendosi il processo chiuso con assoluzioni definitive.</w:t>
      </w:r>
    </w:p>
    <w:p>
      <w:pPr>
        <w:spacing w:line="276" w:lineRule="auto" w:before="0" w:after="0"/>
        <w:ind w:firstLine="425"/>
        <w:jc w:val="both"/>
      </w:pPr>
      <w:r>
        <w:rPr>
          <w:rFonts w:ascii="Times New Roman" w:hAnsi="Times New Roman" w:cs="Times New Roman" w:eastAsia="Times New Roman"/>
          <w:b w:val="0"/>
          <w:sz w:val="24"/>
        </w:rPr>
        <w:t>Il quarto blocco aggiunge le reti parallele emerse in campagna: la Rosa dei Venti con i suoi Nuclei per la Difesa dello Stato, dispositivo golpista attivo gia' dal millenovecentosessantaquattro, e il Movimento di Azione Rivoluzionaria di Carlo Fumagalli, fatto di ex partigiani bianchi riarmati in Valtellina. Insieme a Gladio compongono quella che il documento chiama la matrioska delle reti parallele: una pluralita' documentata di apparati clandestini, non una catena di comando unica. La radice comune e' sempre la stessa, la guerra civile del millenovecentoquarantatre'-quarantacinque, con le sue armi occultate e la sua memoria contesa da fronti opposti.</w:t>
      </w:r>
    </w:p>
    <w:p>
      <w:pPr>
        <w:spacing w:line="276" w:lineRule="auto" w:before="0" w:after="0"/>
        <w:ind w:firstLine="425"/>
        <w:jc w:val="both"/>
      </w:pPr>
      <w:r>
        <w:rPr>
          <w:rFonts w:ascii="Times New Roman" w:hAnsi="Times New Roman" w:cs="Times New Roman" w:eastAsia="Times New Roman"/>
          <w:b w:val="0"/>
          <w:sz w:val="24"/>
        </w:rPr>
        <w:t>Il quinto blocco affronta le stragi. Piazza Fontana, con i suoi sette chili di gelignite e il timer Junghans-Diehl, rimanda alla rete ordinovista veneta e al medesimo quadrante nord-orientale dei nascondigli di Gladio. La strage di Bologna porta la firma piu' eloquente per questa triangolazione: il suo esplosivo era una miscela di tritolo e T-quattro proveniente dallo smontaggio di munizioni belliche, cioe' dallo stesso bacino di residuati che alimenta tutti i depositi del corpus. Piazza della Loggia e Peteano completano il quadro, e proprio Peteano e' la cerniera giudiziaria decisiva: dal sospetto del giudice Casson, secondo cui l'esplosivo veniva dal nascondiglio di Aurisina, si arriva alla rivelazione dell'intera struttura Gladio nel millenovecentonovanta. Ma quel travaso fisico dallo Stato all'eversione, pur sospettato, non fu mai cristallizzato in una sentenza.</w:t>
      </w:r>
    </w:p>
    <w:p>
      <w:pPr>
        <w:spacing w:line="276" w:lineRule="auto" w:before="0" w:after="0"/>
        <w:ind w:firstLine="425"/>
        <w:jc w:val="both"/>
      </w:pPr>
      <w:r>
        <w:rPr>
          <w:rFonts w:ascii="Times New Roman" w:hAnsi="Times New Roman" w:cs="Times New Roman" w:eastAsia="Times New Roman"/>
          <w:b w:val="0"/>
          <w:sz w:val="24"/>
        </w:rPr>
        <w:t>Il sesto blocco estende la triangolazione alla galassia internazionale. Aginter Press e la rete di Guerin-Serac non erano un arsenale ma un know-how d'arma, la tecnica del sabotaggio e dell'omicidio silenzioso, con il sessanta per cento del personale reclutato dall'ex organizzazione paramilitare francese OAS - la stessa scuola algerina che ritroviamo nell'istruttore degli esplosivi di Avanguardia Nazionale. Stefano Delle Chiaie fa da ponte vivente tra questa internazionale nera e l'Operazione Condor del Cono Sud. Gli assi dell'apartheid sudafricano e namibiano, con le loro triangolazioni per aggirare l'embargo, appartengono allo stesso clima anticomunista, ma le attribuzioni puntuali restano in gran parte al livello del probabile o del candidato.</w:t>
      </w:r>
    </w:p>
    <w:p>
      <w:pPr>
        <w:spacing w:line="276" w:lineRule="auto" w:before="0" w:after="0"/>
        <w:ind w:firstLine="425"/>
        <w:jc w:val="both"/>
      </w:pPr>
      <w:r>
        <w:rPr>
          <w:rFonts w:ascii="Times New Roman" w:hAnsi="Times New Roman" w:cs="Times New Roman" w:eastAsia="Times New Roman"/>
          <w:b w:val="0"/>
          <w:sz w:val="24"/>
        </w:rPr>
        <w:t>Il settimo e ultimo blocco raggiunge la dorsale euroasiatica, il vertice della serie. Brighton Beach e la Bratva mostrano la dimensione armiera del crimine post-sovietico, dagli elicotteri dell'Armata Rossa svenduta ai traffici che toccano oltre trenta Paesi. Le Cinque Famiglie si agganciano a quel mondo tramite la tassa sulla benzina degli anni Ottanta, e il cluster che ruota attorno a Roy Cohn e Felix Sater mostra due cerniere documentate - una verso la mafia italoamericana, l'altra verso la finanza legata al crimine russo - senza pero' che alcuna catena penale sia mai stata accertata fino in cima. Il caso Putin, al culmine, ripete la lezione dell'intera opera: la galassia atlantica di Aginter e dell'apartheid non converge affatto sul Cremlino, che ne e' semmai l'antipode, e l'unico ponte reale tra il corpus nero e la Russia di oggi e' la spina dorsale euroasiatica del crimine organizzato.</w:t>
      </w:r>
    </w:p>
    <w:p>
      <w:pPr>
        <w:spacing w:line="276" w:lineRule="auto" w:before="0" w:after="0"/>
        <w:ind w:firstLine="425"/>
        <w:jc w:val="both"/>
      </w:pPr>
      <w:r>
        <w:rPr>
          <w:rFonts w:ascii="Times New Roman" w:hAnsi="Times New Roman" w:cs="Times New Roman" w:eastAsia="Times New Roman"/>
          <w:b w:val="0"/>
          <w:sz w:val="24"/>
        </w:rPr>
        <w:t>Il verdetto trasversale, che attraversa tutti e duecentocinquanta i blocchi, si puo' enunciare in una sola proposizione. La natura speculare e affine dei sistemi di arsenali e delle reti che vi ruotano attorno e' emersa ed e' certificabile su cinque dimensioni: il metodo dell'occultamento, il materiale bellico e i suoi standard, la radice storica nella guerra civile, la geografia dei depositi e la simmetria delle code irrisolte, cioe' delle armi mai ritrovate e dei reperti spariti su ogni fronte. Al contrario, due tesi non sono emerse e vengono dichiarate non provate: il travaso fisico di armi dallo Stato all'eversione, che ha come unico appiglio il sospetto istruttorio di Peteano, e la regia unica dei due fronti, che resta pubblicistica. L'unico travaso pienamente provato e' quello tra eversione e crimine organizzato, incarnato dall'arsenale condiviso tra i Nuclei e la Magliana. La specularita', in conclusione, e' un fatto morfologico che il registro certifica; l'identita' operativa sarebbe una tesi, e come tale viene dichiarata e non promossa.</w:t>
      </w:r>
    </w:p>
    <w:p>
      <w:pPr>
        <w:spacing w:line="276" w:lineRule="auto" w:before="0" w:after="0"/>
        <w:ind w:firstLine="425"/>
        <w:jc w:val="both"/>
      </w:pPr>
      <w:r>
        <w:rPr>
          <w:rFonts w:ascii="Times New Roman" w:hAnsi="Times New Roman" w:cs="Times New Roman" w:eastAsia="Times New Roman"/>
          <w:b w:val="0"/>
          <w:sz w:val="24"/>
        </w:rPr>
        <w:t>Il presente documento e' accompagnato dal foglio di servizio omonimo, che espone i duecentocinquanta blocchi uno per uno, con il caso, l'asse, il contenuto, il verdetto e il grado, oltre alla sintesi del verdetto di convergenza per ciascuno dei venticinque casi. Il tutto va inteso come parte del registro delle verifiche documentali, alla voce corrispondente, e sottosta integralmente allo statuto Savona: non si dichiara verificato cio' che non lo e', e ogni allegazione conserva il grado che le compete.</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https://it.wikipedia.org/wiki/Caso_Moro</w:t>
      </w:r>
    </w:p>
    <w:p>
      <w:pPr>
        <w:spacing w:line="276" w:lineRule="auto" w:before="0" w:after="0"/>
        <w:ind w:firstLine="425"/>
        <w:jc w:val="both"/>
      </w:pPr>
      <w:r>
        <w:rPr>
          <w:rFonts w:ascii="Times New Roman" w:hAnsi="Times New Roman" w:cs="Times New Roman" w:eastAsia="Times New Roman"/>
          <w:b w:val="0"/>
          <w:sz w:val="24"/>
        </w:rPr>
        <w:t>https://en.wikipedia.org/wiki/FNAB-43</w:t>
      </w:r>
    </w:p>
    <w:p>
      <w:pPr>
        <w:spacing w:line="276" w:lineRule="auto" w:before="0" w:after="0"/>
        <w:ind w:firstLine="425"/>
        <w:jc w:val="both"/>
      </w:pPr>
      <w:r>
        <w:rPr>
          <w:rFonts w:ascii="Times New Roman" w:hAnsi="Times New Roman" w:cs="Times New Roman" w:eastAsia="Times New Roman"/>
          <w:b w:val="0"/>
          <w:sz w:val="24"/>
        </w:rPr>
        <w:t>https://it.wikipedia.org/wiki/Organizzazione_Gladio</w:t>
      </w:r>
    </w:p>
    <w:p>
      <w:pPr>
        <w:spacing w:line="276" w:lineRule="auto" w:before="0" w:after="0"/>
        <w:ind w:firstLine="425"/>
        <w:jc w:val="both"/>
      </w:pPr>
      <w:r>
        <w:rPr>
          <w:rFonts w:ascii="Times New Roman" w:hAnsi="Times New Roman" w:cs="Times New Roman" w:eastAsia="Times New Roman"/>
          <w:b w:val="0"/>
          <w:sz w:val="24"/>
        </w:rPr>
        <w:t>https://it.wikipedia.org/wiki/Irruzione_di_via_Fracchia</w:t>
      </w:r>
    </w:p>
    <w:p>
      <w:pPr>
        <w:spacing w:line="276" w:lineRule="auto" w:before="0" w:after="0"/>
        <w:ind w:firstLine="425"/>
        <w:jc w:val="both"/>
      </w:pPr>
      <w:r>
        <w:rPr>
          <w:rFonts w:ascii="Times New Roman" w:hAnsi="Times New Roman" w:cs="Times New Roman" w:eastAsia="Times New Roman"/>
          <w:b w:val="0"/>
          <w:sz w:val="24"/>
        </w:rPr>
        <w:t>https://www.ugomariatassinari.it/arsenale-della-banda-della-magliana/</w:t>
      </w:r>
    </w:p>
    <w:p>
      <w:pPr>
        <w:spacing w:line="276" w:lineRule="auto" w:before="0" w:after="0"/>
        <w:ind w:firstLine="425"/>
        <w:jc w:val="both"/>
      </w:pPr>
      <w:r>
        <w:rPr>
          <w:rFonts w:ascii="Times New Roman" w:hAnsi="Times New Roman" w:cs="Times New Roman" w:eastAsia="Times New Roman"/>
          <w:b w:val="0"/>
          <w:sz w:val="24"/>
        </w:rPr>
        <w:t>https://it.wikipedia.org/wiki/Rosa_dei_venti_(storia)</w:t>
      </w:r>
    </w:p>
    <w:p>
      <w:pPr>
        <w:spacing w:line="276" w:lineRule="auto" w:before="0" w:after="0"/>
        <w:ind w:firstLine="425"/>
        <w:jc w:val="both"/>
      </w:pPr>
      <w:r>
        <w:rPr>
          <w:rFonts w:ascii="Times New Roman" w:hAnsi="Times New Roman" w:cs="Times New Roman" w:eastAsia="Times New Roman"/>
          <w:b w:val="0"/>
          <w:sz w:val="24"/>
        </w:rPr>
        <w:t>https://it.wikipedia.org/wiki/Nuclei_per_la_Difesa_dello_Stato</w:t>
      </w:r>
    </w:p>
    <w:p>
      <w:pPr>
        <w:spacing w:line="276" w:lineRule="auto" w:before="0" w:after="0"/>
        <w:ind w:firstLine="425"/>
        <w:jc w:val="both"/>
      </w:pPr>
      <w:r>
        <w:rPr>
          <w:rFonts w:ascii="Times New Roman" w:hAnsi="Times New Roman" w:cs="Times New Roman" w:eastAsia="Times New Roman"/>
          <w:b w:val="0"/>
          <w:sz w:val="24"/>
        </w:rPr>
        <w:t>http://www.fascinazione.info/2020/04/cinquantanni-fa-il-primo-blitz-contro.html</w:t>
      </w:r>
    </w:p>
    <w:p>
      <w:pPr>
        <w:spacing w:line="276" w:lineRule="auto" w:before="0" w:after="0"/>
        <w:ind w:firstLine="425"/>
        <w:jc w:val="both"/>
      </w:pPr>
      <w:r>
        <w:rPr>
          <w:rFonts w:ascii="Times New Roman" w:hAnsi="Times New Roman" w:cs="Times New Roman" w:eastAsia="Times New Roman"/>
          <w:b w:val="0"/>
          <w:sz w:val="24"/>
        </w:rPr>
        <w:t>https://www.ansa.it/emiliaromagna/notizie/2019/06/27/strage-bologna-bomba-mix-tnt-e-t4_702b57dd-4d06-4059-a33f-b70ba1b4a330.html</w:t>
      </w:r>
    </w:p>
    <w:p>
      <w:pPr>
        <w:spacing w:line="276" w:lineRule="auto" w:before="0" w:after="0"/>
        <w:ind w:firstLine="425"/>
        <w:jc w:val="both"/>
      </w:pPr>
      <w:r>
        <w:rPr>
          <w:rFonts w:ascii="Times New Roman" w:hAnsi="Times New Roman" w:cs="Times New Roman" w:eastAsia="Times New Roman"/>
          <w:b w:val="0"/>
          <w:sz w:val="24"/>
        </w:rPr>
        <w:t>https://it.wikipedia.org/wiki/Strage_di_piazza_della_Loggia</w:t>
      </w:r>
    </w:p>
    <w:p>
      <w:pPr>
        <w:spacing w:line="276" w:lineRule="auto" w:before="0" w:after="0"/>
        <w:ind w:firstLine="425"/>
        <w:jc w:val="both"/>
      </w:pPr>
      <w:r>
        <w:rPr>
          <w:rFonts w:ascii="Times New Roman" w:hAnsi="Times New Roman" w:cs="Times New Roman" w:eastAsia="Times New Roman"/>
          <w:b w:val="0"/>
          <w:sz w:val="24"/>
        </w:rPr>
        <w:t>https://www.ilfattoquotidiano.it/2024/11/18/strage-di-peteano-casson-e-lincontro-con-andreotti-cosi-fu-svelata-lesistenza-di-gladio-stay-behind/7770762/</w:t>
      </w:r>
    </w:p>
    <w:p>
      <w:pPr>
        <w:spacing w:line="276" w:lineRule="auto" w:before="0" w:after="0"/>
        <w:ind w:firstLine="425"/>
        <w:jc w:val="both"/>
      </w:pPr>
      <w:r>
        <w:rPr>
          <w:rFonts w:ascii="Times New Roman" w:hAnsi="Times New Roman" w:cs="Times New Roman" w:eastAsia="Times New Roman"/>
          <w:b w:val="0"/>
          <w:sz w:val="24"/>
        </w:rPr>
        <w:t>https://en.wikipedia.org/wiki/Aginter_Press</w:t>
      </w:r>
    </w:p>
    <w:p>
      <w:pPr>
        <w:spacing w:line="276" w:lineRule="auto" w:before="0" w:after="0"/>
        <w:ind w:firstLine="425"/>
        <w:jc w:val="both"/>
      </w:pPr>
      <w:r>
        <w:rPr>
          <w:rFonts w:ascii="Times New Roman" w:hAnsi="Times New Roman" w:cs="Times New Roman" w:eastAsia="Times New Roman"/>
          <w:b w:val="0"/>
          <w:sz w:val="24"/>
        </w:rPr>
        <w:t>https://anti-imperialist-u.blogspot.com/2020/05/stefano-delle-chiaie-from-gladio-to.html</w:t>
      </w:r>
    </w:p>
    <w:p>
      <w:pPr>
        <w:spacing w:line="276" w:lineRule="auto" w:before="0" w:after="0"/>
        <w:ind w:firstLine="425"/>
        <w:jc w:val="both"/>
      </w:pPr>
      <w:r>
        <w:rPr>
          <w:rFonts w:ascii="Times New Roman" w:hAnsi="Times New Roman" w:cs="Times New Roman" w:eastAsia="Times New Roman"/>
          <w:b w:val="0"/>
          <w:sz w:val="24"/>
        </w:rPr>
        <w:t>https://en.wikipedia.org/wiki/Russian_mafia</w:t>
      </w:r>
    </w:p>
    <w:p>
      <w:pPr>
        <w:spacing w:line="276" w:lineRule="auto" w:before="0" w:after="0"/>
        <w:ind w:firstLine="425"/>
        <w:jc w:val="both"/>
      </w:pPr>
      <w:r>
        <w:rPr>
          <w:rFonts w:ascii="Times New Roman" w:hAnsi="Times New Roman" w:cs="Times New Roman" w:eastAsia="Times New Roman"/>
          <w:b w:val="0"/>
          <w:sz w:val="24"/>
        </w:rPr>
        <w:t>https://medium.com/@petergrant_14485/donald-trump-russian-intelligence-and-eurasian-organized-crime-convergence-in-brighton-beach-44deaffb1fd3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