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ind w:firstLine="0"/>
        <w:jc w:val="center"/>
      </w:pPr>
      <w:r>
        <w:rPr>
          <w:rFonts w:ascii="Times New Roman" w:hAnsi="Times New Roman" w:cs="Times New Roman" w:eastAsia="Times New Roman"/>
          <w:b/>
          <w:sz w:val="32"/>
        </w:rPr>
        <w:t>ITALIA NERA - Opera monumentale in cinque Fasi. Fase I: la centrale e la radice</w:t>
      </w:r>
    </w:p>
    <w:p>
      <w:pPr>
        <w:spacing w:before="360" w:after="120"/>
        <w:ind w:firstLine="0"/>
        <w:jc w:val="left"/>
      </w:pPr>
      <w:r>
        <w:rPr>
          <w:rFonts w:ascii="Times New Roman" w:hAnsi="Times New Roman" w:cs="Times New Roman" w:eastAsia="Times New Roman"/>
          <w:b/>
          <w:sz w:val="28"/>
        </w:rPr>
        <w:t>Avvertenza generale sull'architettura dell'opera</w:t>
      </w:r>
    </w:p>
    <w:p>
      <w:pPr>
        <w:ind w:firstLine="425"/>
        <w:jc w:val="both"/>
      </w:pPr>
      <w:r>
        <w:rPr>
          <w:rFonts w:ascii="Times New Roman" w:hAnsi="Times New Roman" w:cs="Times New Roman" w:eastAsia="Times New Roman"/>
          <w:b w:val="0"/>
          <w:sz w:val="24"/>
        </w:rPr>
        <w:t>La presente opera, di cui si licenzia in questa sede la prima delle cinque Fasi che la compongono, si propone di ordinare in forma sistematica l'intero materiale documentale accumulato nel corpus ITALIA NERA, restituendone la trama in una struttura rigorosa e scandita: cinque Fasi, cinquanta Capitoli, duecentocinquanta fra nodi e ponti certificati. A ciascuna Fase spetta la trattazione di dieci Capitoli e di cinquanta unita' analitiche, distinte in nodi, ossia i singoli attori, entita', eventi o reperti che il corpus ha isolato, e in ponti, ossia le sinapsi documentate che tali nodi congiungono. La numerazione, per esplicita disposizione dell'autore e in deroga alla consuetudine dell'opera di scrivere i numeri per esteso, e' resa nel presente documento in cifre arabe, cosi' da agevolare la consultazione analitica e il rimando incrociato fra le unita'.</w:t>
      </w:r>
    </w:p>
    <w:p>
      <w:pPr>
        <w:ind w:firstLine="425"/>
        <w:jc w:val="both"/>
      </w:pPr>
      <w:r>
        <w:rPr>
          <w:rFonts w:ascii="Times New Roman" w:hAnsi="Times New Roman" w:cs="Times New Roman" w:eastAsia="Times New Roman"/>
          <w:b w:val="0"/>
          <w:sz w:val="24"/>
        </w:rPr>
        <w:t>L'ordinamento delle cinque Fasi obbedisce a una logica insieme cronologica e topologica, tale che il lettore possa percorrere il corpus come si percorre un edificio, salendo dalle fondamenta alle sale piu' alte. La Fase I, qui presentata, tratta della centrale e della radice, ovvero della scuola internazionale dell'eversione nera che ebbe in Aginter Press il proprio archetipo e nella galassia reduce dall'Organisation armee secrete la propria matrice tecnica e umana. La Fase II sara' dedicata agli assi meridionali, cioe' al regime dell'apartheid sudafricano e namibiano, al Cono Sud latinoamericano, all'Operazione Condor e alla diaspora nazista riciclata al servizio dei nuovi anticomunismi. La Fase III trattera' dello Stato parallelo italiano, con l'organizzazione Gladio, i depositi clandestini denominati Nasco, la loggia Propaganda 2 e le stragi della cosiddetta strategia della tensione. La Fase IV affrontera' le armi e il sangue, ossia la balistica del caso Moro, gli arsenali clandestini di ogni fronte, il terrorismo rosso e nero e la cerniera fra eversione e criminalita' organizzata. La Fase V, infine, discendera' lungo la dorsale euroasiatica, dal crimine post-sovietico all'energia, sino al vertice del potere russo e al cosiddetto grappolo statunitense a esso contiguo.</w:t>
      </w:r>
    </w:p>
    <w:p>
      <w:pPr>
        <w:ind w:firstLine="425"/>
        <w:jc w:val="both"/>
      </w:pPr>
      <w:r>
        <w:rPr>
          <w:rFonts w:ascii="Times New Roman" w:hAnsi="Times New Roman" w:cs="Times New Roman" w:eastAsia="Times New Roman"/>
          <w:b w:val="0"/>
          <w:sz w:val="24"/>
        </w:rPr>
        <w:t>Un'avvertenza di statuto precede ogni pagina, e la governa dal principio alla fine. L'opera si attiene al canone probatorio che nel corpus e' invalso sotto il nome di Sistema Savona, e che impone alcune distinzioni inderogabili: l'allegazione non equivale alla sentenza, l'incriminato non equivale al condannato, la convergenza di ambiente non equivale alla catena di comando, e non si dichiara verificato cio' che verificato non e'. A tale canone si aggiunge la gradazione consueta, che assegna a ciascuna asserzione il grado del certo, del probabile, del meramente candidato o del negativo, e che qui viene resa in prosa anziche' in colore. Ne consegue che il lettore non trovera', in queste pagine, la sicumera del romanzo cospirativo, bensi' la cautela dell'inventario critico: ogni nodo reca con se' il proprio grado, ogni ponte la propria natura, e le une e gli altri sono sempre distinti fra il documentato e il congetturato. Il vincolo sulle fonti, del pari, e' rispettato in ogni riga: non si e' fatto uso alcuno ne' dell'enciclopedia collaborativa denominata Grokipedia ne' del quotidiano il manifesto, secondo la costante e dichiarata disciplina dell'opera.</w:t>
      </w:r>
    </w:p>
    <w:p>
      <w:pPr>
        <w:ind w:firstLine="425"/>
        <w:jc w:val="both"/>
      </w:pPr>
      <w:r>
        <w:rPr>
          <w:rFonts w:ascii="Times New Roman" w:hAnsi="Times New Roman" w:cs="Times New Roman" w:eastAsia="Times New Roman"/>
          <w:b w:val="0"/>
          <w:sz w:val="24"/>
        </w:rPr>
        <w:t>Va infine premesso, a beneficio della lettura, il principio ordinatore che regge l'intera trattazione e che le triangolazioni verranno via via corroborando: il corpus e' bicefalo. Esso descrive, da un lato, un blocco egemone di natura nera e atlantista, che nasce dalla scuola di Aginter, si irradia negli Stati dell'apartheid e nei regimi del Cono Sud, si nutre dei quadri nazisti riciclati e dei poteri occulti italiani; e descrive, dall'altro, un blocco euroasiatico, che ruota attorno al vertice del potere russo e ai suoi anelli finanziari e criminali. Fra i due blocchi non corre alcuna catena di comando unitaria, e il compito dell'opera e' precisamente quello di mostrare, con la pazienza dell'analisi, che essi si toccano soltanto in due punti circoscritti: un ponte di idee, che dalla dottrina di Jean Thiriart giunge all'eurasiatismo di Aleksandr Dugin, e una spina di interessi, quella del crimine e dell'energia, che unisce la mafia post-sovietica agli intermediari del gas e ai cassieri della cerchia del Cremlino. Chi confonda questa duplice, esile contiguita' con una regia unica scambia, secondo la formula ricorrente del corpus, una convergenza di milieu per una catena di comando: e' contro tale scambio che l'intera opera si erge.</w:t>
      </w:r>
    </w:p>
    <w:p>
      <w:pPr>
        <w:spacing w:before="360" w:after="120"/>
        <w:ind w:firstLine="0"/>
        <w:jc w:val="left"/>
      </w:pPr>
      <w:r>
        <w:rPr>
          <w:rFonts w:ascii="Times New Roman" w:hAnsi="Times New Roman" w:cs="Times New Roman" w:eastAsia="Times New Roman"/>
          <w:b/>
          <w:sz w:val="28"/>
        </w:rPr>
        <w:t>Capitolo 1. La centrale di Lisbona: fisionomia e funzione di Aginter Press</w:t>
      </w:r>
    </w:p>
    <w:p>
      <w:pPr>
        <w:ind w:firstLine="425"/>
        <w:jc w:val="both"/>
      </w:pPr>
      <w:r>
        <w:rPr>
          <w:rFonts w:ascii="Times New Roman" w:hAnsi="Times New Roman" w:cs="Times New Roman" w:eastAsia="Times New Roman"/>
          <w:b w:val="0"/>
          <w:sz w:val="24"/>
        </w:rPr>
        <w:t xml:space="preserve">Al principio di ogni ricostruzione della trama nera internazionale del secondo dopoguerra sta un'entita' che, per densita' di sinapsi e per portata delle sue diramazioni, il corpus riconosce come il proprio nodo-madre. Si tratta di </w:t>
      </w:r>
      <w:r>
        <w:rPr>
          <w:rFonts w:ascii="Times New Roman" w:hAnsi="Times New Roman" w:cs="Times New Roman" w:eastAsia="Times New Roman"/>
          <w:b/>
          <w:sz w:val="24"/>
        </w:rPr>
        <w:t>Aginter Press</w:t>
      </w:r>
      <w:r>
        <w:rPr>
          <w:rFonts w:ascii="Times New Roman" w:hAnsi="Times New Roman" w:cs="Times New Roman" w:eastAsia="Times New Roman"/>
          <w:b w:val="0"/>
          <w:sz w:val="24"/>
        </w:rPr>
        <w:t xml:space="preserve"> (Nodo I.1), agenzia di informazione con sede a Lisbona, operante fra il 1966 e il 1974 sotto l'ombrello protettivo dell'Estado Novo salazariano. La sua natura di agenzia di stampa era, secondo la documentazione acquisita, una copertura studiata: dietro l'apparenza redazionale, fatta di bollettini, di corrispondenze e di schede sui movimenti di liberazione, si celava un centro di reclutamento, di addestramento e di impiego di quadri controrivoluzionari, votato alla lotta anticomunista condotta con i mezzi della guerra non ortodossa. Il grado assegnato a tale asserzione e' quello del certo, poiche' esso non poggia su illazioni ma sui documenti sequestrati dalle autorita' portoghesi all'indomani della Rivoluzione dei garofani del 25 aprile 1974, quando la caduta del regime schiuse gli archivi dell'agenzia e ne consegno' alla storia l'organigramma.</w:t>
      </w:r>
    </w:p>
    <w:p>
      <w:pPr>
        <w:ind w:firstLine="425"/>
        <w:jc w:val="both"/>
      </w:pPr>
      <w:r>
        <w:rPr>
          <w:rFonts w:ascii="Times New Roman" w:hAnsi="Times New Roman" w:cs="Times New Roman" w:eastAsia="Times New Roman"/>
          <w:b w:val="0"/>
          <w:sz w:val="24"/>
        </w:rPr>
        <w:t>La collocazione di Aginter entro l'ordine dei domini del corpus merita una precisazione. Essa appartiene primariamente al dominio dell'eversione nera e del terrorismo, che nel censimento tematico dell'opera reca la sigla settima; ma le sue diramazioni la proiettano anche nel dominio dei servizi e degli apparati, il terzo, e in quello delle matrici dottrinali e religiose, il decimo. Questa multi-appartenenza non e' un accidente classificatorio, bensi' la cifra stessa della sua funzione: Aginter fu un organo di cerniera, un luogo in cui la dottrina si faceva servizio e il servizio si faceva azione. Per tale ragione l'opera la assume a nodo-madre, non nel senso che da essa tutto discenda per filiazione gerarchica, ma nel senso che in essa convergono, come in un fuoco prospettico, i fili della controrivoluzione europea del tempo.</w:t>
      </w:r>
    </w:p>
    <w:p>
      <w:pPr>
        <w:ind w:firstLine="425"/>
        <w:jc w:val="both"/>
      </w:pPr>
      <w:r>
        <w:rPr>
          <w:rFonts w:ascii="Times New Roman" w:hAnsi="Times New Roman" w:cs="Times New Roman" w:eastAsia="Times New Roman"/>
          <w:b w:val="0"/>
          <w:sz w:val="24"/>
        </w:rPr>
        <w:t xml:space="preserve">Alla testa di Aginter stava </w:t>
      </w:r>
      <w:r>
        <w:rPr>
          <w:rFonts w:ascii="Times New Roman" w:hAnsi="Times New Roman" w:cs="Times New Roman" w:eastAsia="Times New Roman"/>
          <w:b/>
          <w:sz w:val="24"/>
        </w:rPr>
        <w:t>Yves Guerin-Serac</w:t>
      </w:r>
      <w:r>
        <w:rPr>
          <w:rFonts w:ascii="Times New Roman" w:hAnsi="Times New Roman" w:cs="Times New Roman" w:eastAsia="Times New Roman"/>
          <w:b w:val="0"/>
          <w:sz w:val="24"/>
        </w:rPr>
        <w:t xml:space="preserve"> (Nodo I.2), nome di battaglia di Yves Guillou, ufficiale francese reduce dai teatri d'Indocina e d'Algeria, transitato per le file dell'Organisation armee secrete e approdato a Lisbona come fondatore e direttore dell'agenzia. La sua biografia condensa in se' l'intera parabola della controrivoluzione novecentesca: dall'esperienza coloniale, che gli insegno' la guerriglia e la contro-guerriglia sul campo, alla teorizzazione della guerra rivoluzionaria; dall'attivismo cattolico integralista, che gli forni' una legittimazione mistica, alla militanza mercenaria, che ne fece un professionista dell'azione clandestina. Il corpus lo colloca al vertice del dominio dell'eversione nera, e ne fa il primo per numero di sinapsi convergenti, donde la sua qualifica di nodo-madre. La determinazione della sua figura, per la parte anagrafica e per il ruolo direttivo in Aginter, e' di grado certo; la determinazione ultima dei suoi committenti statali resta, invece, materia di grado inferiore, e sara' discussa nei capitoli dedicati agli apparati.</w:t>
      </w:r>
    </w:p>
    <w:p>
      <w:pPr>
        <w:ind w:firstLine="425"/>
        <w:jc w:val="both"/>
      </w:pPr>
      <w:r>
        <w:rPr>
          <w:rFonts w:ascii="Times New Roman" w:hAnsi="Times New Roman" w:cs="Times New Roman" w:eastAsia="Times New Roman"/>
          <w:b w:val="0"/>
          <w:sz w:val="24"/>
        </w:rPr>
        <w:t>La figura di Guerin-Serac va inoltre intesa nella sua funzione di anello genealogico, giacche' in lui si saldano tre epoche e tre geografie della controrivoluzione: l'Indocina, ove il modello della guerra rivoluzionaria fu appreso a spese della sconfitta francese; l'Algeria, ove esso fu applicato con ferocia e poi tradito, agli occhi dei suoi fautori, dalla scelta gollista dell'indipendenza; e infine il Portogallo, ove esso trovo' un rifugio istituzionale e una piattaforma di irradiazione. Che un solo uomo abbia attraversato per intero questo itinerario, portandone in se' la memoria e le tecniche, e' cio' che fa della sua biografia non un dato meramente anagrafico, ma una chiave interpretativa: nella persona del fondatore si legge, in scala ridotta, la storia dell'intera galassia.</w:t>
      </w:r>
    </w:p>
    <w:p>
      <w:pPr>
        <w:ind w:firstLine="425"/>
        <w:jc w:val="both"/>
      </w:pPr>
      <w:r>
        <w:rPr>
          <w:rFonts w:ascii="Times New Roman" w:hAnsi="Times New Roman" w:cs="Times New Roman" w:eastAsia="Times New Roman"/>
          <w:b w:val="0"/>
          <w:sz w:val="24"/>
        </w:rPr>
        <w:t xml:space="preserve">Accanto al fondatore operava </w:t>
      </w:r>
      <w:r>
        <w:rPr>
          <w:rFonts w:ascii="Times New Roman" w:hAnsi="Times New Roman" w:cs="Times New Roman" w:eastAsia="Times New Roman"/>
          <w:b/>
          <w:sz w:val="24"/>
        </w:rPr>
        <w:t>Robert Leroy</w:t>
      </w:r>
      <w:r>
        <w:rPr>
          <w:rFonts w:ascii="Times New Roman" w:hAnsi="Times New Roman" w:cs="Times New Roman" w:eastAsia="Times New Roman"/>
          <w:b w:val="0"/>
          <w:sz w:val="24"/>
        </w:rPr>
        <w:t xml:space="preserve"> (Nodo I.3), designato nella documentazione come il numero due dell'agenzia, braccio operativo delle missioni piu' delicate, in specie di quelle che si svolsero nei teatri africani della decolonizzazione lusofona. La sua figura, meno nota di quella del direttore, e' non di meno essenziale alla comprensione della macchina, poiche' incarna la dimensione esecutiva, quella del fare, rispetto alla dimensione ideativa incarnata da Guerin-Serac. La coppia costituita dai due uomini definisce la prima sinapsi certificata dell'opera: il </w:t>
      </w:r>
      <w:r>
        <w:rPr>
          <w:rFonts w:ascii="Times New Roman" w:hAnsi="Times New Roman" w:cs="Times New Roman" w:eastAsia="Times New Roman"/>
          <w:b/>
          <w:sz w:val="24"/>
        </w:rPr>
        <w:t>ponte fra il vertice ideologico e il braccio operativo di Aginter</w:t>
      </w:r>
      <w:r>
        <w:rPr>
          <w:rFonts w:ascii="Times New Roman" w:hAnsi="Times New Roman" w:cs="Times New Roman" w:eastAsia="Times New Roman"/>
          <w:b w:val="0"/>
          <w:sz w:val="24"/>
        </w:rPr>
        <w:t xml:space="preserve"> (Ponte I.4), legame di grado certo, poiche' documentato dall'organigramma interno rinvenuto negli uffici dell'agenzia dopo il 1974. E' proprio questa struttura bicipite, che tiene insieme la testa pensante e la mano esecutrice, a fare di Aginter non gia' un cenacolo di teorici, bensi' una macchina operativa compiuta, capace di passare dalla dottrina all'atto.</w:t>
      </w:r>
    </w:p>
    <w:p>
      <w:pPr>
        <w:ind w:firstLine="425"/>
        <w:jc w:val="both"/>
      </w:pPr>
      <w:r>
        <w:rPr>
          <w:rFonts w:ascii="Times New Roman" w:hAnsi="Times New Roman" w:cs="Times New Roman" w:eastAsia="Times New Roman"/>
          <w:b w:val="0"/>
          <w:sz w:val="24"/>
        </w:rPr>
        <w:t xml:space="preserve">La materialita' della centrale si condensa in un ultimo nodo del presente capitolo, ossia nel </w:t>
      </w:r>
      <w:r>
        <w:rPr>
          <w:rFonts w:ascii="Times New Roman" w:hAnsi="Times New Roman" w:cs="Times New Roman" w:eastAsia="Times New Roman"/>
          <w:b/>
          <w:sz w:val="24"/>
        </w:rPr>
        <w:t>raid del 1974</w:t>
      </w:r>
      <w:r>
        <w:rPr>
          <w:rFonts w:ascii="Times New Roman" w:hAnsi="Times New Roman" w:cs="Times New Roman" w:eastAsia="Times New Roman"/>
          <w:b w:val="0"/>
          <w:sz w:val="24"/>
        </w:rPr>
        <w:t xml:space="preserve"> (Nodo I.5), la perquisizione con cui, caduto il regime, le nuove autorita' portoghesi misero le mani sull'archivio dell'agenzia e ne rivelarono al mondo la fisionomia. Da quel sequestro documentale proviene la parte piu' solida delle evidenze qui adottate: gli organigrammi, la corrispondenza, i manuali di addestramento, l'elenco dei referenti internazionali, le schede dei militanti reclutati. Senza il raid del 1974 la storia di Aginter sarebbe rimasta congetturale, affidata alle sole testimonianze e alle sole illazioni; con esso, essa entra nel dominio del documentato, e da esso l'intera Fase I trae il proprio fondamento probatorio. Merita di essere sottolineato, a titolo di metodo, come sia proprio la caduta di un regime a schiudere i suoi archivi: la stessa dinamica si ripetera', nella Fase III, con la rivelazione dell'organizzazione Gladio nel 1990, e nella Fase V, con l'apertura parziale degli archivi sovietici dopo il 1991. La storia della trama nera si scrive, in larga misura, negli intervalli in cui il potere che la copriva viene meno. Cosi' il primo capitolo consegna cinque unita' analitiche, tre nodi personali o istituzionali, un ponte operativo e un nodo-evento, tutte di grado certo, sulle quali si edifica il resto della trattazione.</w:t>
      </w:r>
    </w:p>
    <w:p>
      <w:pPr>
        <w:spacing w:before="360" w:after="120"/>
        <w:ind w:firstLine="0"/>
        <w:jc w:val="left"/>
      </w:pPr>
      <w:r>
        <w:rPr>
          <w:rFonts w:ascii="Times New Roman" w:hAnsi="Times New Roman" w:cs="Times New Roman" w:eastAsia="Times New Roman"/>
          <w:b/>
          <w:sz w:val="28"/>
        </w:rPr>
        <w:t>Capitolo 2. La dottrina della guerra non ortodossa</w:t>
      </w:r>
    </w:p>
    <w:p>
      <w:pPr>
        <w:ind w:firstLine="425"/>
        <w:jc w:val="both"/>
      </w:pPr>
      <w:r>
        <w:rPr>
          <w:rFonts w:ascii="Times New Roman" w:hAnsi="Times New Roman" w:cs="Times New Roman" w:eastAsia="Times New Roman"/>
          <w:b w:val="0"/>
          <w:sz w:val="24"/>
        </w:rPr>
        <w:t xml:space="preserve">Se il primo capitolo ha isolato la centrale nella sua struttura, il secondo ne interroga la dottrina, giacche' Aginter Press non fu soltanto un'organizzazione, ma anche, e forse soprattutto, una scuola di pensiero e di metodo. Il documento capitale in tal senso e' quello noto come </w:t>
      </w:r>
      <w:r>
        <w:rPr>
          <w:rFonts w:ascii="Times New Roman" w:hAnsi="Times New Roman" w:cs="Times New Roman" w:eastAsia="Times New Roman"/>
          <w:b/>
          <w:sz w:val="24"/>
        </w:rPr>
        <w:t>Notre action politique</w:t>
      </w:r>
      <w:r>
        <w:rPr>
          <w:rFonts w:ascii="Times New Roman" w:hAnsi="Times New Roman" w:cs="Times New Roman" w:eastAsia="Times New Roman"/>
          <w:b w:val="0"/>
          <w:sz w:val="24"/>
        </w:rPr>
        <w:t xml:space="preserve"> (Nodo I.6), redatto fra il 1968 e il 1969, nel quale l'agenzia espose la propria concezione strategica in forma sistematica. Vi si teorizzava la penetrazione capillare della societa' civile, la creazione deliberata di un clima di tensione e di insicurezza che inducesse le popolazioni a invocare l'ordine e l'autorita', e l'impiego del terrore attribuito al nemico quale leva di destabilizzazione e di riorientamento politico. Il corpus assegna a questo documento grado certo quanto all'esistenza e al contenuto, poiche' esso fu materialmente rinvenuto negli archivi sequestrati, e ne fa la pietra angolare della dottrina della cosiddetta strategia della tensione, di cui costituisce una delle prime e piu' esplicite formulazioni scritte.</w:t>
      </w:r>
    </w:p>
    <w:p>
      <w:pPr>
        <w:ind w:firstLine="425"/>
        <w:jc w:val="both"/>
      </w:pPr>
      <w:r>
        <w:rPr>
          <w:rFonts w:ascii="Times New Roman" w:hAnsi="Times New Roman" w:cs="Times New Roman" w:eastAsia="Times New Roman"/>
          <w:b w:val="0"/>
          <w:sz w:val="24"/>
        </w:rPr>
        <w:t>Merita indugiare sul contenuto del documento, poiche' in esso si legge, con rara franchezza, il principio che governera' l'intera stagione stragista italiana: la persuasione che si possa orientare il consenso di un popolo inducendovi la paura, e che la paura si possa fabbricare mediante attentati la cui responsabilita' venga fatta ricadere sull'avversario politico. E' la teoria del doppio inganno, per cui l'atto terroristico non solo colpisce, ma calunnia, addossando ad altri la propria firma. Il corpus, nel registrare tale dottrina, si guarda bene dal dedurne meccanicamente l'attribuzione delle singole stragi: la dottrina spiega il metodo, non prova l'esecuzione. Ma essa fornisce la cornice interpretativa entro cui i fatti successivi acquistano intelligibilita', e per questo se ne fa oggetto di trattazione autonoma.</w:t>
      </w:r>
    </w:p>
    <w:p>
      <w:pPr>
        <w:ind w:firstLine="425"/>
        <w:jc w:val="both"/>
      </w:pPr>
      <w:r>
        <w:rPr>
          <w:rFonts w:ascii="Times New Roman" w:hAnsi="Times New Roman" w:cs="Times New Roman" w:eastAsia="Times New Roman"/>
          <w:b w:val="0"/>
          <w:sz w:val="24"/>
        </w:rPr>
        <w:t xml:space="preserve">La cornice concettuale entro cui quel documento si inscrive e' la dottrina della </w:t>
      </w:r>
      <w:r>
        <w:rPr>
          <w:rFonts w:ascii="Times New Roman" w:hAnsi="Times New Roman" w:cs="Times New Roman" w:eastAsia="Times New Roman"/>
          <w:b/>
          <w:sz w:val="24"/>
        </w:rPr>
        <w:t>guerre revolutionnaire</w:t>
      </w:r>
      <w:r>
        <w:rPr>
          <w:rFonts w:ascii="Times New Roman" w:hAnsi="Times New Roman" w:cs="Times New Roman" w:eastAsia="Times New Roman"/>
          <w:b w:val="0"/>
          <w:sz w:val="24"/>
        </w:rPr>
        <w:t xml:space="preserve"> (Nodo I.7), elaborata dagli ambienti militari francesi reduci dalle guerre di decolonizzazione e trasmessa, per il tramite di Aginter e dei suoi consimili, alle destre radicali europee. Tale dottrina rovesciava le tecniche della guerriglia comunista contro i loro stessi teorizzatori, predicando la contro-sovversione, l'azione psicologica sulle masse, l'infiltrazione del nemico e la militarizzazione del conflitto politico interno. Essa nasceva dalla lettura, condotta dai teorici francesi, delle opere di Mao Tse-tung e degli strateghi della guerra popolare, e ne costituiva il calco rovesciato: se il rivoluzionario nuota fra il popolo come il pesce nell'acqua, il controrivoluzionario dovra' prosciugare l'acqua o avvelenarla. Il corpus la registra come matrice ideologica di lungo periodo, di grado certo nella sua esistenza teorica, e la collega, mediante un ponte che sara' esplicitato nel capitolo ottavo, agli ambienti italiani che la importarono e la tradussero in prassi.</w:t>
      </w:r>
    </w:p>
    <w:p>
      <w:pPr>
        <w:ind w:firstLine="425"/>
        <w:jc w:val="both"/>
      </w:pPr>
      <w:r>
        <w:rPr>
          <w:rFonts w:ascii="Times New Roman" w:hAnsi="Times New Roman" w:cs="Times New Roman" w:eastAsia="Times New Roman"/>
          <w:b w:val="0"/>
          <w:sz w:val="24"/>
        </w:rPr>
        <w:t xml:space="preserve">Sul piano organizzativo, la dottrina si incarnava in due strutture di copertura strettamente connesse: </w:t>
      </w:r>
      <w:r>
        <w:rPr>
          <w:rFonts w:ascii="Times New Roman" w:hAnsi="Times New Roman" w:cs="Times New Roman" w:eastAsia="Times New Roman"/>
          <w:b/>
          <w:sz w:val="24"/>
        </w:rPr>
        <w:t>Ordre et Tradition</w:t>
      </w:r>
      <w:r>
        <w:rPr>
          <w:rFonts w:ascii="Times New Roman" w:hAnsi="Times New Roman" w:cs="Times New Roman" w:eastAsia="Times New Roman"/>
          <w:b w:val="0"/>
          <w:sz w:val="24"/>
        </w:rPr>
        <w:t xml:space="preserve"> (Nodo I.8), l'organizzazione politico-ideologica di riferimento, e la sua ala militare, l'</w:t>
      </w:r>
      <w:r>
        <w:rPr>
          <w:rFonts w:ascii="Times New Roman" w:hAnsi="Times New Roman" w:cs="Times New Roman" w:eastAsia="Times New Roman"/>
          <w:b/>
          <w:sz w:val="24"/>
        </w:rPr>
        <w:t>Organizzazione d'azione contro il comunismo internazionale</w:t>
      </w:r>
      <w:r>
        <w:rPr>
          <w:rFonts w:ascii="Times New Roman" w:hAnsi="Times New Roman" w:cs="Times New Roman" w:eastAsia="Times New Roman"/>
          <w:b w:val="0"/>
          <w:sz w:val="24"/>
        </w:rPr>
        <w:t xml:space="preserve"> (Nodo I.9), il cui acronimo compare negli atti sequestrati. Tali entita', emerse proprio dal raid del 1974, testimoniano come Aginter non fosse un fenomeno isolato, bensi' il nucleo visibile di una rete piu' vasta, articolata in una sezione dottrinale e in una sezione operativa, secondo il medesimo schema bicipite gia' riconosciuto al vertice nella coppia Guerin-Serac e Leroy. La loro esistenza e' di grado certo, giacche' documentata; l'ampiezza reale della loro membership e la geografia esatta delle loro diramazioni restano, invece, di grado probabile, per la parziale reticenza e la frammentarieta' delle fonti superstiti.</w:t>
      </w:r>
    </w:p>
    <w:p>
      <w:pPr>
        <w:ind w:firstLine="425"/>
        <w:jc w:val="both"/>
      </w:pPr>
      <w:r>
        <w:rPr>
          <w:rFonts w:ascii="Times New Roman" w:hAnsi="Times New Roman" w:cs="Times New Roman" w:eastAsia="Times New Roman"/>
          <w:b w:val="0"/>
          <w:sz w:val="24"/>
        </w:rPr>
        <w:t xml:space="preserve">Il capitolo si chiude sul primo dei ponti concettuali dell'opera, ovvero sul </w:t>
      </w:r>
      <w:r>
        <w:rPr>
          <w:rFonts w:ascii="Times New Roman" w:hAnsi="Times New Roman" w:cs="Times New Roman" w:eastAsia="Times New Roman"/>
          <w:b/>
          <w:sz w:val="24"/>
        </w:rPr>
        <w:t>ponte fra la dottrina di Aginter e il metodo del falso attentato</w:t>
      </w:r>
      <w:r>
        <w:rPr>
          <w:rFonts w:ascii="Times New Roman" w:hAnsi="Times New Roman" w:cs="Times New Roman" w:eastAsia="Times New Roman"/>
          <w:b w:val="0"/>
          <w:sz w:val="24"/>
        </w:rPr>
        <w:t xml:space="preserve"> (Ponte I.10), la sinapsi che lega la teorizzazione lisbonese alla pratica della strage attribuita al nemico. Tale ponte va maneggiato con la cautela che lo statuto impone, ed e' anzi il primo banco di prova del metodo dell'opera. Esso e' un ponte di metodo, non di committenza. Il corpus riconosce, con grado probabile, che la tecnica teorizzata da Aginter riecheggia nelle modalita' di talune stragi italiane, e che tale eco non e' casuale, ma discende da una comunanza di scuola; ma nega, con fermezza, che da tale eco si possa inferire una catena di comando che da Lisbona conduca direttamente agli esecutori materiali degli attentati di Milano, di Brescia o di Bologna. La convergenza di metodo, si ribadisce, non e' la prova di una regia. In questa distinzione, che sara' il ritornello dell'intera opera, si condensa la disciplina probatoria del Sistema Savona: distinguere l'aria di famiglia dalla linea di sangue, la scuola dalla catena degli ordini.</w:t>
      </w:r>
    </w:p>
    <w:p>
      <w:pPr>
        <w:spacing w:before="360" w:after="120"/>
        <w:ind w:firstLine="0"/>
        <w:jc w:val="left"/>
      </w:pPr>
      <w:r>
        <w:rPr>
          <w:rFonts w:ascii="Times New Roman" w:hAnsi="Times New Roman" w:cs="Times New Roman" w:eastAsia="Times New Roman"/>
          <w:b/>
          <w:sz w:val="28"/>
        </w:rPr>
        <w:t>Capitolo 3. La matrice algerina e l'eredita' dell'Organisation armee secrete</w:t>
      </w:r>
    </w:p>
    <w:p>
      <w:pPr>
        <w:ind w:firstLine="425"/>
        <w:jc w:val="both"/>
      </w:pPr>
      <w:r>
        <w:rPr>
          <w:rFonts w:ascii="Times New Roman" w:hAnsi="Times New Roman" w:cs="Times New Roman" w:eastAsia="Times New Roman"/>
          <w:b w:val="0"/>
          <w:sz w:val="24"/>
        </w:rPr>
        <w:t>La radice ultima della centrale di Lisbona affonda nel trauma della decolonizzazione francese, e segnatamente nella vicenda dell'</w:t>
      </w:r>
      <w:r>
        <w:rPr>
          <w:rFonts w:ascii="Times New Roman" w:hAnsi="Times New Roman" w:cs="Times New Roman" w:eastAsia="Times New Roman"/>
          <w:b/>
          <w:sz w:val="24"/>
        </w:rPr>
        <w:t>Organisation armee secrete</w:t>
      </w:r>
      <w:r>
        <w:rPr>
          <w:rFonts w:ascii="Times New Roman" w:hAnsi="Times New Roman" w:cs="Times New Roman" w:eastAsia="Times New Roman"/>
          <w:b w:val="0"/>
          <w:sz w:val="24"/>
        </w:rPr>
        <w:t xml:space="preserve"> (Nodo I.11), la formazione clandestina che, fra il 1961 e il 1962, si oppose con il terrore all'indipendenza dell'Algeria e al disegno gollista di concederla. Composta da ufficiali dissidenti, da coloni irriducibili e da reduci delle guerre coloniali, essa condusse una campagna di attentati in Algeria e nella metropoli francese, giungendo a tentare la vita del capo dello Stato. Sciolta militarmente la ribellione e amnistiati o dispersi i suoi quadri, questi ultimi si sparsero per l'Europa e per il bacino mediterraneo, portando con se' un patrimonio di competenze nella guerriglia urbana, nel sabotaggio, nell'omicidio politico e nel maneggio degli esplosivi. Il corpus riconosce nell'Organisation armee secrete il serbatoio umano e tecnico da cui Aginter attinse: secondo una stima ricorrente nelle fonti, circa il 60 per cento del personale dell'agenzia proveniva da quelle file. Tale proporzione, per quanto necessariamente approssimativa, e' registrata con grado probabile, e vale a fissare la genealogia della centrale.</w:t>
      </w:r>
    </w:p>
    <w:p>
      <w:pPr>
        <w:ind w:firstLine="425"/>
        <w:jc w:val="both"/>
      </w:pPr>
      <w:r>
        <w:rPr>
          <w:rFonts w:ascii="Times New Roman" w:hAnsi="Times New Roman" w:cs="Times New Roman" w:eastAsia="Times New Roman"/>
          <w:b w:val="0"/>
          <w:sz w:val="24"/>
        </w:rPr>
        <w:t>La vicenda dell'Organisation armee secrete non e' per il corpus un mero antecedente cronologico, ma la matrice tecnica vera e propria della galassia nera. E' in quel crogiolo che si formarono le competenze che Aginter avrebbe poi sistematizzato e insegnato: la fabbricazione degli ordigni, la conduzione degli attentati mirati, la creazione di reti clandestine compartimentate, l'uso della stampa e della propaganda come armi. Il trapasso da una struttura all'altra non fu una successione formale, ma una migrazione di uomini e di saperi, tale che l'agenzia lisbonese puo' essere descritta, senza forzatura, come la reincarnazione istituzionale, in veste anticomunista e transnazionale, dell'esperienza algerina. Questa continuita' spiega perche' il corpus consideri la Fase I come la trattazione della radice: prima di Aginter vi e' l'Organisation armee secrete, e prima ancora vi e' la guerra rivoluzionaria appresa in Indocina.</w:t>
      </w:r>
    </w:p>
    <w:p>
      <w:pPr>
        <w:ind w:firstLine="425"/>
        <w:jc w:val="both"/>
      </w:pPr>
      <w:r>
        <w:rPr>
          <w:rFonts w:ascii="Times New Roman" w:hAnsi="Times New Roman" w:cs="Times New Roman" w:eastAsia="Times New Roman"/>
          <w:b w:val="0"/>
          <w:sz w:val="24"/>
        </w:rPr>
        <w:t xml:space="preserve">Alla matrice si connette il </w:t>
      </w:r>
      <w:r>
        <w:rPr>
          <w:rFonts w:ascii="Times New Roman" w:hAnsi="Times New Roman" w:cs="Times New Roman" w:eastAsia="Times New Roman"/>
          <w:b/>
          <w:sz w:val="24"/>
        </w:rPr>
        <w:t>Servizio di documentazione estera e di controspionaggio francese e il reparto d'assalto denominato 11e Choc</w:t>
      </w:r>
      <w:r>
        <w:rPr>
          <w:rFonts w:ascii="Times New Roman" w:hAnsi="Times New Roman" w:cs="Times New Roman" w:eastAsia="Times New Roman"/>
          <w:b w:val="0"/>
          <w:sz w:val="24"/>
        </w:rPr>
        <w:t xml:space="preserve"> (Nodo I.12), ambienti da cui la controrivoluzione trasse ufficiali e metodi, e che costituiscono il retroterra istituzionale, per quanto ambiguo e in parte deviato, della migrazione dei quadri. Il corpus, con la consueta prudenza, li registra come matrice tecnica e non come committenza attiva: che da quegli ambienti provenissero uomini e dottrine e' di grado probabile; che essi orchestrassero direttamente le operazioni di Aginter e' asserzione che il corpus non promuove oltre il grado del candidato. La distinzione, ancora una volta, discrimina la provenienza da una regia, e impedisce di trasformare una comune scuola d'origine nella prova di un comando in atto.</w:t>
      </w:r>
    </w:p>
    <w:p>
      <w:pPr>
        <w:ind w:firstLine="425"/>
        <w:jc w:val="both"/>
      </w:pPr>
      <w:r>
        <w:rPr>
          <w:rFonts w:ascii="Times New Roman" w:hAnsi="Times New Roman" w:cs="Times New Roman" w:eastAsia="Times New Roman"/>
          <w:b w:val="0"/>
          <w:sz w:val="24"/>
        </w:rPr>
        <w:t xml:space="preserve">La biografia stessa del fondatore, ovvero </w:t>
      </w:r>
      <w:r>
        <w:rPr>
          <w:rFonts w:ascii="Times New Roman" w:hAnsi="Times New Roman" w:cs="Times New Roman" w:eastAsia="Times New Roman"/>
          <w:b/>
          <w:sz w:val="24"/>
        </w:rPr>
        <w:t>Yves Guillou nei teatri coloniali</w:t>
      </w:r>
      <w:r>
        <w:rPr>
          <w:rFonts w:ascii="Times New Roman" w:hAnsi="Times New Roman" w:cs="Times New Roman" w:eastAsia="Times New Roman"/>
          <w:b w:val="0"/>
          <w:sz w:val="24"/>
        </w:rPr>
        <w:t xml:space="preserve"> (Nodo I.13), costituisce l'anello personale che salda la matrice alla centrale: reduce dall'Indocina e dall'Algeria, transitato per l'Organisation armee secrete, egli reca in se', nella propria formazione, l'intero itinerario della controrivoluzione, e lo trasmette alla scuola che fonda. Da qui discende il primo dei grandi ponti genealogici dell'opera, il </w:t>
      </w:r>
      <w:r>
        <w:rPr>
          <w:rFonts w:ascii="Times New Roman" w:hAnsi="Times New Roman" w:cs="Times New Roman" w:eastAsia="Times New Roman"/>
          <w:b/>
          <w:sz w:val="24"/>
        </w:rPr>
        <w:t>ponte fra l'Organisation armee secrete e Aginter Press</w:t>
      </w:r>
      <w:r>
        <w:rPr>
          <w:rFonts w:ascii="Times New Roman" w:hAnsi="Times New Roman" w:cs="Times New Roman" w:eastAsia="Times New Roman"/>
          <w:b w:val="0"/>
          <w:sz w:val="24"/>
        </w:rPr>
        <w:t xml:space="preserve"> (Ponte I.14), che il corpus certifica con grado probabile quanto al travaso di uomini e tecniche, e che costituisce, per cosi' dire, l'atto di nascita della galassia nera internazionale quale fenomeno transnazionale. Prima di questo ponte, la controrivoluzione era un affare nazionale francese; dopo di esso, essa diviene una rete continentale, capace di reclutare in un Paese, addestrare in un altro e colpire in un terzo.</w:t>
      </w:r>
    </w:p>
    <w:p>
      <w:pPr>
        <w:ind w:firstLine="425"/>
        <w:jc w:val="both"/>
      </w:pPr>
      <w:r>
        <w:rPr>
          <w:rFonts w:ascii="Times New Roman" w:hAnsi="Times New Roman" w:cs="Times New Roman" w:eastAsia="Times New Roman"/>
          <w:b w:val="0"/>
          <w:sz w:val="24"/>
        </w:rPr>
        <w:t xml:space="preserve">Un secondo ponte, di portata piu' ampia e di piu' immediato interesse per la storia italiana, proietta la medesima matrice sino al suolo della penisola: il </w:t>
      </w:r>
      <w:r>
        <w:rPr>
          <w:rFonts w:ascii="Times New Roman" w:hAnsi="Times New Roman" w:cs="Times New Roman" w:eastAsia="Times New Roman"/>
          <w:b/>
          <w:sz w:val="24"/>
        </w:rPr>
        <w:t>ponte fra i quadri dell'Organisation armee secrete e l'istruttore di esplosivi di Roma</w:t>
      </w:r>
      <w:r>
        <w:rPr>
          <w:rFonts w:ascii="Times New Roman" w:hAnsi="Times New Roman" w:cs="Times New Roman" w:eastAsia="Times New Roman"/>
          <w:b w:val="0"/>
          <w:sz w:val="24"/>
        </w:rPr>
        <w:t xml:space="preserve"> (Ponte I.15). Negli atti dell'istruttoria condotta in sede giudiziaria sul terrorismo nero risulta, infatti, che un ex ufficiale francese di quella provenienza addestro' all'uso degli esplosivi militanti dell'estrema destra romana, in uno scantinato di via Michele Amari. Tale sinapsi, di grado probabile, anticipa un nesso che troverà piena trattazione nelle Fasi successive, allorche' si discutera' di Avanguardia Nazionale e dei flussi d'armi, e mostra come la radice algerina non sia rimasta confinata al Portogallo, ma abbia irrorato direttamente l'eversione italiana. La triangolazione fra l'Organisation armee secrete, Aginter e l'istruttore romano disegna cosi' il primo dei grandi triangoli genealogici del corpus: una sola matrice, tre destinazioni, nessuna centrale unica di comando ma un'unica scuola d'origine. Con esso il capitolo consegna la propria quota di cinque unita' analitiche e chiude la trattazione della radice.</w:t>
      </w:r>
    </w:p>
    <w:p>
      <w:pPr>
        <w:spacing w:before="360" w:after="120"/>
        <w:ind w:firstLine="0"/>
        <w:jc w:val="left"/>
      </w:pPr>
      <w:r>
        <w:rPr>
          <w:rFonts w:ascii="Times New Roman" w:hAnsi="Times New Roman" w:cs="Times New Roman" w:eastAsia="Times New Roman"/>
          <w:b/>
          <w:sz w:val="28"/>
        </w:rPr>
        <w:t>Capitolo 4. Il trait d'union italiano: Stefano Delle Chiaie e Avanguardia Nazionale</w:t>
      </w:r>
    </w:p>
    <w:p>
      <w:pPr>
        <w:ind w:firstLine="425"/>
        <w:jc w:val="both"/>
      </w:pPr>
      <w:r>
        <w:rPr>
          <w:rFonts w:ascii="Times New Roman" w:hAnsi="Times New Roman" w:cs="Times New Roman" w:eastAsia="Times New Roman"/>
          <w:b w:val="0"/>
          <w:sz w:val="24"/>
        </w:rPr>
        <w:t xml:space="preserve">Nessun nodo, dopo il fondatore di Aginter, raccoglie nel corpus tante sinapsi quanto </w:t>
      </w:r>
      <w:r>
        <w:rPr>
          <w:rFonts w:ascii="Times New Roman" w:hAnsi="Times New Roman" w:cs="Times New Roman" w:eastAsia="Times New Roman"/>
          <w:b/>
          <w:sz w:val="24"/>
        </w:rPr>
        <w:t>Stefano Delle Chiaie</w:t>
      </w:r>
      <w:r>
        <w:rPr>
          <w:rFonts w:ascii="Times New Roman" w:hAnsi="Times New Roman" w:cs="Times New Roman" w:eastAsia="Times New Roman"/>
          <w:b w:val="0"/>
          <w:sz w:val="24"/>
        </w:rPr>
        <w:t xml:space="preserve"> (Nodo I.16), la cui centralita' e' fatta di mobilita' e di ubiquita'. Militante dell'estrema destra romana sin dai primi anni cinquanta, fondatore di una propria organizzazione, cofondatore di Aginter, ospite dei regimi iberici e operativo nell'America Latina sino al principio degli anni ottanta, egli e' il trait d'union per eccellenza fra l'eversione italiana e la galassia internazionale. La sua statura fisica minuta, che gli valse il soprannome con cui e' ricordato, contrastava con l'ampiezza delle sue diramazioni: pochi uomini, nella storia della trama nera, hanno tessuto tante relazioni fra tanti fronti. Il corpus ne fa il secondo grande nodo del dominio nero, e ne certifica con grado certo la biografia e i ruoli organizzativi, riservando invece alle sue responsabilita' penali una trattazione improntata al massimo rigore, giacche' in Italia egli fu, per taluni dei capi d'imputazione piu' gravi, e segnatamente per la strage di piazza Fontana, assolto in via definitiva.</w:t>
      </w:r>
    </w:p>
    <w:p>
      <w:pPr>
        <w:ind w:firstLine="425"/>
        <w:jc w:val="both"/>
      </w:pPr>
      <w:r>
        <w:rPr>
          <w:rFonts w:ascii="Times New Roman" w:hAnsi="Times New Roman" w:cs="Times New Roman" w:eastAsia="Times New Roman"/>
          <w:b w:val="0"/>
          <w:sz w:val="24"/>
        </w:rPr>
        <w:t>L'assoluzione di Delle Chiaie, lungi dall'essere un dettaglio processuale, e' per l'opera un caso esemplare di applicazione dello statuto. Che egli sia stato una figura centrale della rete eversiva e' documentato con grado certo; che sia stato personalmente responsabile di determinate stragi e' asserzione che le sentenze non hanno accolto, e che il corpus percio' non promuove. Qui si tocca con mano la differenza fra la ricostruzione storica di un ambiente e l'accertamento giudiziario di una responsabilita' individuale: la prima puo' collocare un uomo al centro di una trama, la seconda esige la prova del singolo fatto oltre ogni ragionevole dubbio. Il corpus tiene fermi entrambi i piani, senza confonderli: Delle Chiaie e' un hub della rete, ma non e' per cio' stesso il colpevole accertato di ciascuno dei delitti che alla rete si ascrivono.</w:t>
      </w:r>
    </w:p>
    <w:p>
      <w:pPr>
        <w:ind w:firstLine="425"/>
        <w:jc w:val="both"/>
      </w:pPr>
      <w:r>
        <w:rPr>
          <w:rFonts w:ascii="Times New Roman" w:hAnsi="Times New Roman" w:cs="Times New Roman" w:eastAsia="Times New Roman"/>
          <w:b w:val="0"/>
          <w:sz w:val="24"/>
        </w:rPr>
        <w:t xml:space="preserve">Lo strumento organizzativo di Delle Chiaie fu </w:t>
      </w:r>
      <w:r>
        <w:rPr>
          <w:rFonts w:ascii="Times New Roman" w:hAnsi="Times New Roman" w:cs="Times New Roman" w:eastAsia="Times New Roman"/>
          <w:b/>
          <w:sz w:val="24"/>
        </w:rPr>
        <w:t>Avanguardia Nazionale</w:t>
      </w:r>
      <w:r>
        <w:rPr>
          <w:rFonts w:ascii="Times New Roman" w:hAnsi="Times New Roman" w:cs="Times New Roman" w:eastAsia="Times New Roman"/>
          <w:b w:val="0"/>
          <w:sz w:val="24"/>
        </w:rPr>
        <w:t xml:space="preserve"> (Nodo I.17), formazione neofascista da lui fondata e poi rifondata, disciolta d'autorita' nel 1976 quale ricostituzione del disciolto partito fascista. Il corpus la registra come uno dei nodi cardinali dell'eversione nera, distinguendone accuratamente la natura da quella di Ordine Nuovo, con cui pure ebbe contiguita' e rivalita'. La sua fisionomia di squadra d'azione, votata alla militanza di piazza, alla provocazione e all'infiltrazione dei movimenti avversari, e' documentata con grado certo; la sua eventuale eterodirezione da parte degli apparati di sicurezza e' materia che il corpus tratta con grado probabile, e alla quale sara' dedicata piu' ampia analisi nella Fase III, allorche' si discutera' del rapporto fra eversione e servizi deviati. Avanguardia Nazionale rappresenta, nel disegno del corpus, il versante piu' spiccatamente attivista e squadristico della galassia, in contrapposizione al versante piu' dottrinale e tradizionalista incarnato da Ordine Nuovo.</w:t>
      </w:r>
    </w:p>
    <w:p>
      <w:pPr>
        <w:ind w:firstLine="425"/>
        <w:jc w:val="both"/>
      </w:pPr>
      <w:r>
        <w:rPr>
          <w:rFonts w:ascii="Times New Roman" w:hAnsi="Times New Roman" w:cs="Times New Roman" w:eastAsia="Times New Roman"/>
          <w:b w:val="0"/>
          <w:sz w:val="24"/>
        </w:rPr>
        <w:t xml:space="preserve">Il legame fra i due nodi appena isolati e il vertice di Lisbona costituisce il </w:t>
      </w:r>
      <w:r>
        <w:rPr>
          <w:rFonts w:ascii="Times New Roman" w:hAnsi="Times New Roman" w:cs="Times New Roman" w:eastAsia="Times New Roman"/>
          <w:b/>
          <w:sz w:val="24"/>
        </w:rPr>
        <w:t>ponte fra Delle Chiaie e Guerin-Serac</w:t>
      </w:r>
      <w:r>
        <w:rPr>
          <w:rFonts w:ascii="Times New Roman" w:hAnsi="Times New Roman" w:cs="Times New Roman" w:eastAsia="Times New Roman"/>
          <w:b w:val="0"/>
          <w:sz w:val="24"/>
        </w:rPr>
        <w:t xml:space="preserve"> (Ponte I.18), sinapsi di grado certo poiche' Delle Chiaie figura fra i fondatori di Aginter, e dunque partecipe della sua struttura sin dall'origine e non gia' semplice frequentatore occasionale. Da tale ponte discende, per naturale prolungamento, il </w:t>
      </w:r>
      <w:r>
        <w:rPr>
          <w:rFonts w:ascii="Times New Roman" w:hAnsi="Times New Roman" w:cs="Times New Roman" w:eastAsia="Times New Roman"/>
          <w:b/>
          <w:sz w:val="24"/>
        </w:rPr>
        <w:t>ponte fra Delle Chiaie e i regimi iberici</w:t>
      </w:r>
      <w:r>
        <w:rPr>
          <w:rFonts w:ascii="Times New Roman" w:hAnsi="Times New Roman" w:cs="Times New Roman" w:eastAsia="Times New Roman"/>
          <w:b w:val="0"/>
          <w:sz w:val="24"/>
        </w:rPr>
        <w:t xml:space="preserve"> (Ponte I.19), che condusse il dirigente italiano a rifugiarsi e a operare nella Spagna franchista e nel Portogallo salazariano, ove trovo' protezione, impiego e una base logistica per le proiezioni successive. Anche questa sinapsi e' di grado certo, ed e' l'anticamera della proiezione latinoamericana che sara' oggetto della Fase II: dalla penisola iberica, ultimo rifugio europeo dei fascismi, la diaspora nera avrebbe traghettato verso il Cono Sud uomini, metodi e relazioni.</w:t>
      </w:r>
    </w:p>
    <w:p>
      <w:pPr>
        <w:ind w:firstLine="425"/>
        <w:jc w:val="both"/>
      </w:pPr>
      <w:r>
        <w:rPr>
          <w:rFonts w:ascii="Times New Roman" w:hAnsi="Times New Roman" w:cs="Times New Roman" w:eastAsia="Times New Roman"/>
          <w:b w:val="0"/>
          <w:sz w:val="24"/>
        </w:rPr>
        <w:t xml:space="preserve">A completamento del capitolo si registra il metodo squadristico che Delle Chiaie e la sua organizzazione praticarono, condensato nel nodo del </w:t>
      </w:r>
      <w:r>
        <w:rPr>
          <w:rFonts w:ascii="Times New Roman" w:hAnsi="Times New Roman" w:cs="Times New Roman" w:eastAsia="Times New Roman"/>
          <w:b/>
          <w:sz w:val="24"/>
        </w:rPr>
        <w:t>modello dell'azione diretta neofascista</w:t>
      </w:r>
      <w:r>
        <w:rPr>
          <w:rFonts w:ascii="Times New Roman" w:hAnsi="Times New Roman" w:cs="Times New Roman" w:eastAsia="Times New Roman"/>
          <w:b w:val="0"/>
          <w:sz w:val="24"/>
        </w:rPr>
        <w:t xml:space="preserve"> (Nodo I.20), fatto di aggressioni, di provocazioni, di infiltrazioni e di depistaggi, che costitui' la cifra operativa dell'eversione nera romana. Tale nodo, di grado certo nella sua fenomenologia, illumina per contrasto la differenza fra il fronte nero e quello rosso, che sara' oggetto della Fase IV: laddove il terrorismo di sinistra tese, con le Brigate Rosse, alla clandestinita' compiuta e alla lotta armata dichiarata e rivendicata, quello di destra prediligeva l'ambiguita', la copertura, la provocazione e l'attribuzione all'avversario, secondo la lezione della guerra non ortodossa appresa da Aginter. La triangolazione fra Delle Chiaie, Avanguardia Nazionale e il vertice di Lisbona mostra come il trait d'union italiano non fosse un battitore libero, ma un nodo pienamente inserito nella struttura internazionale, di cui recava in patria la dottrina e il metodo. Il capitolo consegna cosi' tre nodi e due ponti, per la massima parte di grado certo.</w:t>
      </w:r>
    </w:p>
    <w:p>
      <w:pPr>
        <w:spacing w:before="360" w:after="120"/>
        <w:ind w:firstLine="0"/>
        <w:jc w:val="left"/>
      </w:pPr>
      <w:r>
        <w:rPr>
          <w:rFonts w:ascii="Times New Roman" w:hAnsi="Times New Roman" w:cs="Times New Roman" w:eastAsia="Times New Roman"/>
          <w:b/>
          <w:sz w:val="28"/>
        </w:rPr>
        <w:t>Capitolo 5. Ordine Nuovo e la scena veneta</w:t>
      </w:r>
    </w:p>
    <w:p>
      <w:pPr>
        <w:ind w:firstLine="425"/>
        <w:jc w:val="both"/>
      </w:pPr>
      <w:r>
        <w:rPr>
          <w:rFonts w:ascii="Times New Roman" w:hAnsi="Times New Roman" w:cs="Times New Roman" w:eastAsia="Times New Roman"/>
          <w:b w:val="0"/>
          <w:sz w:val="24"/>
        </w:rPr>
        <w:t xml:space="preserve">Parallela ad Avanguardia Nazionale, e con essa concorrente nell'universo dell'eversione nera, si colloca </w:t>
      </w:r>
      <w:r>
        <w:rPr>
          <w:rFonts w:ascii="Times New Roman" w:hAnsi="Times New Roman" w:cs="Times New Roman" w:eastAsia="Times New Roman"/>
          <w:b/>
          <w:sz w:val="24"/>
        </w:rPr>
        <w:t>Ordine Nuovo</w:t>
      </w:r>
      <w:r>
        <w:rPr>
          <w:rFonts w:ascii="Times New Roman" w:hAnsi="Times New Roman" w:cs="Times New Roman" w:eastAsia="Times New Roman"/>
          <w:b w:val="0"/>
          <w:sz w:val="24"/>
        </w:rPr>
        <w:t xml:space="preserve"> (Nodo I.21), il movimento che dalla dottrina tradizionalista e dalla militanza radicale trasse la propria fisionomia, e che il corpus riconosce fra i nodi cardinali del dominio nero, in specie per il suo radicamento nell'Italia nord-orientale. Nato come centro studi in seno al Movimento Sociale Italiano e poi resosi autonomo, esso coniugava un'elaborazione ideologica di matrice esoterica e tradizionalista con una spiccata propensione all'azione, e proprio in questa duplicita' risiede la sua pericolosita' agli occhi del corpus. La sua vicenda si intreccia strettamente con quella delle stragi, e in particolare con quella di piazza Fontana del 12 dicembre 1969, che sara' trattata compiutamente nella Fase III; qui basti fissarne la natura di organizzazione strutturata, dotata di una propria elaborazione ideologica e di una propria capacita' operativa, con grado certo.</w:t>
      </w:r>
    </w:p>
    <w:p>
      <w:pPr>
        <w:ind w:firstLine="425"/>
        <w:jc w:val="both"/>
      </w:pPr>
      <w:r>
        <w:rPr>
          <w:rFonts w:ascii="Times New Roman" w:hAnsi="Times New Roman" w:cs="Times New Roman" w:eastAsia="Times New Roman"/>
          <w:b w:val="0"/>
          <w:sz w:val="24"/>
        </w:rPr>
        <w:t xml:space="preserve">Al vertice ideologico di Ordine Nuovo il corpus colloca la figura del suo fondatore e animatore, </w:t>
      </w:r>
      <w:r>
        <w:rPr>
          <w:rFonts w:ascii="Times New Roman" w:hAnsi="Times New Roman" w:cs="Times New Roman" w:eastAsia="Times New Roman"/>
          <w:b/>
          <w:sz w:val="24"/>
        </w:rPr>
        <w:t>Pino Rauti</w:t>
      </w:r>
      <w:r>
        <w:rPr>
          <w:rFonts w:ascii="Times New Roman" w:hAnsi="Times New Roman" w:cs="Times New Roman" w:eastAsia="Times New Roman"/>
          <w:b w:val="0"/>
          <w:sz w:val="24"/>
        </w:rPr>
        <w:t xml:space="preserve"> (Nodo I.22), teorico del tradizionalismo rivoluzionario e punto di raccordo fra la militanza extraparlamentare e la politica ufficiale del Movimento Sociale Italiano, entro il quale egli sarebbe poi rientrato. La sua figura e' emblematica della doppiezza costitutiva della destra radicale italiana, sospesa fra la tentazione dell'azione sovversiva e la ricerca di una legittimazione parlamentare, e in tale oscillazione il corpus riconosce uno dei tratti che distinguono l'eversione nera italiana da quella di altri Paesi. Rauti fu processato e assolto in relazione a taluni degli attentati, e il corpus ne registra la posizione con la dovuta articolazione fra l'appartenenza documentata all'ambiente e l'accertamento giudiziario delle singole responsabilita'.</w:t>
      </w:r>
    </w:p>
    <w:p>
      <w:pPr>
        <w:ind w:firstLine="425"/>
        <w:jc w:val="both"/>
      </w:pPr>
      <w:r>
        <w:rPr>
          <w:rFonts w:ascii="Times New Roman" w:hAnsi="Times New Roman" w:cs="Times New Roman" w:eastAsia="Times New Roman"/>
          <w:b w:val="0"/>
          <w:sz w:val="24"/>
        </w:rPr>
        <w:t xml:space="preserve">Sul piano operativo veneto emergono, invece, due figure che le sentenze piu' recenti hanno collocato al centro della trama stragista: </w:t>
      </w:r>
      <w:r>
        <w:rPr>
          <w:rFonts w:ascii="Times New Roman" w:hAnsi="Times New Roman" w:cs="Times New Roman" w:eastAsia="Times New Roman"/>
          <w:b/>
          <w:sz w:val="24"/>
        </w:rPr>
        <w:t>Delfo Zorzi</w:t>
      </w:r>
      <w:r>
        <w:rPr>
          <w:rFonts w:ascii="Times New Roman" w:hAnsi="Times New Roman" w:cs="Times New Roman" w:eastAsia="Times New Roman"/>
          <w:b w:val="0"/>
          <w:sz w:val="24"/>
        </w:rPr>
        <w:t xml:space="preserve"> (Nodo I.23) e </w:t>
      </w:r>
      <w:r>
        <w:rPr>
          <w:rFonts w:ascii="Times New Roman" w:hAnsi="Times New Roman" w:cs="Times New Roman" w:eastAsia="Times New Roman"/>
          <w:b/>
          <w:sz w:val="24"/>
        </w:rPr>
        <w:t>Carlo Maria Maggi</w:t>
      </w:r>
      <w:r>
        <w:rPr>
          <w:rFonts w:ascii="Times New Roman" w:hAnsi="Times New Roman" w:cs="Times New Roman" w:eastAsia="Times New Roman"/>
          <w:b w:val="0"/>
          <w:sz w:val="24"/>
        </w:rPr>
        <w:t xml:space="preserve"> (Nodo I.24), quadri dell'organizzazione nel Triveneto, la cui responsabilita' in ordine agli attentati e' stata oggetto di pronunce giudiziarie di grado diverso, che il corpus registra con la dovuta articolazione, distinguendo le condanne dalle assoluzioni e le sentenze definitive da quelle riformate nei gradi successivi. La vicenda processuale di piazza Fontana, in specie, si e' snodata attraverso decenni e ha conosciuto esiti alterni, tali che il corpus si astiene dal ridurla a una formula, e ne conserva invece la complessita', assegnando a ciascun segmento il proprio grado. E' questo, del resto, uno dei banchi di prova piu' ardui del metodo: mantenere insieme la certezza storica della matrice nera e l'incertezza giudiziaria delle singole condanne, senza sacrificare l'una all'altra.</w:t>
      </w:r>
    </w:p>
    <w:p>
      <w:pPr>
        <w:ind w:firstLine="425"/>
        <w:jc w:val="both"/>
      </w:pPr>
      <w:r>
        <w:rPr>
          <w:rFonts w:ascii="Times New Roman" w:hAnsi="Times New Roman" w:cs="Times New Roman" w:eastAsia="Times New Roman"/>
          <w:b w:val="0"/>
          <w:sz w:val="24"/>
        </w:rPr>
        <w:t xml:space="preserve">Il legame fra la scena veneta di Ordine Nuovo e la centrale lisbonese e' affidato al </w:t>
      </w:r>
      <w:r>
        <w:rPr>
          <w:rFonts w:ascii="Times New Roman" w:hAnsi="Times New Roman" w:cs="Times New Roman" w:eastAsia="Times New Roman"/>
          <w:b/>
          <w:sz w:val="24"/>
        </w:rPr>
        <w:t>ponte fra Ordine Nuovo e la dottrina di Aginter</w:t>
      </w:r>
      <w:r>
        <w:rPr>
          <w:rFonts w:ascii="Times New Roman" w:hAnsi="Times New Roman" w:cs="Times New Roman" w:eastAsia="Times New Roman"/>
          <w:b w:val="0"/>
          <w:sz w:val="24"/>
        </w:rPr>
        <w:t xml:space="preserve"> (Ponte I.25), sinapsi che il corpus certifica con grado probabile e non certo, giacche' essa poggia non gia' su un vincolo organizzativo formale, bensi' sulla comunanza di dottrina e sulla frequentazione dei medesimi ambienti internazionali. Che i quadri ordinovisti conoscessero e praticassero le tecniche della guerra non ortodossa e' documentato; che essi ricevessero ordini dalla centrale portoghese e' asserzione che il corpus non promuove al di la' del grado del candidato. La triangolazione fra Ordine Nuovo, Avanguardia Nazionale e Aginter disegna cosi' un triangolo di ambiente, entro il quale gli attori condividevano dottrina, metodo e talora uomini, senza per questo obbedire a un unico centro di comando: e' precisamente questa la struttura che il corpus definisce convergenza di milieu, e che tiene rigorosamente distinta dalla catena gerarchica. Il lettore osservi come, capitolo dopo capitolo, il medesimo schema si riproponga: attori diversi, dottrina comune, nessuna centrale provata. Non e' una reticenza, ma un risultato: la trama nera fu una galassia, non una piramide.</w:t>
      </w:r>
    </w:p>
    <w:p>
      <w:pPr>
        <w:spacing w:before="360" w:after="120"/>
        <w:ind w:firstLine="0"/>
        <w:jc w:val="left"/>
      </w:pPr>
      <w:r>
        <w:rPr>
          <w:rFonts w:ascii="Times New Roman" w:hAnsi="Times New Roman" w:cs="Times New Roman" w:eastAsia="Times New Roman"/>
          <w:b/>
          <w:sz w:val="28"/>
        </w:rPr>
        <w:t>Capitolo 6. I servizi di copertura: la trama degli apparati</w:t>
      </w:r>
    </w:p>
    <w:p>
      <w:pPr>
        <w:ind w:firstLine="425"/>
        <w:jc w:val="both"/>
      </w:pPr>
      <w:r>
        <w:rPr>
          <w:rFonts w:ascii="Times New Roman" w:hAnsi="Times New Roman" w:cs="Times New Roman" w:eastAsia="Times New Roman"/>
          <w:b w:val="0"/>
          <w:sz w:val="24"/>
        </w:rPr>
        <w:t xml:space="preserve">La galassia nera non avrebbe potuto operare, ne' sopravvivere, senza il concorso, attivo o omissivo, degli apparati di sicurezza degli Stati che la ospitarono e la tollerarono. Il primo di tali apparati, in ordine di prossimita' alla centrale, e' la </w:t>
      </w:r>
      <w:r>
        <w:rPr>
          <w:rFonts w:ascii="Times New Roman" w:hAnsi="Times New Roman" w:cs="Times New Roman" w:eastAsia="Times New Roman"/>
          <w:b/>
          <w:sz w:val="24"/>
        </w:rPr>
        <w:t>polizia politica portoghese</w:t>
      </w:r>
      <w:r>
        <w:rPr>
          <w:rFonts w:ascii="Times New Roman" w:hAnsi="Times New Roman" w:cs="Times New Roman" w:eastAsia="Times New Roman"/>
          <w:b w:val="0"/>
          <w:sz w:val="24"/>
        </w:rPr>
        <w:t xml:space="preserve"> (Nodo I.26), la PIDE poi ridenominata Direccao-Geral de Seguranca, che protesse e impiego' Aginter sul suolo lusitano, e che ne fu, secondo la documentazione, il primo e piu' diretto referente statale. Il legame fra l'agenzia e la polizia salazariana e' di grado certo, e costituisce il caso piu' limpido di committenza fra quelli che l'opera esamina: qui la copertura statale non e' inferita per via indiziaria, ma documentata negli atti sequestrati dopo il 1974, che mostrano l'inserimento di Aginter nel dispositivo di sicurezza del regime. E' importante, ai fini del metodo, che almeno un caso di committenza sia pienamente provato, poiche' esso funge da pietra di paragone rispetto agli altri, che tali non sono: la certezza del legame con la PIDE misura, per contrasto, l'incertezza degli altri legami con gli apparati.</w:t>
      </w:r>
    </w:p>
    <w:p>
      <w:pPr>
        <w:ind w:firstLine="425"/>
        <w:jc w:val="both"/>
      </w:pPr>
      <w:r>
        <w:rPr>
          <w:rFonts w:ascii="Times New Roman" w:hAnsi="Times New Roman" w:cs="Times New Roman" w:eastAsia="Times New Roman"/>
          <w:b w:val="0"/>
          <w:sz w:val="24"/>
        </w:rPr>
        <w:t xml:space="preserve">A tale apparato si connette la </w:t>
      </w:r>
      <w:r>
        <w:rPr>
          <w:rFonts w:ascii="Times New Roman" w:hAnsi="Times New Roman" w:cs="Times New Roman" w:eastAsia="Times New Roman"/>
          <w:b/>
          <w:sz w:val="24"/>
        </w:rPr>
        <w:t>liaison fra la Central Intelligence Agency e la PIDE</w:t>
      </w:r>
      <w:r>
        <w:rPr>
          <w:rFonts w:ascii="Times New Roman" w:hAnsi="Times New Roman" w:cs="Times New Roman" w:eastAsia="Times New Roman"/>
          <w:b w:val="0"/>
          <w:sz w:val="24"/>
        </w:rPr>
        <w:t xml:space="preserve"> (Nodo I.27), attiva secondo le fonti sin dal 1957, che inseri' la centrale lisbonese in un circuito atlantico piu' ampio. Il corpus tratta questo nodo con prudenza calibrata, e ne fa anzi un esempio didattico della propria gradazione: che esistesse una collaborazione fra il servizio statunitense e la polizia portoghese e' di grado probabile, poiche' rientra nella logica dell'alleanza atlantica e trova riscontri documentali; che tale collaborazione implicasse una direzione statunitense delle operazioni di Aginter e' asserzione di grado candidato, che l'opera registra senza promuoverla, poiche' manca la prova del comando. La differenza fra i due gradi non e' sottigliezza accademica, ma sostanza: fra il sapere che due apparati collaboravano e il concludere che l'uno dirigeva le azioni terroristiche dell'altro corre l'intera distanza che separa la storia dalla dietrologia.</w:t>
      </w:r>
    </w:p>
    <w:p>
      <w:pPr>
        <w:ind w:firstLine="425"/>
        <w:jc w:val="both"/>
      </w:pPr>
      <w:r>
        <w:rPr>
          <w:rFonts w:ascii="Times New Roman" w:hAnsi="Times New Roman" w:cs="Times New Roman" w:eastAsia="Times New Roman"/>
          <w:b w:val="0"/>
          <w:sz w:val="24"/>
        </w:rPr>
        <w:t xml:space="preserve">Il documento noto come rapporto </w:t>
      </w:r>
      <w:r>
        <w:rPr>
          <w:rFonts w:ascii="Times New Roman" w:hAnsi="Times New Roman" w:cs="Times New Roman" w:eastAsia="Times New Roman"/>
          <w:b/>
          <w:sz w:val="24"/>
        </w:rPr>
        <w:t>Servico de Documentacao e Contra-Informacao</w:t>
      </w:r>
      <w:r>
        <w:rPr>
          <w:rFonts w:ascii="Times New Roman" w:hAnsi="Times New Roman" w:cs="Times New Roman" w:eastAsia="Times New Roman"/>
          <w:b w:val="0"/>
          <w:sz w:val="24"/>
        </w:rPr>
        <w:t>, redatto dopo il 1974 e articolato nelle celebri quattro funzioni dell'agenzia (Nodo I.28), fornisce a tale proposito la piu' organica descrizione delle attivita' di Aginter, distinguendone i compiti di raccolta informativa, di propaganda, di addestramento e di azione. Il corpus lo assume come fonte di grado probabile, riconoscendone il valore ricostruttivo ma tenendo conto della sua natura di documento redatto a posteriori e in un contesto politico mutato. La quadripartizione delle funzioni e' preziosa poiche' restituisce la fisionomia composita dell'agenzia, che non fu soltanto una scuola di terroristi, ma un organo complesso, in cui la penna e la bomba, la scheda e l'esplosivo, coesistevano sotto un'unica direzione.</w:t>
      </w:r>
    </w:p>
    <w:p>
      <w:pPr>
        <w:ind w:firstLine="425"/>
        <w:jc w:val="both"/>
      </w:pPr>
      <w:r>
        <w:rPr>
          <w:rFonts w:ascii="Times New Roman" w:hAnsi="Times New Roman" w:cs="Times New Roman" w:eastAsia="Times New Roman"/>
          <w:b w:val="0"/>
          <w:sz w:val="24"/>
        </w:rPr>
        <w:t xml:space="preserve">Sul versante germanico opera un ulteriore apparato, il </w:t>
      </w:r>
      <w:r>
        <w:rPr>
          <w:rFonts w:ascii="Times New Roman" w:hAnsi="Times New Roman" w:cs="Times New Roman" w:eastAsia="Times New Roman"/>
          <w:b/>
          <w:sz w:val="24"/>
        </w:rPr>
        <w:t>Bundesnachrichtendienst erede dell'Organizzazione Gehlen</w:t>
      </w:r>
      <w:r>
        <w:rPr>
          <w:rFonts w:ascii="Times New Roman" w:hAnsi="Times New Roman" w:cs="Times New Roman" w:eastAsia="Times New Roman"/>
          <w:b w:val="0"/>
          <w:sz w:val="24"/>
        </w:rPr>
        <w:t xml:space="preserve"> (Nodo I.29), il servizio informazioni della Repubblica Federale nato dalle ceneri dell'apparato militare del Reich e riciclato in funzione anticomunista dagli Alleati occidentali. Il corpus lo registra come nodo del dominio dei servizi, e ne fa uno dei fili che collegano la galassia nera alla piu' vasta rete atlantica della guerra fredda e, insieme, alla diaspora nazista che sara' oggetto della Fase II. La sua connessione con Aginter e con i quadri tedeschi riciclati e' di grado probabile; la sua eventuale regia su operazioni specifiche resta di grado candidato. Qui esso vale soprattutto come tessera del mosaico degli apparati che, ciascuno per la propria giurisdizione e per i propri fini, coprirono e impiegarono la controrivoluzione, contribuendo a quella porosita' fra Stato ed eversione che e' uno dei grandi temi del corpus.</w:t>
      </w:r>
    </w:p>
    <w:p>
      <w:pPr>
        <w:ind w:firstLine="425"/>
        <w:jc w:val="both"/>
      </w:pPr>
      <w:r>
        <w:rPr>
          <w:rFonts w:ascii="Times New Roman" w:hAnsi="Times New Roman" w:cs="Times New Roman" w:eastAsia="Times New Roman"/>
          <w:b w:val="0"/>
          <w:sz w:val="24"/>
        </w:rPr>
        <w:t xml:space="preserve">Il capitolo si suggella con il </w:t>
      </w:r>
      <w:r>
        <w:rPr>
          <w:rFonts w:ascii="Times New Roman" w:hAnsi="Times New Roman" w:cs="Times New Roman" w:eastAsia="Times New Roman"/>
          <w:b/>
          <w:sz w:val="24"/>
        </w:rPr>
        <w:t>ponte fra la PIDE e Aginter Press</w:t>
      </w:r>
      <w:r>
        <w:rPr>
          <w:rFonts w:ascii="Times New Roman" w:hAnsi="Times New Roman" w:cs="Times New Roman" w:eastAsia="Times New Roman"/>
          <w:b w:val="0"/>
          <w:sz w:val="24"/>
        </w:rPr>
        <w:t xml:space="preserve"> (Ponte I.30), che il corpus eleva al grado certo, distinguendolo nettamente dagli altri legami con gli apparati, che restano di grado inferiore. In questa gradazione differenziata si manifesta, ancora una volta, la cifra del metodo: non tutti i legami sono uguali, e il compito dell'analisi non e' di appiattirli in un'unica accusa indistinta, bensi' di assegnare a ciascuno il grado che le fonti sostengono. La committenza portoghese e' provata; la collaborazione statunitense e' probabile; la direzione statunitense e' congetturata; e fra questi estremi si dispone la scala dei gradi, che e' lo strumento con cui l'opera difende il vero dal verosimile e il verosimile dall'immaginario. La triangolazione fra la PIDE, la Central Intelligence Agency e il Bundesnachrichtendienst mostra un reticolo di apparati fra loro collegati, entro cui Aginter si muoveva; ma tale reticolo, avverte il corpus, non e' una piramide con un vertice unico, bensi' una rete di protezioni concorrenti, in cui ciascun apparato perseguiva i propri fini nazionali servendosi, all'occorrenza, del medesimo strumento.</w:t>
      </w:r>
    </w:p>
    <w:p>
      <w:pPr>
        <w:spacing w:before="360" w:after="120"/>
        <w:ind w:firstLine="0"/>
        <w:jc w:val="left"/>
      </w:pPr>
      <w:r>
        <w:rPr>
          <w:rFonts w:ascii="Times New Roman" w:hAnsi="Times New Roman" w:cs="Times New Roman" w:eastAsia="Times New Roman"/>
          <w:b/>
          <w:sz w:val="28"/>
        </w:rPr>
        <w:t>Capitolo 7. L'internazionale reazionaria e i circoli europei</w:t>
      </w:r>
    </w:p>
    <w:p>
      <w:pPr>
        <w:ind w:firstLine="425"/>
        <w:jc w:val="both"/>
      </w:pPr>
      <w:r>
        <w:rPr>
          <w:rFonts w:ascii="Times New Roman" w:hAnsi="Times New Roman" w:cs="Times New Roman" w:eastAsia="Times New Roman"/>
          <w:b w:val="0"/>
          <w:sz w:val="24"/>
        </w:rPr>
        <w:t xml:space="preserve">La galassia nera non fu un fenomeno soltanto mediterraneo o coloniale, ma si inseri' in una piu' vasta internazionale reazionaria che percorse l'Europa della guerra fredda, dal Portogallo alla Scandinavia, dalla Francia alla Germania. Il suo cenacolo piu' influente fu il </w:t>
      </w:r>
      <w:r>
        <w:rPr>
          <w:rFonts w:ascii="Times New Roman" w:hAnsi="Times New Roman" w:cs="Times New Roman" w:eastAsia="Times New Roman"/>
          <w:b/>
          <w:sz w:val="24"/>
        </w:rPr>
        <w:t>Cercle, o circolo Pinay</w:t>
      </w:r>
      <w:r>
        <w:rPr>
          <w:rFonts w:ascii="Times New Roman" w:hAnsi="Times New Roman" w:cs="Times New Roman" w:eastAsia="Times New Roman"/>
          <w:b w:val="0"/>
          <w:sz w:val="24"/>
        </w:rPr>
        <w:t xml:space="preserve"> (Nodo I.31), sodalizio riservato che riuniva uomini politici, dirigenti dei servizi e industriali di orientamento anticomunista, e che costitui' un luogo di coordinamento informale delle destre atlantiche. Il corpus lo registra come nodo del dominio dei servizi e degli apparati, con grado probabile quanto alla sua esistenza e alla sua funzione di raccordo, e con grado candidato quanto alla sua eventuale regia su singole operazioni. La natura riservata e informale del Cercle rende ardua la ricostruzione delle sue attivita', e proprio per questo il corpus se ne tiene alla prudenza, evitando tanto di negarne il rilievo quanto di ingigantirlo in una centrale occulta del mondo.</w:t>
      </w:r>
    </w:p>
    <w:p>
      <w:pPr>
        <w:ind w:firstLine="425"/>
        <w:jc w:val="both"/>
      </w:pPr>
      <w:r>
        <w:rPr>
          <w:rFonts w:ascii="Times New Roman" w:hAnsi="Times New Roman" w:cs="Times New Roman" w:eastAsia="Times New Roman"/>
          <w:b w:val="0"/>
          <w:sz w:val="24"/>
        </w:rPr>
        <w:t xml:space="preserve">Anima intellettuale di tale rete fu </w:t>
      </w:r>
      <w:r>
        <w:rPr>
          <w:rFonts w:ascii="Times New Roman" w:hAnsi="Times New Roman" w:cs="Times New Roman" w:eastAsia="Times New Roman"/>
          <w:b/>
          <w:sz w:val="24"/>
        </w:rPr>
        <w:t>Brian Crozier</w:t>
      </w:r>
      <w:r>
        <w:rPr>
          <w:rFonts w:ascii="Times New Roman" w:hAnsi="Times New Roman" w:cs="Times New Roman" w:eastAsia="Times New Roman"/>
          <w:b w:val="0"/>
          <w:sz w:val="24"/>
        </w:rPr>
        <w:t xml:space="preserve"> (Nodo I.32), pubblicista e stratega della guerra psicologica, fondatore dell'Institute for the Study of Conflict, che teorizzo' e coordino' la controffensiva ideologica contro il comunismo e i suoi presunti agenti d'influenza in Occidente. La sua opera mostra come la controrivoluzione disponesse non solo di bracci operativi, ma anche di sofisticati apparati di elaborazione dottrinale e di propaganda, capaci di orientare l'opinione pubblica e di fornire una copertura intellettuale all'azione. A lui si affianca la figura di </w:t>
      </w:r>
      <w:r>
        <w:rPr>
          <w:rFonts w:ascii="Times New Roman" w:hAnsi="Times New Roman" w:cs="Times New Roman" w:eastAsia="Times New Roman"/>
          <w:b/>
          <w:sz w:val="24"/>
        </w:rPr>
        <w:t>Florimond Damman</w:t>
      </w:r>
      <w:r>
        <w:rPr>
          <w:rFonts w:ascii="Times New Roman" w:hAnsi="Times New Roman" w:cs="Times New Roman" w:eastAsia="Times New Roman"/>
          <w:b w:val="0"/>
          <w:sz w:val="24"/>
        </w:rPr>
        <w:t xml:space="preserve"> (Nodo I.33), animatore dell'Academie europeenne de sciences politiques e tessitore di reti fra le destre continentali, il cui contatto con la galassia e' documentato a partire dal 1969. Entrambi i nodi sono di grado probabile, e valgono a completare il quadro di un'internazionale reazionaria articolata in piu' livelli, dal cenacolo riservato all'istituto di studi, dalla rivista alla scuola di quadri.</w:t>
      </w:r>
    </w:p>
    <w:p>
      <w:pPr>
        <w:ind w:firstLine="425"/>
        <w:jc w:val="both"/>
      </w:pPr>
      <w:r>
        <w:rPr>
          <w:rFonts w:ascii="Times New Roman" w:hAnsi="Times New Roman" w:cs="Times New Roman" w:eastAsia="Times New Roman"/>
          <w:b w:val="0"/>
          <w:sz w:val="24"/>
        </w:rPr>
        <w:t xml:space="preserve">In questa medesima costellazione si inscrive </w:t>
      </w:r>
      <w:r>
        <w:rPr>
          <w:rFonts w:ascii="Times New Roman" w:hAnsi="Times New Roman" w:cs="Times New Roman" w:eastAsia="Times New Roman"/>
          <w:b/>
          <w:sz w:val="24"/>
        </w:rPr>
        <w:t>Jean Thiriart</w:t>
      </w:r>
      <w:r>
        <w:rPr>
          <w:rFonts w:ascii="Times New Roman" w:hAnsi="Times New Roman" w:cs="Times New Roman" w:eastAsia="Times New Roman"/>
          <w:b w:val="0"/>
          <w:sz w:val="24"/>
        </w:rPr>
        <w:t xml:space="preserve"> (Nodo I.34), teorico belga del nazional-europeismo e fondatore, fra il 1962 e il 1969, del movimento Jeune Europe, che predico' l'unita' del continente in funzione insieme anti-americana e anti-sovietica, secondo la formula, destinata a lunga fortuna, di un'Europa protesa da Dublino a Vladivostok. La collocazione di Thiriart nel corpus e' peculiare, poiche' egli non appartiene, a rigore, alla galassia atlantista e anticomunista che domina la Fase I: la sua e' una terza posizione, ostile tanto a Washington quanto a Mosca, e proprio per questo capace di gettare un ponte verso Oriente. La sua importanza, nel disegno dell'opera, e' percio' capitale, poiche' egli e' l'estremo da cui si diparte uno dei due soli ponti che congiungono la galassia nera occidentale al mondo euroasiatico.</w:t>
      </w:r>
    </w:p>
    <w:p>
      <w:pPr>
        <w:ind w:firstLine="425"/>
        <w:jc w:val="both"/>
      </w:pPr>
      <w:r>
        <w:rPr>
          <w:rFonts w:ascii="Times New Roman" w:hAnsi="Times New Roman" w:cs="Times New Roman" w:eastAsia="Times New Roman"/>
          <w:b w:val="0"/>
          <w:sz w:val="24"/>
        </w:rPr>
        <w:t xml:space="preserve">Tale sinapsi e' il </w:t>
      </w:r>
      <w:r>
        <w:rPr>
          <w:rFonts w:ascii="Times New Roman" w:hAnsi="Times New Roman" w:cs="Times New Roman" w:eastAsia="Times New Roman"/>
          <w:b/>
          <w:sz w:val="24"/>
        </w:rPr>
        <w:t>ponte fra Thiriart e Aleksandr Dugin</w:t>
      </w:r>
      <w:r>
        <w:rPr>
          <w:rFonts w:ascii="Times New Roman" w:hAnsi="Times New Roman" w:cs="Times New Roman" w:eastAsia="Times New Roman"/>
          <w:b w:val="0"/>
          <w:sz w:val="24"/>
        </w:rPr>
        <w:t xml:space="preserve"> (Ponte I.35), che la Fase V riprendera' e approfondira' compiutamente, e che qui si enuncia per la prima volta in ragione della sua centralita' strutturale. Esso e' di natura dottrinale e non operativa: trasmette un'idea, quella dell'eurasiatismo e dell'ostilita' all'egemonia atlantica, non un ordine ne' un'arma. Il corpus lo certifica come convergenza di pensiero, di grado probabile quanto alla filiazione ideologica che lega il teorico belga al filosofo russo, e di grado candidato quanto al suo peso effettivo sulle scelte del potere russo contemporaneo. Con questa avvertenza, posta sin dalla Fase I, si previene la tentazione, ricorrente nella pubblicistica, di fondere in un'unica regia i due emisferi del corpus: che un'idea nata in Occidente abbia poi alimentato una dottrina orientale non prova affatto che i due mondi obbediscano a un medesimo centro, ma documenta soltanto la migrazione di un pensiero. La triangolazione fra il Cercle, l'internazionale reazionaria atlantica e la terza posizione di Thiriart mostra, anzi, che gia' entro il campo delle destre europee correvano linee di faglia profonde, tali da rendere impensabile una loro riduzione a unita'.</w:t>
      </w:r>
    </w:p>
    <w:p>
      <w:pPr>
        <w:spacing w:before="360" w:after="120"/>
        <w:ind w:firstLine="0"/>
        <w:jc w:val="left"/>
      </w:pPr>
      <w:r>
        <w:rPr>
          <w:rFonts w:ascii="Times New Roman" w:hAnsi="Times New Roman" w:cs="Times New Roman" w:eastAsia="Times New Roman"/>
          <w:b/>
          <w:sz w:val="28"/>
        </w:rPr>
        <w:t>Capitolo 8. La dottrina religiosa e il laboratorio italiano</w:t>
      </w:r>
    </w:p>
    <w:p>
      <w:pPr>
        <w:ind w:firstLine="425"/>
        <w:jc w:val="both"/>
      </w:pPr>
      <w:r>
        <w:rPr>
          <w:rFonts w:ascii="Times New Roman" w:hAnsi="Times New Roman" w:cs="Times New Roman" w:eastAsia="Times New Roman"/>
          <w:b w:val="0"/>
          <w:sz w:val="24"/>
        </w:rPr>
        <w:t xml:space="preserve">Un tratto peculiare della controrivoluzione novecentesca, e in specie della sua declinazione mediterranea, fu la sua saldatura con l'integralismo cattolico, che le forni' una legittimazione dottrinale e un serbatoio di militanti animati da spirito di crociata. Il nodo capitale di tale versante e' la </w:t>
      </w:r>
      <w:r>
        <w:rPr>
          <w:rFonts w:ascii="Times New Roman" w:hAnsi="Times New Roman" w:cs="Times New Roman" w:eastAsia="Times New Roman"/>
          <w:b/>
          <w:sz w:val="24"/>
        </w:rPr>
        <w:t>Cite Catholique di Jean Ousset</w:t>
      </w:r>
      <w:r>
        <w:rPr>
          <w:rFonts w:ascii="Times New Roman" w:hAnsi="Times New Roman" w:cs="Times New Roman" w:eastAsia="Times New Roman"/>
          <w:b w:val="0"/>
          <w:sz w:val="24"/>
        </w:rPr>
        <w:t xml:space="preserve"> (Nodo I.36), organizzazione che diffuse in Francia e altrove una concezione della politica come guerra spirituale contro la sovversione, e che alimento' ideologicamente gli ambienti della guerra rivoluzionaria. La sua influenza si esercito' non tanto attraverso l'azione diretta, quanto attraverso la formazione delle coscienze e la fornitura di una cornice teologico-politica entro cui l'anticomunismo assumeva il carattere di dovere religioso. Il corpus la registra con grado probabile, riconoscendone il ruolo di matrice dottrinale senza attribuirle responsabilita' operative dirette.</w:t>
      </w:r>
    </w:p>
    <w:p>
      <w:pPr>
        <w:ind w:firstLine="425"/>
        <w:jc w:val="both"/>
      </w:pPr>
      <w:r>
        <w:rPr>
          <w:rFonts w:ascii="Times New Roman" w:hAnsi="Times New Roman" w:cs="Times New Roman" w:eastAsia="Times New Roman"/>
          <w:b w:val="0"/>
          <w:sz w:val="24"/>
        </w:rPr>
        <w:t xml:space="preserve">A essa si connette la </w:t>
      </w:r>
      <w:r>
        <w:rPr>
          <w:rFonts w:ascii="Times New Roman" w:hAnsi="Times New Roman" w:cs="Times New Roman" w:eastAsia="Times New Roman"/>
          <w:b/>
          <w:sz w:val="24"/>
        </w:rPr>
        <w:t>matrice religiosa di Ordre et Tradition</w:t>
      </w:r>
      <w:r>
        <w:rPr>
          <w:rFonts w:ascii="Times New Roman" w:hAnsi="Times New Roman" w:cs="Times New Roman" w:eastAsia="Times New Roman"/>
          <w:b w:val="0"/>
          <w:sz w:val="24"/>
        </w:rPr>
        <w:t xml:space="preserve"> (Nodo I.37), che imprime alla struttura di Aginter una coloritura mistico-cavalleresca, evidente sin dalla denominazione, che evoca insieme l'ordine monastico-militare e la tradizione controrivoluzionaria. Tale coloritura non e' un orpello, ma una componente sostanziale dell'identita' della galassia, che ai suoi militanti offriva non solo una tecnica, ma una fede, non solo un metodo, ma una missione. Il corpus, nel registrare questo nodo con grado probabile, mostra come la dottrina della controrivoluzione non fosse soltanto militare e psicologica, ma anche, e profondamente, teologico-politica: una crociata secolarizzata, che dell'antico modello religioso conservava il linguaggio e l'assolutezza.</w:t>
      </w:r>
    </w:p>
    <w:p>
      <w:pPr>
        <w:ind w:firstLine="425"/>
        <w:jc w:val="both"/>
      </w:pPr>
      <w:r>
        <w:rPr>
          <w:rFonts w:ascii="Times New Roman" w:hAnsi="Times New Roman" w:cs="Times New Roman" w:eastAsia="Times New Roman"/>
          <w:b w:val="0"/>
          <w:sz w:val="24"/>
        </w:rPr>
        <w:t xml:space="preserve">Il laboratorio italiano di tale dottrina ebbe un protagonista in </w:t>
      </w:r>
      <w:r>
        <w:rPr>
          <w:rFonts w:ascii="Times New Roman" w:hAnsi="Times New Roman" w:cs="Times New Roman" w:eastAsia="Times New Roman"/>
          <w:b/>
          <w:sz w:val="24"/>
        </w:rPr>
        <w:t>Guido Giannettini</w:t>
      </w:r>
      <w:r>
        <w:rPr>
          <w:rFonts w:ascii="Times New Roman" w:hAnsi="Times New Roman" w:cs="Times New Roman" w:eastAsia="Times New Roman"/>
          <w:b w:val="0"/>
          <w:sz w:val="24"/>
        </w:rPr>
        <w:t xml:space="preserve"> (Nodo I.38), pubblicista neofascista e, al tempo stesso, agente del servizio informazioni militare, la cui doppia natura ne fa uno dei ponti piu' istruttivi fra l'eversione e gli apparati. La sua figura sara' ripresa nella Fase III, in relazione alla strage di piazza Fontana, entro la cui vicenda processuale egli ebbe parte; qui essa vale come emblema della porosita' fra il mondo nero e quello dei servizi, porosita' che il corpus documenta con grado certo per quanto attiene al suo rapporto stipendiato con l'apparato militare. Che un uomo potesse essere insieme teorico dell'eversione e informatore dello Stato non e' per il corpus un paradosso, ma la regola di un sistema in cui i confini fra il sovversivo e il servitore dello Stato erano deliberatamente sfumati, e in cui la medesima persona poteva servire due padroni, o piuttosto un solo padrone sotto due volti.</w:t>
      </w:r>
    </w:p>
    <w:p>
      <w:pPr>
        <w:ind w:firstLine="425"/>
        <w:jc w:val="both"/>
      </w:pPr>
      <w:r>
        <w:rPr>
          <w:rFonts w:ascii="Times New Roman" w:hAnsi="Times New Roman" w:cs="Times New Roman" w:eastAsia="Times New Roman"/>
          <w:b w:val="0"/>
          <w:sz w:val="24"/>
        </w:rPr>
        <w:t xml:space="preserve">Il momento in cui la dottrina della guerra rivoluzionaria fece il proprio ingresso ufficiale nella cultura militare italiana e' fissato dal corpus nel </w:t>
      </w:r>
      <w:r>
        <w:rPr>
          <w:rFonts w:ascii="Times New Roman" w:hAnsi="Times New Roman" w:cs="Times New Roman" w:eastAsia="Times New Roman"/>
          <w:b/>
          <w:sz w:val="24"/>
        </w:rPr>
        <w:t>convegno dell'Istituto Alberto Pollio</w:t>
      </w:r>
      <w:r>
        <w:rPr>
          <w:rFonts w:ascii="Times New Roman" w:hAnsi="Times New Roman" w:cs="Times New Roman" w:eastAsia="Times New Roman"/>
          <w:b w:val="0"/>
          <w:sz w:val="24"/>
        </w:rPr>
        <w:t xml:space="preserve"> (Nodo I.39), tenutosi a Roma nel maggio 1965, ove ufficiali, intellettuali e militanti dibatterono le tecniche della contro-sovversione e ne teorizzarono l'applicazione al caso italiano, allora attraversato dal timore di un'avanzata comunista. Quel convegno costituisce l'anello che salda la teoria d'oltralpe alla pratica nazionale, ed e' registrato con grado certo quanto alla sua tenuta e ai suoi contenuti, che sono documentati dagli atti pubblicati. Esso e' il luogo in cui la dottrina cessa di essere importazione e diviene elaborazione italiana, adattata alla situazione politica della penisola.</w:t>
      </w:r>
    </w:p>
    <w:p>
      <w:pPr>
        <w:ind w:firstLine="425"/>
        <w:jc w:val="both"/>
      </w:pPr>
      <w:r>
        <w:rPr>
          <w:rFonts w:ascii="Times New Roman" w:hAnsi="Times New Roman" w:cs="Times New Roman" w:eastAsia="Times New Roman"/>
          <w:b w:val="0"/>
          <w:sz w:val="24"/>
        </w:rPr>
        <w:t xml:space="preserve">Da esso si diparte il </w:t>
      </w:r>
      <w:r>
        <w:rPr>
          <w:rFonts w:ascii="Times New Roman" w:hAnsi="Times New Roman" w:cs="Times New Roman" w:eastAsia="Times New Roman"/>
          <w:b/>
          <w:sz w:val="24"/>
        </w:rPr>
        <w:t>ponte fra la guerra rivoluzionaria, il convegno Pollio e Ordine Nuovo</w:t>
      </w:r>
      <w:r>
        <w:rPr>
          <w:rFonts w:ascii="Times New Roman" w:hAnsi="Times New Roman" w:cs="Times New Roman" w:eastAsia="Times New Roman"/>
          <w:b w:val="0"/>
          <w:sz w:val="24"/>
        </w:rPr>
        <w:t xml:space="preserve"> (Ponte I.40), sinapsi che il corpus certifica con grado probabile, e che disegna la via per cui la dottrina lisbonese e francese divenne prassi eversiva italiana. La triangolazione fra la Cite Catholique, il convegno Pollio e Ordine Nuovo mostra come la controrivoluzione si sia trasmessa lungo un triplice canale, dottrinale e religioso il primo, accademico-militare il secondo, operativo il terzo, senza che alcuno di essi possa dirsi il centro unico di comando degli altri. Anche qui, come nel triangolo del quinto capitolo, il corpus riconosce una convergenza e nega una piramide: la dottrina circolava, gli ambienti si frequentavano, gli uomini passavano dall'uno all'altro, ma nessuna centrale impartiva ordini a tutti. E' questa la struttura reticolare, e non gerarchica, che l'opera ravvisa alla radice dell'eversione nera italiana, e che la distingue tanto dal terrorismo di sinistra, piu' verticistico, quanto dall'immagine, cara alla pubblicistica, di un unico grande burattinaio.</w:t>
      </w:r>
    </w:p>
    <w:p>
      <w:pPr>
        <w:spacing w:before="360" w:after="120"/>
        <w:ind w:firstLine="0"/>
        <w:jc w:val="left"/>
      </w:pPr>
      <w:r>
        <w:rPr>
          <w:rFonts w:ascii="Times New Roman" w:hAnsi="Times New Roman" w:cs="Times New Roman" w:eastAsia="Times New Roman"/>
          <w:b/>
          <w:sz w:val="28"/>
        </w:rPr>
        <w:t>Capitolo 9. Le operazioni africane e il varco verso il Sud</w:t>
      </w:r>
    </w:p>
    <w:p>
      <w:pPr>
        <w:ind w:firstLine="425"/>
        <w:jc w:val="both"/>
      </w:pPr>
      <w:r>
        <w:rPr>
          <w:rFonts w:ascii="Times New Roman" w:hAnsi="Times New Roman" w:cs="Times New Roman" w:eastAsia="Times New Roman"/>
          <w:b w:val="0"/>
          <w:sz w:val="24"/>
        </w:rPr>
        <w:t>La proiezione operativa di Aginter ebbe il suo teatro piu' cruento nell'Africa lusofona, ove l'agenzia si mise al servizio della difesa dell'impero coloniale portoghese contro i movimenti di liberazione che ne minavano le fondamenta. Il primo dei due grandi casi e' l'</w:t>
      </w:r>
      <w:r>
        <w:rPr>
          <w:rFonts w:ascii="Times New Roman" w:hAnsi="Times New Roman" w:cs="Times New Roman" w:eastAsia="Times New Roman"/>
          <w:b/>
          <w:sz w:val="24"/>
        </w:rPr>
        <w:t>assassinio di Eduardo Mondlane</w:t>
      </w:r>
      <w:r>
        <w:rPr>
          <w:rFonts w:ascii="Times New Roman" w:hAnsi="Times New Roman" w:cs="Times New Roman" w:eastAsia="Times New Roman"/>
          <w:b w:val="0"/>
          <w:sz w:val="24"/>
        </w:rPr>
        <w:t xml:space="preserve"> (Nodo I.41), leader del Fronte di Liberazione del Mozambico, ucciso nel febbraio 1969 dall'esplosione di un ordigno collocato in un libro; il secondo e' l'</w:t>
      </w:r>
      <w:r>
        <w:rPr>
          <w:rFonts w:ascii="Times New Roman" w:hAnsi="Times New Roman" w:cs="Times New Roman" w:eastAsia="Times New Roman"/>
          <w:b/>
          <w:sz w:val="24"/>
        </w:rPr>
        <w:t>assassinio di Amilcar Cabral</w:t>
      </w:r>
      <w:r>
        <w:rPr>
          <w:rFonts w:ascii="Times New Roman" w:hAnsi="Times New Roman" w:cs="Times New Roman" w:eastAsia="Times New Roman"/>
          <w:b w:val="0"/>
          <w:sz w:val="24"/>
        </w:rPr>
        <w:t xml:space="preserve"> (Nodo I.42), guida del Partito Africano per l'Indipendenza della Guinea e di Capo Verde, ucciso nel gennaio 1973. In entrambi i casi il corpus registra il coinvolgimento della galassia di Aginter con grado probabile, distinguendo accuratamente l'attribuzione documentata dalla congettura, e riconoscendo che la determinazione degli esecutori materiali e dei mandanti ultimi resta, per taluni aspetti, controversa e affidata a fonti di diverso valore. La prudenza e' qui tanto piu' doverosa in quanto si tratta di delitti consumati in contesti coloniali, ove la documentazione e' scarsa e la propaganda abbondante.</w:t>
      </w:r>
    </w:p>
    <w:p>
      <w:pPr>
        <w:ind w:firstLine="425"/>
        <w:jc w:val="both"/>
      </w:pPr>
      <w:r>
        <w:rPr>
          <w:rFonts w:ascii="Times New Roman" w:hAnsi="Times New Roman" w:cs="Times New Roman" w:eastAsia="Times New Roman"/>
          <w:b w:val="0"/>
          <w:sz w:val="24"/>
        </w:rPr>
        <w:t xml:space="preserve">Questi due casi definiscono il </w:t>
      </w:r>
      <w:r>
        <w:rPr>
          <w:rFonts w:ascii="Times New Roman" w:hAnsi="Times New Roman" w:cs="Times New Roman" w:eastAsia="Times New Roman"/>
          <w:b/>
          <w:sz w:val="24"/>
        </w:rPr>
        <w:t>ponte fra Aginter e l'Africa lusofona</w:t>
      </w:r>
      <w:r>
        <w:rPr>
          <w:rFonts w:ascii="Times New Roman" w:hAnsi="Times New Roman" w:cs="Times New Roman" w:eastAsia="Times New Roman"/>
          <w:b w:val="0"/>
          <w:sz w:val="24"/>
        </w:rPr>
        <w:t xml:space="preserve"> (Ponte I.43), sinapsi che proietta la centrale lisbonese oltre il Mediterraneo e ne rivela la vocazione controinsurrezionale su scala continentale. Tale ponte, di grado probabile, e' anche il varco attraverso cui la galassia nera si affaccia sul teatro meridionale che sara' oggetto della Fase II: dall'Africa portoghese al Sudafrica dell'apartheid il passo, sul piano della contiguita' di ambiente e di funzione, e' breve, giacche' entrambi i fronti condividevano il nemico, ossia i movimenti di liberazione appoggiati dal blocco orientale, e la tecnica, ossia la controinsurrezione e il terrore mirato. Il corpus anticipa qui, con grado candidato, il nodo del </w:t>
      </w:r>
      <w:r>
        <w:rPr>
          <w:rFonts w:ascii="Times New Roman" w:hAnsi="Times New Roman" w:cs="Times New Roman" w:eastAsia="Times New Roman"/>
          <w:b/>
          <w:sz w:val="24"/>
        </w:rPr>
        <w:t>committente sudafricano</w:t>
      </w:r>
      <w:r>
        <w:rPr>
          <w:rFonts w:ascii="Times New Roman" w:hAnsi="Times New Roman" w:cs="Times New Roman" w:eastAsia="Times New Roman"/>
          <w:b w:val="0"/>
          <w:sz w:val="24"/>
        </w:rPr>
        <w:t xml:space="preserve"> (Nodo I.44), ossia dell'apparato di Pretoria che, negli anni successivi, avrebbe raccolto e impiegato competenze analoghe a quelle di Aginter nella sua guerra regionale contro l'Angola, il Mozambico e la Namibia.</w:t>
      </w:r>
    </w:p>
    <w:p>
      <w:pPr>
        <w:ind w:firstLine="425"/>
        <w:jc w:val="both"/>
      </w:pPr>
      <w:r>
        <w:rPr>
          <w:rFonts w:ascii="Times New Roman" w:hAnsi="Times New Roman" w:cs="Times New Roman" w:eastAsia="Times New Roman"/>
          <w:b w:val="0"/>
          <w:sz w:val="24"/>
        </w:rPr>
        <w:t xml:space="preserve">A tale anticipazione si connette la figura di </w:t>
      </w:r>
      <w:r>
        <w:rPr>
          <w:rFonts w:ascii="Times New Roman" w:hAnsi="Times New Roman" w:cs="Times New Roman" w:eastAsia="Times New Roman"/>
          <w:b/>
          <w:sz w:val="24"/>
        </w:rPr>
        <w:t>Craig Williamson</w:t>
      </w:r>
      <w:r>
        <w:rPr>
          <w:rFonts w:ascii="Times New Roman" w:hAnsi="Times New Roman" w:cs="Times New Roman" w:eastAsia="Times New Roman"/>
          <w:b w:val="0"/>
          <w:sz w:val="24"/>
        </w:rPr>
        <w:t xml:space="preserve"> (Nodo I.45), la super-spia della Security Branch sudafricana, che infiltro' l'International University Exchange Fund a Ginevra e organizzo' omicidi mirati per conto del regime dell'apartheid. Il corpus lo introduce qui come ponte verso la Fase II, riservando alla trattazione compiuta il capitolo che gli spettera' fra gli assi meridionali, ove si discutera' degli omicidi di Ruth First, di Dulcie September e di Anton Lubowski; ma sin d'ora ne fissa la funzione di anello fra la controrivoluzione europea e il terrorismo di Stato africano. La triangolazione fra le operazioni africane di Aginter, il committente sudafricano e la figura di Williamson disegna il varco attraverso cui l'opera passa dal primo al secondo dei suoi cinque movimenti, e mostra come la radice europea e l'asse meridionale non siano capitoli separati, ma segmenti di un'unica trama controrivoluzionaria, percorsa da uomini che passavano da un continente all'altro portando con se' i medesimi metodi. Va tuttavia ribadito, con la fermezza che lo statuto impone, che tale continuita' e' di ambiente e di tecnica, non necessariamente di comando: che Aginter e la Security Branch appartenessero al medesimo universo controinsurrezionale e' probabile, che l'una dirigesse l'altra e' asserzione che il corpus non avanza.</w:t>
      </w:r>
    </w:p>
    <w:p>
      <w:pPr>
        <w:spacing w:before="360" w:after="120"/>
        <w:ind w:firstLine="0"/>
        <w:jc w:val="left"/>
      </w:pPr>
      <w:r>
        <w:rPr>
          <w:rFonts w:ascii="Times New Roman" w:hAnsi="Times New Roman" w:cs="Times New Roman" w:eastAsia="Times New Roman"/>
          <w:b/>
          <w:sz w:val="28"/>
        </w:rPr>
        <w:t>Capitolo 10. Sintesi triangolare della Fase I e statuto conclusivo</w:t>
      </w:r>
    </w:p>
    <w:p>
      <w:pPr>
        <w:ind w:firstLine="425"/>
        <w:jc w:val="both"/>
      </w:pPr>
      <w:r>
        <w:rPr>
          <w:rFonts w:ascii="Times New Roman" w:hAnsi="Times New Roman" w:cs="Times New Roman" w:eastAsia="Times New Roman"/>
          <w:b w:val="0"/>
          <w:sz w:val="24"/>
        </w:rPr>
        <w:t xml:space="preserve">Giunti al termine del primo movimento, conviene raccogliere in forma triangolare le sinapsi sparse nei capitoli precedenti, giacche' e' nella triangolazione, e non nella mera enumerazione, che risiede il valore conoscitivo dell'opera. La prima grande triangolazione lega </w:t>
      </w:r>
      <w:r>
        <w:rPr>
          <w:rFonts w:ascii="Times New Roman" w:hAnsi="Times New Roman" w:cs="Times New Roman" w:eastAsia="Times New Roman"/>
          <w:b/>
          <w:sz w:val="24"/>
        </w:rPr>
        <w:t>Guerin-Serac, Delle Chiaie e i servizi di copertura</w:t>
      </w:r>
      <w:r>
        <w:rPr>
          <w:rFonts w:ascii="Times New Roman" w:hAnsi="Times New Roman" w:cs="Times New Roman" w:eastAsia="Times New Roman"/>
          <w:b w:val="0"/>
          <w:sz w:val="24"/>
        </w:rPr>
        <w:t xml:space="preserve"> (Ponte I.46): i tre vertici del triangolo sono la testa ideologica, il braccio italiano e l'apparato protettore, e il loro congiungimento definisce la struttura minima della galassia nera. Tale triangolazione e' di grado certo nei suoi lati documentati, ovvero la comune appartenenza di Guerin-Serac e Delle Chiaie ad Aginter e la protezione della polizia portoghese, e di grado probabile nel suo vertice ultimo, ossia nella committenza statale complessiva. Essa mostra come la galassia poggiasse su tre pilastri, la dottrina, l'azione e la copertura, e come nessuno dei tre potesse reggere senza gli altri due.</w:t>
      </w:r>
    </w:p>
    <w:p>
      <w:pPr>
        <w:ind w:firstLine="425"/>
        <w:jc w:val="both"/>
      </w:pPr>
      <w:r>
        <w:rPr>
          <w:rFonts w:ascii="Times New Roman" w:hAnsi="Times New Roman" w:cs="Times New Roman" w:eastAsia="Times New Roman"/>
          <w:b w:val="0"/>
          <w:sz w:val="24"/>
        </w:rPr>
        <w:t xml:space="preserve">La seconda triangolazione lega </w:t>
      </w:r>
      <w:r>
        <w:rPr>
          <w:rFonts w:ascii="Times New Roman" w:hAnsi="Times New Roman" w:cs="Times New Roman" w:eastAsia="Times New Roman"/>
          <w:b/>
          <w:sz w:val="24"/>
        </w:rPr>
        <w:t>Aginter, Ordine Nuovo e la stagione delle stragi</w:t>
      </w:r>
      <w:r>
        <w:rPr>
          <w:rFonts w:ascii="Times New Roman" w:hAnsi="Times New Roman" w:cs="Times New Roman" w:eastAsia="Times New Roman"/>
          <w:b w:val="0"/>
          <w:sz w:val="24"/>
        </w:rPr>
        <w:t xml:space="preserve"> (Ponte I.47), e costituisce il ponte che proietta la Fase I verso la Fase III: essa unisce la dottrina lisbonese, l'organizzazione veneta e gli attentati che insanguinarono l'Italia fra il 1969 e il 1980. Il corpus la certifica con grado probabile, e ne fa la cerniera fra la radice internazionale e l'applicazione nazionale della strategia della tensione, avvertendo, con la consueta fermezza, che la convergenza di dottrina e di ambiente non equivale alla prova di una regia unitaria degli attentati. La terza triangolazione, infine, lega </w:t>
      </w:r>
      <w:r>
        <w:rPr>
          <w:rFonts w:ascii="Times New Roman" w:hAnsi="Times New Roman" w:cs="Times New Roman" w:eastAsia="Times New Roman"/>
          <w:b/>
          <w:sz w:val="24"/>
        </w:rPr>
        <w:t>l'Organisation armee secrete, l'apartheid e l'Operazione Condor</w:t>
      </w:r>
      <w:r>
        <w:rPr>
          <w:rFonts w:ascii="Times New Roman" w:hAnsi="Times New Roman" w:cs="Times New Roman" w:eastAsia="Times New Roman"/>
          <w:b w:val="0"/>
          <w:sz w:val="24"/>
        </w:rPr>
        <w:t xml:space="preserve"> (Ponte I.48), e proietta la Fase I verso la Fase II: la medesima matrice algerina che genero' Aginter alimento' la controrivoluzione africana e latinoamericana, secondo un'unica genealogia della controinsurrezione, che dai teatri coloniali francesi discese sino ai regimi del Cono Sud. Queste tre triangolazioni non sono un ornamento retorico, ma lo strumento con cui il corpus mostra la connessione dei fronti senza postulare un comando unico: esse legano i nodi in figure, e le figure in una trama, lasciando pero' aperti i vertici che le fonti non consentono di chiudere.</w:t>
      </w:r>
    </w:p>
    <w:p>
      <w:pPr>
        <w:ind w:firstLine="425"/>
        <w:jc w:val="both"/>
      </w:pPr>
      <w:r>
        <w:rPr>
          <w:rFonts w:ascii="Times New Roman" w:hAnsi="Times New Roman" w:cs="Times New Roman" w:eastAsia="Times New Roman"/>
          <w:b w:val="0"/>
          <w:sz w:val="24"/>
        </w:rPr>
        <w:t xml:space="preserve">Rimane da enunciare il grande arco negativo, che e' forse il risultato piu' importante dell'intera Fase e, insieme, dell'intera opera: il </w:t>
      </w:r>
      <w:r>
        <w:rPr>
          <w:rFonts w:ascii="Times New Roman" w:hAnsi="Times New Roman" w:cs="Times New Roman" w:eastAsia="Times New Roman"/>
          <w:b/>
          <w:sz w:val="24"/>
        </w:rPr>
        <w:t>ponte negativo fra la galassia nera e il vertice russo contemporaneo</w:t>
      </w:r>
      <w:r>
        <w:rPr>
          <w:rFonts w:ascii="Times New Roman" w:hAnsi="Times New Roman" w:cs="Times New Roman" w:eastAsia="Times New Roman"/>
          <w:b w:val="0"/>
          <w:sz w:val="24"/>
        </w:rPr>
        <w:t xml:space="preserve"> (Ponte I.49). Contro la tentazione, ricorrente nella pubblicistica di ogni orientamento, di ricondurre a un'unica regia mondiale tanto la controrivoluzione atlantica quanto il potere del Cremlino, il corpus oppone un dato di struttura, semplice e insormontabile: la galassia di Aginter e dell'apartheid fu, per sua natura, per sua dottrina e per sua vocazione, anticomunista e atlantista, e dunque antipode del blocco sovietico e del suo erede. Fra i due emisferi del corpus non corre alcuna catena di comando; corrono soltanto i due esili ponti gia' additati, quello dottrinale di Thiriart verso Dugin, che trasmette un'idea attraverso la faglia, e quello, che le Fasi successive documenteranno, del crimine e dell'energia, che unisce interessi e non ideologie. L'arco negativo e' di grado certo, e vale come argine contro ogni indebita fusione: chi voglia fondere in un'unica cospirazione mondiale la scuola di Guerin-Serac e la cerchia del Cremlino urta contro la loro reciproca ostilita' storica, che nessun documento smentisce.</w:t>
      </w:r>
    </w:p>
    <w:p>
      <w:pPr>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verdetto della Fase I</w:t>
      </w:r>
      <w:r>
        <w:rPr>
          <w:rFonts w:ascii="Times New Roman" w:hAnsi="Times New Roman" w:cs="Times New Roman" w:eastAsia="Times New Roman"/>
          <w:b w:val="0"/>
          <w:sz w:val="24"/>
        </w:rPr>
        <w:t xml:space="preserve"> (Nodo I.50) puo' dunque essere formulato con la precisione che lo statuto esige, e con esso si chiude il primo movimento dell'opera. La centrale di Lisbona e la sua radice algerina costituiscono, per il corpus, un fatto documentato: Aginter Press esistette, ebbe la struttura, la dottrina e le operazioni che si sono descritte, e proietto' la propria azione dall'Europa all'Africa, lasciando in eredita' alle eversioni nazionali un metodo e una scuola. Le sinapsi che ne dipartono sono di grado differenziato, dal certo del legame con la polizia portoghese, al probabile della filiazione dottrinale e delle operazioni africane, al candidato della committenza statunitense e della regia dei circoli; e nessuna di esse autorizza a fondere la galassia in un'unica cospirazione onnicomprensiva e onnipotente. La convergenza di milieu, di metodo e di dottrina e' certificata; la catena di comando unitaria non e' provata, e non viene promossa. Con questo verdetto, che vale insieme come consuntivo del primo movimento e come promessa di metodo per i quattro che seguiranno, si chiude la trattazione principale della Fase I dell'opera, e si consegnano al lettore i suoi cinquanta fra nodi e ponti certificati, in attesa che la Fase II, dedicata agli assi meridionali, ne raccolga il testimone e ne prosegua la trama verso il Sud del mondo.</w:t>
      </w:r>
    </w:p>
    <w:p>
      <w:pPr>
        <w:spacing w:before="360" w:after="120"/>
        <w:ind w:firstLine="0"/>
        <w:jc w:val="left"/>
      </w:pPr>
      <w:r>
        <w:rPr>
          <w:rFonts w:ascii="Times New Roman" w:hAnsi="Times New Roman" w:cs="Times New Roman" w:eastAsia="Times New Roman"/>
          <w:b/>
          <w:sz w:val="28"/>
        </w:rPr>
        <w:t>Appendice analitica alla Fase I: approfondimenti sulle evidenze e sulle triangolazioni</w:t>
      </w:r>
    </w:p>
    <w:p>
      <w:pPr>
        <w:ind w:firstLine="425"/>
        <w:jc w:val="both"/>
      </w:pPr>
      <w:r>
        <w:rPr>
          <w:rFonts w:ascii="Times New Roman" w:hAnsi="Times New Roman" w:cs="Times New Roman" w:eastAsia="Times New Roman"/>
          <w:b w:val="0"/>
          <w:sz w:val="24"/>
        </w:rPr>
        <w:t>A corredo della trattazione principale, e a rafforzamento del suo impianto probatorio, si offre in questa appendice una serie di approfondimenti che ripercorrono, capitolo per capitolo, la natura e il grado delle evidenze addotte, cosi' che il lettore possa apprezzare non soltanto le conclusioni, ma anche il tessuto documentale su cui esse riposano. E' convincimento dell'opera che la solidita' di una ricostruzione non si misuri dall'arditezza delle sue tesi, bensi' dalla trasparenza dei suoi fondamenti, e che percio' l'esibizione del metodo sia parte integrante del risultato. In questa luce, l'appendice non e' un'aggiunta ornamentale, ma il rovescio necessario della medaglia, il registro delle prove che sostiene il libro delle conclusioni.</w:t>
      </w:r>
    </w:p>
    <w:p>
      <w:pPr>
        <w:ind w:firstLine="425"/>
        <w:jc w:val="both"/>
      </w:pPr>
      <w:r>
        <w:rPr>
          <w:rFonts w:ascii="Times New Roman" w:hAnsi="Times New Roman" w:cs="Times New Roman" w:eastAsia="Times New Roman"/>
          <w:b w:val="0"/>
          <w:sz w:val="24"/>
        </w:rPr>
        <w:t>Quanto al primo capitolo, e dunque alla fisionomia di Aginter Press, giova ribadire che la fonte principe e' costituita dagli atti sequestrati dopo la Rivoluzione dei garofani, i quali hanno il pregio, raro in questa materia, di provenire dall'interno stesso dell'organizzazione e non dalle sue vittime o dai suoi avversari. Tale provenienza conferisce alle asserzioni sul carattere di copertura dell'agenzia e sulla sua struttura bicipite un grado di certezza che poche altre parti dell'opera possono vantare. Nondimeno, il corpus si guarda dal trarne conclusioni sovrabbondanti: che Aginter fosse una macchina operativa e' certo; che essa abbia materialmente eseguito ciascuna delle azioni che le sono state ascritte non lo e', e va accertato caso per caso, come le operazioni africane del nono capitolo dimostrano.</w:t>
      </w:r>
    </w:p>
    <w:p>
      <w:pPr>
        <w:ind w:firstLine="425"/>
        <w:jc w:val="both"/>
      </w:pPr>
      <w:r>
        <w:rPr>
          <w:rFonts w:ascii="Times New Roman" w:hAnsi="Times New Roman" w:cs="Times New Roman" w:eastAsia="Times New Roman"/>
          <w:b w:val="0"/>
          <w:sz w:val="24"/>
        </w:rPr>
        <w:t>Quanto al secondo e al terzo capitolo, ossia alla dottrina e alla sua matrice algerina, l'evidenza e' di natura mista, in parte documentale e in parte ricostruttiva. Il documento Notre action politique e' un reperto materiale di grado certo; la stima secondo cui il 60 per cento del personale di Aginter proveniva dall'Organisation armee secrete e' invece una valutazione di grado probabile, fondata sull'incrocio di piu' fonti ma non su un censimento nominativo completo. Il corpus mantiene fermi entrambi i piani, e ne segnala la differenza, poiche' confondere il documento con la stima significherebbe attribuire alla seconda la solidita' del primo. La triangolazione fra la dottrina, la matrice e l'istruttore romano di via Michele Amari, tuttavia, riceve conforto da riscontri giudiziari, e cio' la eleva al di sopra della mera congettura.</w:t>
      </w:r>
    </w:p>
    <w:p>
      <w:pPr>
        <w:ind w:firstLine="425"/>
        <w:jc w:val="both"/>
      </w:pPr>
      <w:r>
        <w:rPr>
          <w:rFonts w:ascii="Times New Roman" w:hAnsi="Times New Roman" w:cs="Times New Roman" w:eastAsia="Times New Roman"/>
          <w:b w:val="0"/>
          <w:sz w:val="24"/>
        </w:rPr>
        <w:t>Quanto al quarto e al quinto capitolo, dedicati al trait d'union italiano e alla scena veneta, l'evidenza si complica per l'intreccio fra la ricostruzione storica e l'accertamento giudiziario, che l'opera tiene distinti con particolare cura. La centralita' di Delle Chiaie e la struttura di Avanguardia Nazionale e di Ordine Nuovo sono di grado certo sul piano storico; le responsabilita' penali individuali per le singole stragi sono invece di grado variabile, e in taluni casi negativo, come le assoluzioni definitive attestano. Il corpus considera questa asimmetria non un difetto della ricostruzione, ma la sua stessa cifra di onesta': una trama puo' essere storicamente accertata nei suoi ambienti e insieme giudiziariamente irrisolta nei suoi autori, e chi pretendesse di colmare per via logica il divario fra i due piani tradirebbe il metodo.</w:t>
      </w:r>
    </w:p>
    <w:p>
      <w:pPr>
        <w:ind w:firstLine="425"/>
        <w:jc w:val="both"/>
      </w:pPr>
      <w:r>
        <w:rPr>
          <w:rFonts w:ascii="Times New Roman" w:hAnsi="Times New Roman" w:cs="Times New Roman" w:eastAsia="Times New Roman"/>
          <w:b w:val="0"/>
          <w:sz w:val="24"/>
        </w:rPr>
        <w:t>Quanto al sesto e al settimo capitolo, sui servizi di copertura e sull'internazionale reazionaria, l'evidenza raggiunge il suo punto di massima delicatezza, poiche' investe apparati per definizione riservati. Qui il corpus adotta la sua gradazione piu' fine: il legame con la polizia portoghese e' certo, la collaborazione con il servizio statunitense e' probabile, la regia dei circoli riservati e' candidata. Questa scala non e' timidezza, ma rigore: essa riconosce che, quanto piu' si sale verso i vertici occulti del potere, tanto piu' le prove si diradano e le congetture si moltiplicano, e che il compito dell'analista e' resistere alla tentazione di riempire il vuoto documentale con la geometria del sospetto. Il Cercle e Crozier sono reali, ma la loro trasformazione in una centrale mondiale della controrivoluzione appartiene alla pubblicistica, non al corpus.</w:t>
      </w:r>
    </w:p>
    <w:p>
      <w:pPr>
        <w:ind w:firstLine="425"/>
        <w:jc w:val="both"/>
      </w:pPr>
      <w:r>
        <w:rPr>
          <w:rFonts w:ascii="Times New Roman" w:hAnsi="Times New Roman" w:cs="Times New Roman" w:eastAsia="Times New Roman"/>
          <w:b w:val="0"/>
          <w:sz w:val="24"/>
        </w:rPr>
        <w:t>Quanto all'ottavo e al nono capitolo, sulla dottrina religiosa e sulle operazioni africane, l'evidenza torna in parte al terreno del documentato, grazie agli atti del convegno Pollio e alla ricca bibliografia sui delitti Mondlane e Cabral, e in parte resta sul terreno del probabile, per la reticenza delle fonti coloniali. La saldatura fra integralismo cattolico e controrivoluzione, in ispecie, e' un fatto culturale ben attestato, mentre l'attribuzione materiale dei due omicidi africani alla galassia di Aginter conserva margini di incertezza che il corpus non nasconde. La triangolazione fra le operazioni africane, il committente sudafricano e Craig Williamson e' il ponte che apre la Fase II, e come tale sara' ivi sottoposta a verifica ulteriore.</w:t>
      </w:r>
    </w:p>
    <w:p>
      <w:pPr>
        <w:ind w:firstLine="425"/>
        <w:jc w:val="both"/>
      </w:pPr>
      <w:r>
        <w:rPr>
          <w:rFonts w:ascii="Times New Roman" w:hAnsi="Times New Roman" w:cs="Times New Roman" w:eastAsia="Times New Roman"/>
          <w:b w:val="0"/>
          <w:sz w:val="24"/>
        </w:rPr>
        <w:t>Quanto, infine, al decimo capitolo e alle sue tre grandi triangolazioni, l'appendice ribadisce che esse hanno valore euristico e non probatorio: servono a mostrare le connessioni, non a dimostrare i comandi. La triangolazione fra Guerin-Serac, Delle Chiaie e i servizi disegna la struttura minima della galassia; quella fra Aginter, Ordine Nuovo e le stragi proietta la trama verso l'Italia; quella fra l'Organisation armee secrete, l'apartheid e il Condor la proietta verso il Sud. Ma la vera conclusione della Fase, e il suo lascito metodologico, e' l'arco negativo che separa la galassia atlantista dal vertice russo: un risultato in negativo, che nega piu' di quanto affermi, e che proprio per questo e' prezioso, giacche' le negazioni fondate sono, in questa materia, piu' rare e piu' salde delle affermazioni ardite. Con questa appendice, che espone al lettore l'intelaiatura delle prove, la Fase I si consegna compiuta al giudizio di chi legge, e attende le disposizioni per il movimento successivo.</w:t>
      </w:r>
    </w:p>
    <w:p>
      <w:pPr>
        <w:spacing w:before="360" w:after="120"/>
        <w:ind w:firstLine="0"/>
      </w:pPr>
      <w:r>
        <w:rPr>
          <w:rFonts w:ascii="Times New Roman" w:hAnsi="Times New Roman" w:cs="Times New Roman" w:eastAsia="Times New Roman"/>
          <w:b/>
          <w:sz w:val="28"/>
        </w:rPr>
        <w:t>Apparato delle fonti</w:t>
      </w:r>
    </w:p>
    <w:p>
      <w:pPr>
        <w:ind w:firstLine="0"/>
      </w:pPr>
      <w:r>
        <w:rPr>
          <w:rFonts w:ascii="Times New Roman" w:hAnsi="Times New Roman" w:cs="Times New Roman" w:eastAsia="Times New Roman"/>
          <w:b w:val="0"/>
          <w:sz w:val="20"/>
        </w:rPr>
        <w:t>https://en.wikipedia.org/wiki/Aginter_Press</w:t>
      </w:r>
    </w:p>
    <w:p>
      <w:pPr>
        <w:ind w:firstLine="0"/>
      </w:pPr>
      <w:r>
        <w:rPr>
          <w:rFonts w:ascii="Times New Roman" w:hAnsi="Times New Roman" w:cs="Times New Roman" w:eastAsia="Times New Roman"/>
          <w:b w:val="0"/>
          <w:sz w:val="20"/>
        </w:rPr>
        <w:t>https://it.wikipedia.org/wiki/Aginter_Press</w:t>
      </w:r>
    </w:p>
    <w:p>
      <w:pPr>
        <w:ind w:firstLine="0"/>
      </w:pPr>
      <w:r>
        <w:rPr>
          <w:rFonts w:ascii="Times New Roman" w:hAnsi="Times New Roman" w:cs="Times New Roman" w:eastAsia="Times New Roman"/>
          <w:b w:val="0"/>
          <w:sz w:val="20"/>
        </w:rPr>
        <w:t>https://anti-imperialist-u.blogspot.com/2020/05/stefano-delle-chiaie-from-gladio-to.html</w:t>
      </w:r>
    </w:p>
    <w:p>
      <w:pPr>
        <w:ind w:firstLine="0"/>
      </w:pPr>
      <w:r>
        <w:rPr>
          <w:rFonts w:ascii="Times New Roman" w:hAnsi="Times New Roman" w:cs="Times New Roman" w:eastAsia="Times New Roman"/>
          <w:b w:val="0"/>
          <w:sz w:val="20"/>
        </w:rPr>
        <w:t>https://it.wikipedia.org/wiki/Stefano_Delle_Chiaie</w:t>
      </w:r>
    </w:p>
    <w:p>
      <w:pPr>
        <w:ind w:firstLine="0"/>
      </w:pPr>
      <w:r>
        <w:rPr>
          <w:rFonts w:ascii="Times New Roman" w:hAnsi="Times New Roman" w:cs="Times New Roman" w:eastAsia="Times New Roman"/>
          <w:b w:val="0"/>
          <w:sz w:val="20"/>
        </w:rPr>
        <w:t>https://it.wikipedia.org/wiki/Ordine_Nuovo_(1956)</w:t>
      </w:r>
    </w:p>
    <w:p>
      <w:pPr>
        <w:ind w:firstLine="0"/>
      </w:pPr>
      <w:r>
        <w:rPr>
          <w:rFonts w:ascii="Times New Roman" w:hAnsi="Times New Roman" w:cs="Times New Roman" w:eastAsia="Times New Roman"/>
          <w:b w:val="0"/>
          <w:sz w:val="20"/>
        </w:rPr>
        <w:t>https://it.wikipedia.org/wiki/Avanguardia_Nazionale</w:t>
      </w:r>
    </w:p>
    <w:p>
      <w:pPr>
        <w:ind w:firstLine="0"/>
      </w:pPr>
      <w:r>
        <w:rPr>
          <w:rFonts w:ascii="Times New Roman" w:hAnsi="Times New Roman" w:cs="Times New Roman" w:eastAsia="Times New Roman"/>
          <w:b w:val="0"/>
          <w:sz w:val="20"/>
        </w:rPr>
        <w:t>https://en.wikipedia.org/wiki/Yves_Gu%C3%A9rin-S%C3%A9rac</w:t>
      </w:r>
    </w:p>
    <w:p>
      <w:pPr>
        <w:ind w:firstLine="0"/>
      </w:pPr>
      <w:r>
        <w:rPr>
          <w:rFonts w:ascii="Times New Roman" w:hAnsi="Times New Roman" w:cs="Times New Roman" w:eastAsia="Times New Roman"/>
          <w:b w:val="0"/>
          <w:sz w:val="20"/>
        </w:rPr>
        <w:t>https://en.wikipedia.org/wiki/Le_Cercle</w:t>
      </w:r>
    </w:p>
    <w:p>
      <w:pPr>
        <w:ind w:firstLine="0"/>
      </w:pPr>
      <w:r>
        <w:rPr>
          <w:rFonts w:ascii="Times New Roman" w:hAnsi="Times New Roman" w:cs="Times New Roman" w:eastAsia="Times New Roman"/>
          <w:b w:val="0"/>
          <w:sz w:val="20"/>
        </w:rPr>
        <w:t>https://it.wikipedia.org/wiki/Jean_Thiriart</w:t>
      </w:r>
    </w:p>
    <w:p>
      <w:pPr>
        <w:ind w:firstLine="0"/>
      </w:pPr>
      <w:r>
        <w:rPr>
          <w:rFonts w:ascii="Times New Roman" w:hAnsi="Times New Roman" w:cs="Times New Roman" w:eastAsia="Times New Roman"/>
          <w:b w:val="0"/>
          <w:sz w:val="20"/>
        </w:rPr>
        <w:t>https://en.wikipedia.org/wiki/Craig_Williamson</w:t>
      </w:r>
    </w:p>
    <w:p>
      <w:pPr>
        <w:ind w:firstLine="0"/>
      </w:pPr>
      <w:r>
        <w:rPr>
          <w:rFonts w:ascii="Times New Roman" w:hAnsi="Times New Roman" w:cs="Times New Roman" w:eastAsia="Times New Roman"/>
          <w:b w:val="0"/>
          <w:sz w:val="20"/>
        </w:rPr>
        <w:t>https://it.wikipedia.org/wiki/Strategia_della_tensione</w:t>
      </w:r>
    </w:p>
    <w:p>
      <w:pPr>
        <w:ind w:firstLine="0"/>
      </w:pPr>
      <w:r>
        <w:rPr>
          <w:rFonts w:ascii="Times New Roman" w:hAnsi="Times New Roman" w:cs="Times New Roman" w:eastAsia="Times New Roman"/>
          <w:b w:val="0"/>
          <w:sz w:val="20"/>
        </w:rPr>
        <w:t>https://en.wikipedia.org/wiki/Organisation_arm%C3%A9e_secr%C3%A8te</w:t>
      </w:r>
    </w:p>
    <w:p>
      <w:pPr>
        <w:ind w:firstLine="0"/>
      </w:pPr>
      <w:r>
        <w:rPr>
          <w:rFonts w:ascii="Times New Roman" w:hAnsi="Times New Roman" w:cs="Times New Roman" w:eastAsia="Times New Roman"/>
          <w:b w:val="0"/>
          <w:sz w:val="20"/>
        </w:rPr>
        <w:t>https://it.wikipedia.org/wiki/Pino_Rauti</w:t>
      </w:r>
    </w:p>
    <w:p>
      <w:pPr>
        <w:ind w:firstLine="0"/>
      </w:pPr>
      <w:r>
        <w:rPr>
          <w:rFonts w:ascii="Times New Roman" w:hAnsi="Times New Roman" w:cs="Times New Roman" w:eastAsia="Times New Roman"/>
          <w:b w:val="0"/>
          <w:sz w:val="20"/>
        </w:rPr>
        <w:t>https://en.wikipedia.org/wiki/Eduardo_Mondlane</w:t>
      </w:r>
    </w:p>
    <w:p>
      <w:pPr>
        <w:ind w:firstLine="0"/>
      </w:pPr>
      <w:r>
        <w:rPr>
          <w:rFonts w:ascii="Times New Roman" w:hAnsi="Times New Roman" w:cs="Times New Roman" w:eastAsia="Times New Roman"/>
          <w:b w:val="0"/>
          <w:sz w:val="20"/>
        </w:rPr>
        <w:t>https://en.wikipedia.org/wiki/Am%C3%ADlcar_Cabral</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zoom w:percent="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