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ind w:firstLine="0"/>
        <w:jc w:val="center"/>
      </w:pPr>
      <w:r>
        <w:rPr>
          <w:rFonts w:ascii="Times New Roman" w:hAnsi="Times New Roman" w:cs="Times New Roman" w:eastAsia="Times New Roman"/>
          <w:b/>
          <w:i w:val="0"/>
          <w:sz w:val="28"/>
        </w:rPr>
        <w:t>ITALIA NERA</w:t>
      </w:r>
    </w:p>
    <w:p>
      <w:pPr>
        <w:spacing w:line="276" w:lineRule="auto" w:before="0" w:after="120"/>
        <w:ind w:firstLine="0"/>
        <w:jc w:val="center"/>
      </w:pPr>
      <w:r>
        <w:rPr>
          <w:rFonts w:ascii="Times New Roman" w:hAnsi="Times New Roman" w:cs="Times New Roman" w:eastAsia="Times New Roman"/>
          <w:b/>
          <w:i w:val="0"/>
          <w:sz w:val="24"/>
        </w:rPr>
        <w:t>STATO COMPLESSIVO DELLA VERIFICA DEL REPERTORIO E DEI SUOI DIFETTI STRUTTURALI</w:t>
      </w:r>
    </w:p>
    <w:p>
      <w:pPr>
        <w:spacing w:line="276" w:lineRule="auto" w:before="0" w:after="360"/>
        <w:ind w:firstLine="0"/>
        <w:jc w:val="center"/>
      </w:pPr>
      <w:r>
        <w:rPr>
          <w:rFonts w:ascii="Times New Roman" w:hAnsi="Times New Roman" w:cs="Times New Roman" w:eastAsia="Times New Roman"/>
          <w:b w:val="0"/>
          <w:i/>
          <w:sz w:val="22"/>
        </w:rPr>
        <w:t>Sei agosto duemilaventisei</w:t>
      </w:r>
    </w:p>
    <w:p>
      <w:pPr>
        <w:spacing w:line="276" w:lineRule="auto" w:before="280" w:after="120"/>
        <w:ind w:firstLine="0"/>
        <w:jc w:val="left"/>
      </w:pPr>
      <w:r>
        <w:rPr>
          <w:rFonts w:ascii="Times New Roman" w:hAnsi="Times New Roman" w:cs="Times New Roman" w:eastAsia="Times New Roman"/>
          <w:b/>
          <w:i w:val="0"/>
          <w:sz w:val="24"/>
        </w:rPr>
        <w:t>I. Che cosa è stato verificato e in quale misura</w:t>
      </w:r>
    </w:p>
    <w:p>
      <w:pPr>
        <w:spacing w:line="276" w:lineRule="auto" w:before="0" w:after="0"/>
        <w:ind w:firstLine="425"/>
        <w:jc w:val="both"/>
      </w:pPr>
      <w:r>
        <w:rPr>
          <w:rFonts w:ascii="Times New Roman" w:hAnsi="Times New Roman" w:cs="Times New Roman" w:eastAsia="Times New Roman"/>
          <w:b w:val="0"/>
          <w:i w:val="0"/>
          <w:sz w:val="24"/>
        </w:rPr>
        <w:t>Il repertorio ITALIA NERA consta, alla data odierna, di trecentotré voci distribuite su otto fogli, dei quali uno di nuova formazione. Di queste, centosettantasette risultano verificate con annotazione, data ed esito registrati voce per voce; centoventisei restano da verificare. La quasi totalità del residuo, centoventuno voci, si concentra nel foglio degli archivi, che è il più esteso e il più eterogeneo. Ma di quelle centoventuno soltanto una sessantina sono effettivamente voci archivistiche: le restanti, come si dirà, non sono archivi e non sono verificabili con il metodo impiegato.</w:t>
      </w:r>
    </w:p>
    <w:p>
      <w:pPr>
        <w:spacing w:line="276" w:lineRule="auto" w:before="0" w:after="0"/>
        <w:ind w:firstLine="425"/>
        <w:jc w:val="both"/>
      </w:pPr>
      <w:r>
        <w:rPr>
          <w:rFonts w:ascii="Times New Roman" w:hAnsi="Times New Roman" w:cs="Times New Roman" w:eastAsia="Times New Roman"/>
          <w:b w:val="0"/>
          <w:i w:val="0"/>
          <w:sz w:val="24"/>
        </w:rPr>
        <w:t>I fogli integralmente chiusi sono tre: gli atti giudiziari e normativi, con settantatré voci su settantatré; la bibliografia, con trenta su trenta; gli archivi desecretati, con nove su nove. I fogli sostanzialmente chiusi sono altri tre: le fonti seriali, con otto voci verificate e una parziale; gli atti parlamentari, con quattro verificate e una parziale; gli archivi sudamericani, con quattro verificate e una da riallineare per difetto di riga. Il foglio integrativo di nuova formazione conta ventotto voci, tutte verificate.</w:t>
      </w:r>
    </w:p>
    <w:p>
      <w:pPr>
        <w:spacing w:line="276" w:lineRule="auto" w:before="0" w:after="0"/>
        <w:ind w:firstLine="425"/>
        <w:jc w:val="both"/>
      </w:pPr>
      <w:r>
        <w:rPr>
          <w:rFonts w:ascii="Times New Roman" w:hAnsi="Times New Roman" w:cs="Times New Roman" w:eastAsia="Times New Roman"/>
          <w:b w:val="0"/>
          <w:i w:val="0"/>
          <w:sz w:val="24"/>
        </w:rPr>
        <w:t>La verifica è stata condotta per riscontro su fonti esterne consultabili, e non sugli originali. Questo limite è dichiarato in ogni singola annotazione e va ripetuto qui: ciò che è stato accertato non è che gli atti dicano quanto le voci affermano, ma che le voci concordino con quanto di essi riferiscono fonti verificabili. In due soli casi il riscontro ha potuto poggiare su strumenti di corredo archivistici — l'inventario del fondo processuale di piazza Fontana e il catalogo del Churchill Archives Centre — e in quei due casi il grado raggiunto è superiore.</w:t>
      </w:r>
    </w:p>
    <w:p>
      <w:pPr>
        <w:spacing w:line="276" w:lineRule="auto" w:before="280" w:after="120"/>
        <w:ind w:firstLine="0"/>
        <w:jc w:val="left"/>
      </w:pPr>
      <w:r>
        <w:rPr>
          <w:rFonts w:ascii="Times New Roman" w:hAnsi="Times New Roman" w:cs="Times New Roman" w:eastAsia="Times New Roman"/>
          <w:b/>
          <w:i w:val="0"/>
          <w:sz w:val="24"/>
        </w:rPr>
        <w:t>II. Il risultato principale, che è negativo</w:t>
      </w:r>
    </w:p>
    <w:p>
      <w:pPr>
        <w:spacing w:line="276" w:lineRule="auto" w:before="0" w:after="0"/>
        <w:ind w:firstLine="425"/>
        <w:jc w:val="both"/>
      </w:pPr>
      <w:r>
        <w:rPr>
          <w:rFonts w:ascii="Times New Roman" w:hAnsi="Times New Roman" w:cs="Times New Roman" w:eastAsia="Times New Roman"/>
          <w:b w:val="0"/>
          <w:i w:val="0"/>
          <w:sz w:val="24"/>
        </w:rPr>
        <w:t>Su trecentotré voci esaminate o parzialmente esaminate, nessuna registra un atto inesistente. Non è stata trovata una sentenza inventata, una legge mai promulgata, un archivio mai istituito, un organismo mai costituito. In un repertorio prodotto per via generativa questo era il rischio più grave, e va dichiarato per primo: la struttura documentaria dell'opera regge, e gli atti su cui essa poggia esistono tutti.</w:t>
      </w:r>
    </w:p>
    <w:p>
      <w:pPr>
        <w:spacing w:line="276" w:lineRule="auto" w:before="0" w:after="0"/>
        <w:ind w:firstLine="425"/>
        <w:jc w:val="both"/>
      </w:pPr>
      <w:r>
        <w:rPr>
          <w:rFonts w:ascii="Times New Roman" w:hAnsi="Times New Roman" w:cs="Times New Roman" w:eastAsia="Times New Roman"/>
          <w:b w:val="0"/>
          <w:i w:val="0"/>
          <w:sz w:val="24"/>
        </w:rPr>
        <w:t>Il secondo risultato d'insieme riguarda la precisione dei dettagli. Dove il repertorio scende nel particolare numerico o nominale, il particolare tiene: la sentenza della seconda sezione penale della Corte di cassazione con presidente e relatore; la ripartizione delle sanzioni disciplinari deliberate dal Consiglio superiore della magistratura nel millenovecentottantatré; la griglia delle dodici condanne del caso Marey; le quattro dichiarazioni di incompatibilità della causa Dillon con l'articolo convenzionale violato per ciascuna norma; i sette ergastoli e le tre pene ridotte dei processi sul sequestro tedesco del millenovecentosettantasette, compreso il concorso riferito a una sola delle tre; i cinque nomi delle vittime di calle Atocha; i dieci nomi delle vittime della serie di omicidi giudicata a Monaco; le due cifre delle lettere dalla prigionia; i quattro collaboratori della critica delle fonti sullo schedario tedesco.</w:t>
      </w:r>
    </w:p>
    <w:p>
      <w:pPr>
        <w:spacing w:line="276" w:lineRule="auto" w:before="280" w:after="120"/>
        <w:ind w:firstLine="0"/>
        <w:jc w:val="left"/>
      </w:pPr>
      <w:r>
        <w:rPr>
          <w:rFonts w:ascii="Times New Roman" w:hAnsi="Times New Roman" w:cs="Times New Roman" w:eastAsia="Times New Roman"/>
          <w:b/>
          <w:i w:val="0"/>
          <w:sz w:val="24"/>
        </w:rPr>
        <w:t>III. I difetti accertati, in ordine di gravità</w:t>
      </w:r>
    </w:p>
    <w:p>
      <w:pPr>
        <w:spacing w:line="276" w:lineRule="auto" w:before="0" w:after="0"/>
        <w:ind w:firstLine="425"/>
        <w:jc w:val="both"/>
      </w:pPr>
      <w:r>
        <w:rPr>
          <w:rFonts w:ascii="Times New Roman" w:hAnsi="Times New Roman" w:cs="Times New Roman" w:eastAsia="Times New Roman"/>
          <w:b w:val="0"/>
          <w:i w:val="0"/>
          <w:sz w:val="24"/>
        </w:rPr>
        <w:t>Il primo difetto è l'omissione sistematica dei nomi propri. Ne sono stati contati oltre centoventi, tutti disponibili nelle fonti e assenti dalle voci. La distribuzione è essa stessa un dato: il repertorio nomina di regola le vittime e tace gli imputati, i condannati, i magistrati e i responsabili degli organi. La conseguenza non è di forma ma di funzione: una voce che accerti una condanna senza nominare il condannato non genera alcun nodo e non consente alcun arco, e poiché la rete è l'apparato analitico centrale dell'opera, il repertorio così com'è non è utilizzabile per costruirla.</w:t>
      </w:r>
    </w:p>
    <w:p>
      <w:pPr>
        <w:spacing w:line="276" w:lineRule="auto" w:before="0" w:after="0"/>
        <w:ind w:firstLine="425"/>
        <w:jc w:val="both"/>
      </w:pPr>
      <w:r>
        <w:rPr>
          <w:rFonts w:ascii="Times New Roman" w:hAnsi="Times New Roman" w:cs="Times New Roman" w:eastAsia="Times New Roman"/>
          <w:b w:val="0"/>
          <w:i w:val="0"/>
          <w:sz w:val="24"/>
        </w:rPr>
        <w:t>Il secondo difetto è la deformazione di misura, che consiste nel conservare la metà più netta di una proposizione e scartare la clausola che la limita nel medesimo atto. È stato accertato in almeno tre casi: l'archiviazione del procedimento sul negoziato alberghiero romano, che riconosceva atti diretti al finanziamento illecito e insieme li dichiarava inidonei; la relazione sull'omicidio dell'avvocato di Belfast, che accertava una collusione sconvolgente e insieme escludeva una cospirazione statale complessiva; la relazione sull'inchiesta pubblica relativa al sangue infetto, che affermava l'evitabilità in larga parte ma non interamente. Il difetto è più insidioso di un errore di data perché non è falsificabile con un controllo puntuale: ciascuna proposizione, così come riportata, è presente nell'atto; manca quella che la bilancia.</w:t>
      </w:r>
    </w:p>
    <w:p>
      <w:pPr>
        <w:spacing w:line="276" w:lineRule="auto" w:before="0" w:after="0"/>
        <w:ind w:firstLine="425"/>
        <w:jc w:val="both"/>
      </w:pPr>
      <w:r>
        <w:rPr>
          <w:rFonts w:ascii="Times New Roman" w:hAnsi="Times New Roman" w:cs="Times New Roman" w:eastAsia="Times New Roman"/>
          <w:b w:val="0"/>
          <w:i w:val="0"/>
          <w:sz w:val="24"/>
        </w:rPr>
        <w:t>Il terzo difetto è il guasto di numerazione, che si è rivelato assai più esteso di quanto la riparazione iniziale avesse colto. Esso consiste nella sostituzione con cifre delle parole-numero all'interno di numerali composti, e si presenta in due classi. La prima produce forme visibilmente rotte, come «tre150mila» per trecentocinquantamila o «cento26» per centoventisei, e ne sono state censite cinquantotto occorrenze, cinquantasei delle quali decodificate con certezza. La seconda classe è invisibile, perché produce numeri apparentemente normali: cinquantasei diventa cinquecentosei, cinquantanove diventa cinquecentonove, cinquantacinque diventa cinquecentocinque. Di questa seconda classe sono state accertate quattro corruzioni certe e nove forme autentiche della medesima apparenza, il che dimostra che la classe non è riparabile per regola e va letta occorrenza per occorrenza.</w:t>
      </w:r>
    </w:p>
    <w:p>
      <w:pPr>
        <w:spacing w:line="276" w:lineRule="auto" w:before="0" w:after="0"/>
        <w:ind w:firstLine="425"/>
        <w:jc w:val="both"/>
      </w:pPr>
      <w:r>
        <w:rPr>
          <w:rFonts w:ascii="Times New Roman" w:hAnsi="Times New Roman" w:cs="Times New Roman" w:eastAsia="Times New Roman"/>
          <w:b w:val="0"/>
          <w:i w:val="0"/>
          <w:sz w:val="24"/>
        </w:rPr>
        <w:t>La regola di decodifica è stata provata sette volte, e le prove sono di due specie. Quattro sono riscontri esterni: i cinquantasei voti del Senato statunitense, i cinquantacinque agenti ulteriori individuati dall'organo di vigilanza britannico, le quattrocentocinquantamila pagine del collegio indipendente, i due milioni e quattrocentomila euro della commissione storica tedesca. Tre sono prove aritmetiche interne al repertorio stesso: trecentocinquantatré più centodiciannove danno i quattrocentosettantadue che la voce dichiara; la ripartizione fra sette enti di una diffusione documentaria somma ai sedicimila dichiarati; le settecentomila pagine dell'archivio paraguaiano coincidono con la fonte. Una sola verifica aritmetica non chiude, ed è registrata come discrepanza aperta.</w:t>
      </w:r>
    </w:p>
    <w:p>
      <w:pPr>
        <w:spacing w:line="276" w:lineRule="auto" w:before="0" w:after="0"/>
        <w:ind w:firstLine="425"/>
        <w:jc w:val="both"/>
      </w:pPr>
      <w:r>
        <w:rPr>
          <w:rFonts w:ascii="Times New Roman" w:hAnsi="Times New Roman" w:cs="Times New Roman" w:eastAsia="Times New Roman"/>
          <w:b w:val="0"/>
          <w:i w:val="0"/>
          <w:sz w:val="24"/>
        </w:rPr>
        <w:t>Il quarto difetto è la duplicazione. Ne sono state accertate cinque: una interna al foglio degli atti giudiziari, due voci identiche per il medesimo giorno; una interna al foglio degli archivi, dove il portale della Rete degli archivi per non dimenticare è censito due volte sotto nomi diversi; e tre fra fogli distinti, riguardanti la valutazione europea sulla criminalità organizzata, l'archivio sudafricano, il centro statunitense e le carte dell'ufficiale sovietico transfugo. Nessuna revisione aveva mai messo a confronto i fogli fra loro.</w:t>
      </w:r>
    </w:p>
    <w:p>
      <w:pPr>
        <w:spacing w:line="276" w:lineRule="auto" w:before="0" w:after="0"/>
        <w:ind w:firstLine="425"/>
        <w:jc w:val="both"/>
      </w:pPr>
      <w:r>
        <w:rPr>
          <w:rFonts w:ascii="Times New Roman" w:hAnsi="Times New Roman" w:cs="Times New Roman" w:eastAsia="Times New Roman"/>
          <w:b w:val="0"/>
          <w:i w:val="0"/>
          <w:sz w:val="24"/>
        </w:rPr>
        <w:t>Il quinto difetto riguarda le date. In almeno sei voci il repertorio reca una sola data laddove il procedimento ne produce due, entrambe vere: pronuncia e deposito, approvazione e comunicazione, completamento e pubblicazione, emissione e notificazione. Il repertorio conosce la distinzione e la applica correttamente in due casi; la questione non è di conoscenza ma di applicazione uniforme.</w:t>
      </w:r>
    </w:p>
    <w:p>
      <w:pPr>
        <w:spacing w:line="276" w:lineRule="auto" w:before="0" w:after="0"/>
        <w:ind w:firstLine="425"/>
        <w:jc w:val="both"/>
      </w:pPr>
      <w:r>
        <w:rPr>
          <w:rFonts w:ascii="Times New Roman" w:hAnsi="Times New Roman" w:cs="Times New Roman" w:eastAsia="Times New Roman"/>
          <w:b w:val="0"/>
          <w:i w:val="0"/>
          <w:sz w:val="24"/>
        </w:rPr>
        <w:t>Sono stati inoltre accertati sei errori di sostanza: la formula del dispositivo nel procedimento di Perugia; una percentuale indurita che la fonte dichiara ignota; la periodicità della relazione semestrale antimafia, divenuta annuale; la legislatura attribuita alla prima commissione sul caso Moro, che è l'ottava e non la nona; il toponimo di viale Giulio Cesare, indicato come via; l'anno finale nel sottotitolo della monografia sulle strutture clandestine tedesche, che è il millenovecentonovantuno e non il millenovecentonovanta. A questi si aggiunge un errore di attribuzione, per cui una raccolta editoriale commerciale è ascritta agli Archivi nazionali statunitensi, e una incoerenza interna, per cui la medesima legge spagnola è qualificata come legge in una voce e come regio decreto in un'altra.</w:t>
      </w:r>
    </w:p>
    <w:p>
      <w:pPr>
        <w:spacing w:line="276" w:lineRule="auto" w:before="280" w:after="120"/>
        <w:ind w:firstLine="0"/>
        <w:jc w:val="left"/>
      </w:pPr>
      <w:r>
        <w:rPr>
          <w:rFonts w:ascii="Times New Roman" w:hAnsi="Times New Roman" w:cs="Times New Roman" w:eastAsia="Times New Roman"/>
          <w:b/>
          <w:i w:val="0"/>
          <w:sz w:val="24"/>
        </w:rPr>
        <w:t>IV. Il difetto di struttura del foglio degli archivi</w:t>
      </w:r>
    </w:p>
    <w:p>
      <w:pPr>
        <w:spacing w:line="276" w:lineRule="auto" w:before="0" w:after="0"/>
        <w:ind w:firstLine="425"/>
        <w:jc w:val="both"/>
      </w:pPr>
      <w:r>
        <w:rPr>
          <w:rFonts w:ascii="Times New Roman" w:hAnsi="Times New Roman" w:cs="Times New Roman" w:eastAsia="Times New Roman"/>
          <w:b w:val="0"/>
          <w:i w:val="0"/>
          <w:sz w:val="24"/>
        </w:rPr>
        <w:t>Il foglio si intitola «Archivi» e conta centoquarantadue voci, ma non è un censimento di archivi. Circa ottantuno voci descrivono effettivamente istituzioni, fondi, portali o regimi normativi di accesso; le restanti sessantuno, concentrate dalla voce settantaduesima in avanti, sono note analitiche, verifiche, rettifiche, chiusure di discrepanze e misurazioni diagnostiche prodotte dal lavoro stesso. La spia formale è nella colonna intestata «Sede», che in quelle righe non contiene un luogo ma la provenienza di un ragionamento.</w:t>
      </w:r>
    </w:p>
    <w:p>
      <w:pPr>
        <w:spacing w:line="276" w:lineRule="auto" w:before="0" w:after="0"/>
        <w:ind w:firstLine="425"/>
        <w:jc w:val="both"/>
      </w:pPr>
      <w:r>
        <w:rPr>
          <w:rFonts w:ascii="Times New Roman" w:hAnsi="Times New Roman" w:cs="Times New Roman" w:eastAsia="Times New Roman"/>
          <w:b w:val="0"/>
          <w:i w:val="0"/>
          <w:sz w:val="24"/>
        </w:rPr>
        <w:t>Poiché il metodo dell'opera stabilisce che i prodotti del lavoro non sono fonti del lavoro, la mescolanza dei due piani rende impossibile distinguere alla lettura ciò che l'opera ha trovato da ciò che ha concluso. Alcune di quelle voci, per di più, misurano documenti prodotti dal progetto stesso. L'intervento proposto è la scissione in due fogli, senza perdita di contenuto: uno di archivi e regimi di accesso, uno di registro analitico e diagnostico. Le sessantuno voci-nota non sono verificabili con il metodo impiegato, perché non asseriscono l'esistenza di un archivio ma la correttezza di un'inferenza: verificarle significa rifare il ragionamento, e appartiene alla revisione dell'opera, non al controllo del repertorio.</w:t>
      </w:r>
    </w:p>
    <w:p>
      <w:pPr>
        <w:spacing w:line="276" w:lineRule="auto" w:before="280" w:after="120"/>
        <w:ind w:firstLine="0"/>
        <w:jc w:val="left"/>
      </w:pPr>
      <w:r>
        <w:rPr>
          <w:rFonts w:ascii="Times New Roman" w:hAnsi="Times New Roman" w:cs="Times New Roman" w:eastAsia="Times New Roman"/>
          <w:b/>
          <w:i w:val="0"/>
          <w:sz w:val="24"/>
        </w:rPr>
        <w:t>V. Le lacune colmate</w:t>
      </w:r>
    </w:p>
    <w:p>
      <w:pPr>
        <w:spacing w:line="276" w:lineRule="auto" w:before="0" w:after="0"/>
        <w:ind w:firstLine="425"/>
        <w:jc w:val="both"/>
      </w:pPr>
      <w:r>
        <w:rPr>
          <w:rFonts w:ascii="Times New Roman" w:hAnsi="Times New Roman" w:cs="Times New Roman" w:eastAsia="Times New Roman"/>
          <w:b w:val="0"/>
          <w:i w:val="0"/>
          <w:sz w:val="24"/>
        </w:rPr>
        <w:t>L'inventario degli archivi mondiali affini alla tematica ha individuato otto lacune, tutte colmate con ventotto voci di nuova formazione. La prima e più estesa era l'intera rete degli archivi delle polizie politiche dell'Europa centro-orientale, costituita nel dicembre duemilaotto e composta da otto istituzioni membri e cinque osservatori, della quale il repertorio censiva il solo archivio tedesco. La seconda erano gli archivi di Cile, Uruguay e Bolivia, cioè di tre dei Paesi che il repertorio stesso indica come membri del coordinamento repressivo continentale. La terza erano gli archivi della Santa Sede, a fronte di un intero dominio dedicato alle istituzioni religiose. La quarta erano gli Archivi storici dell'Unione europea, direttamente pertinenti alla tesi dell'opera. La quinta era l'archivio dell'Alleanza atlantica. La sesta erano gli archivi greci e turchi. La settima erano quattro sedi italiane. L'ottava erano i fondi portoghesi conservati presso una sede già censita.</w:t>
      </w:r>
    </w:p>
    <w:p>
      <w:pPr>
        <w:spacing w:line="276" w:lineRule="auto" w:before="0" w:after="0"/>
        <w:ind w:firstLine="425"/>
        <w:jc w:val="both"/>
      </w:pPr>
      <w:r>
        <w:rPr>
          <w:rFonts w:ascii="Times New Roman" w:hAnsi="Times New Roman" w:cs="Times New Roman" w:eastAsia="Times New Roman"/>
          <w:b w:val="0"/>
          <w:i w:val="0"/>
          <w:sz w:val="24"/>
        </w:rPr>
        <w:t>Fra le acquisizioni, cinque meritano menzione separata. Presso il Centro documentale di Salamanca si conserva l'archivio del Tribunale speciale per la repressione della massoneria e del comunismo, con censimenti, credenziali e corrispondenza delle logge: è la fonte omologa più ampia esistente in Europa occidentale per un'opera che lavora su un elenco nominativo. Presso l'archivio nazionale portoghese si conservano, oltre al fondo della polizia politica già censito, i fondi dei servizi informativi coloniali di Mozambico e Angola, l'archivio personale del capo del governo e — separatamente — il fondo dei servizi di coordinamento dell'estinzione della polizia politica e quello della cooperativa dei suoi ex funzionari. Gli Archivi storici dell'Unione europea, a Firenze, conservano i fondi privati di circa centocinquanta fra persone, movimenti e organizzazioni dell'integrazione europea, consultabili fino al millenovecentonovantasei per effetto della regola dei trent'anni. L'archivio dell'Alleanza atlantica applica alla riservatezza personale un vincolo di cento anni dalla data di nascita dell'interessato, termine più lungo di qualunque altro censito. L'archivio lettone ha pubblicato in rete gli schedari alfabetici, i fascicoli degli agenti reclutati e gli elenchi telefonici dei funzionari del servizio sovietico: è materiale nominativo di rete già ordinato.</w:t>
      </w:r>
    </w:p>
    <w:p>
      <w:pPr>
        <w:spacing w:line="276" w:lineRule="auto" w:before="280" w:after="120"/>
        <w:ind w:firstLine="0"/>
        <w:jc w:val="left"/>
      </w:pPr>
      <w:r>
        <w:rPr>
          <w:rFonts w:ascii="Times New Roman" w:hAnsi="Times New Roman" w:cs="Times New Roman" w:eastAsia="Times New Roman"/>
          <w:b/>
          <w:i w:val="0"/>
          <w:sz w:val="24"/>
        </w:rPr>
        <w:t>VI. La regolarità emersa, che è il risultato metodologico del lavoro</w:t>
      </w:r>
    </w:p>
    <w:p>
      <w:pPr>
        <w:spacing w:line="276" w:lineRule="auto" w:before="0" w:after="0"/>
        <w:ind w:firstLine="425"/>
        <w:jc w:val="both"/>
      </w:pPr>
      <w:r>
        <w:rPr>
          <w:rFonts w:ascii="Times New Roman" w:hAnsi="Times New Roman" w:cs="Times New Roman" w:eastAsia="Times New Roman"/>
          <w:b w:val="0"/>
          <w:i w:val="0"/>
          <w:sz w:val="24"/>
        </w:rPr>
        <w:t>Nessuno degli archivi censiti ha aperto i propri fondi spontaneamente. Le aperture risultano ottenute per causa giudiziaria negli Stati Uniti, dove la messa in rete di undici milioni di pagine seguì un contenzioso, e nel Regno Unito, dove l'esistenza di ottomilaottocento fascicoli fu ammessa nel corso di una causa promossa da sopravvissuti kenioti; per dichiarazione di incostituzionalità e poi per scandalo in Ungheria, dove l'archivio nacque due volte; per superamento del veto presidenziale in Slovacchia; per contestazione pubblica delle cifre in Romania, dove la successione dell'archivio avvenne per decreto non pubblicato; per crollo di regime in Portogallo, in Grecia, nel Cono Sud e nel blocco orientale; per legge ottenuta dalle organizzazioni delle vittime in Bolivia e in Uruguay; per decisione pontificia in anticipo sui termini ordinari nella Santa Sede; per occupazione materiale delle sedi che interruppe una distruzione in corso nella Germania orientale; e, in un caso, per divulgazione anonima di provenienza ignota in Uruguay.</w:t>
      </w:r>
    </w:p>
    <w:p>
      <w:pPr>
        <w:spacing w:line="276" w:lineRule="auto" w:before="0" w:after="0"/>
        <w:ind w:firstLine="425"/>
        <w:jc w:val="both"/>
      </w:pPr>
      <w:r>
        <w:rPr>
          <w:rFonts w:ascii="Times New Roman" w:hAnsi="Times New Roman" w:cs="Times New Roman" w:eastAsia="Times New Roman"/>
          <w:b w:val="0"/>
          <w:i w:val="0"/>
          <w:sz w:val="24"/>
        </w:rPr>
        <w:t>La regolarità attraversa quindici ordinamenti e giustifica per via empirica un assunto che il metodo dell'opera aveva formulato per via teorica: l'accessibilità di un fondo misura un rapporto di forza, non una politica documentaria. Ne discende un corollario operativo: la data di apertura di un archivio è essa stessa un dato storico, e va registrata accanto al contenuto, perché dice in quale condizione politica quel contenuto è divenuto conoscibile.</w:t>
      </w:r>
    </w:p>
    <w:p>
      <w:pPr>
        <w:spacing w:line="276" w:lineRule="auto" w:before="0" w:after="0"/>
        <w:ind w:firstLine="425"/>
        <w:jc w:val="both"/>
      </w:pPr>
      <w:r>
        <w:rPr>
          <w:rFonts w:ascii="Times New Roman" w:hAnsi="Times New Roman" w:cs="Times New Roman" w:eastAsia="Times New Roman"/>
          <w:b w:val="0"/>
          <w:i w:val="0"/>
          <w:sz w:val="24"/>
        </w:rPr>
        <w:t>A questa se ne accompagna una seconda, di rango minore ma di uso immediato. La pratica di sottrarre documenti da un insieme consegnato ammette due forme opposte: l'archivio lituano, inviando microfilm a un istituto estero, rimosse taluni fascicoli per ragioni di riservatezza e indicò le rimozioni nell'elenco del contenuto di ciascuna bobina; il ministero britannico non ha reso pubblici gli elenchi dei fascicoli distrutti né un inventario del materiale detenuto al momento della scoperta. Nel primo caso l'inventario di ciò che manca esiste ed è dichiarato; nel secondo no. È la distinzione che separa una restrizione da un occultamento, ed è documentata da entrambi i lati.</w:t>
      </w:r>
    </w:p>
    <w:p>
      <w:pPr>
        <w:spacing w:line="276" w:lineRule="auto" w:before="280" w:after="120"/>
        <w:ind w:firstLine="0"/>
        <w:jc w:val="left"/>
      </w:pPr>
      <w:r>
        <w:rPr>
          <w:rFonts w:ascii="Times New Roman" w:hAnsi="Times New Roman" w:cs="Times New Roman" w:eastAsia="Times New Roman"/>
          <w:b/>
          <w:i w:val="0"/>
          <w:sz w:val="24"/>
        </w:rPr>
        <w:t>VII. Che cosa resta da fare, in ordine</w:t>
      </w:r>
    </w:p>
    <w:p>
      <w:pPr>
        <w:spacing w:line="276" w:lineRule="auto" w:before="0" w:after="0"/>
        <w:ind w:firstLine="425"/>
        <w:jc w:val="both"/>
      </w:pPr>
      <w:r>
        <w:rPr>
          <w:rFonts w:ascii="Times New Roman" w:hAnsi="Times New Roman" w:cs="Times New Roman" w:eastAsia="Times New Roman"/>
          <w:b w:val="0"/>
          <w:i w:val="0"/>
          <w:sz w:val="24"/>
        </w:rPr>
        <w:t>Precede ogni altra cosa il reinserimento dei nomi propri, che è condizione di possibilità della rete. Segue il controllo della completezza delle proposizioni citate, unico rimedio alla deformazione di misura, che non può essere automatizzato. Segue la lettura, occorrenza per occorrenza, delle cifre a tre e quattro posizioni, per isolare la seconda classe del guasto numerico. Seguono l'eliminazione delle cinque duplicazioni, la compilazione della voce vuota sul processo bolognese, il riallineamento della riga difettosa nel foglio sudamericano e la correzione dei sei errori di sostanza accertati.</w:t>
      </w:r>
    </w:p>
    <w:p>
      <w:pPr>
        <w:spacing w:line="276" w:lineRule="auto" w:before="0" w:after="0"/>
        <w:ind w:firstLine="425"/>
        <w:jc w:val="both"/>
      </w:pPr>
      <w:r>
        <w:rPr>
          <w:rFonts w:ascii="Times New Roman" w:hAnsi="Times New Roman" w:cs="Times New Roman" w:eastAsia="Times New Roman"/>
          <w:b w:val="0"/>
          <w:i w:val="0"/>
          <w:sz w:val="24"/>
        </w:rPr>
        <w:t>Quanto al completamento, la via più rapida non è la verifica voce per voce ma la collazione con tre strumenti esistenti e gratuiti, redatti da personale archivistico: la Guida alle fonti per una storia ancora da scrivere, che pubblica il primo censimento delle fonti conservate presso gli aderenti alla Rete italiana; il portale della medesima Rete, la cui ricerca è già articolata per eventi, persone, indagini e processi, documenti e organizzazioni, ed è dunque una banca dati nodale già costruita sul medesimo dominio dell'opera; e la Guida agli archivi di memoria e diritti umani in Cile, che svolge la stessa funzione per il Cono Sud. Ciò che quegli strumenti recano è già censito; ciò che il repertorio reca in più va verificato proprio perché lì non compare.</w:t>
      </w:r>
    </w:p>
    <w:p>
      <w:pPr>
        <w:spacing w:line="276" w:lineRule="auto" w:before="0" w:after="0"/>
        <w:ind w:firstLine="425"/>
        <w:jc w:val="both"/>
      </w:pPr>
      <w:r>
        <w:rPr>
          <w:rFonts w:ascii="Times New Roman" w:hAnsi="Times New Roman" w:cs="Times New Roman" w:eastAsia="Times New Roman"/>
          <w:b w:val="0"/>
          <w:i w:val="0"/>
          <w:sz w:val="24"/>
        </w:rPr>
        <w:t>Restano infine da acquisire due opere che il repertorio non censisce e che sono centrali per una delle sue sezioni: l'edizione integrale del carteggio dalla prigionia curata da Miguel Gotor e l'Edizione nazionale delle opere di Aldo Moro, articolata in otto volumi in undici tomi più appendice, interamente digitale e gratuita. Il repertorio censisce il memoriale e le lettere, cioè i cinquantacinque giorni finali, e non i cinquant'anni di scritti che li precedono.</w:t>
      </w:r>
    </w:p>
    <w:p>
      <w:pPr>
        <w:spacing w:line="276" w:lineRule="auto" w:before="280" w:after="120"/>
        <w:ind w:firstLine="0"/>
        <w:jc w:val="left"/>
      </w:pPr>
      <w:r>
        <w:rPr>
          <w:rFonts w:ascii="Times New Roman" w:hAnsi="Times New Roman" w:cs="Times New Roman" w:eastAsia="Times New Roman"/>
          <w:b/>
          <w:i w:val="0"/>
          <w:sz w:val="24"/>
        </w:rPr>
        <w:t>VIII. Nota sullo statuto di questo documento</w:t>
      </w:r>
    </w:p>
    <w:p>
      <w:pPr>
        <w:spacing w:line="276" w:lineRule="auto" w:before="0" w:after="0"/>
        <w:ind w:firstLine="425"/>
        <w:jc w:val="both"/>
      </w:pPr>
      <w:r>
        <w:rPr>
          <w:rFonts w:ascii="Times New Roman" w:hAnsi="Times New Roman" w:cs="Times New Roman" w:eastAsia="Times New Roman"/>
          <w:b w:val="0"/>
          <w:i w:val="0"/>
          <w:sz w:val="24"/>
        </w:rPr>
        <w:t>Questo documento è un prodotto del lavoro e non una fonte del lavoro. Non può essere citato a sostegno di alcuna affermazione contenuta nel repertorio, e le sue conclusioni valgono nei limiti dichiarati nella prima sezione. Le centosettantasette annotazioni di verifica registrate nei fogli recano ciascuna la propria data e la propria motivazione, e sono a loro volta soggette a riverifica quando gli originali diventeranno accessibili.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