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Questo lavoro risponde alla richiesta di generare nodi a partire dalle monografie di ricerca profonda depositate nel corpus: la trentina di schede che, attorno alla centrale lisbonese Aginter Press e al suo fondatore Yves Guerin-Serac, ricostruiscono la guerra controrivoluzionaria, la strategia della tensione, gli assi occulti dell'apartheid sudafricano-namibiano e i loro controcampi. Il metodo e' quello dello statuto neuronale dell'opera: ogni candidato entra al grado piu' basso compatibile con le fonti e sale solo per triangolazione documentale, e non si dichiara verificato cio' che non lo e'. Le monografie usano una loro scala di certezza — certo, altamente probabile, probabile, possibile, da verificare, assenza di riscontro — che qui viene tradotta nel Sistema Savona: il certo diventa Livello A, l'altamente probabile e il probabile diventano Livello B, il possibile e il da verificare diventano Livello C, e l'assenza di riscontro diventa esito negativo. Il foglio di servizio allegato deposita cinquantasette nodi, ventiquattro archi, quattordici reperti negativi e la tavola dello statuto. Il lavoro e' del sei agosto duemilaventisei.</w:t>
      </w:r>
    </w:p>
    <w:p>
      <w:pPr>
        <w:spacing w:line="276" w:lineRule="auto" w:before="0" w:after="0"/>
        <w:ind w:firstLine="425"/>
        <w:jc w:val="both"/>
      </w:pPr>
      <w:r>
        <w:rPr>
          <w:rFonts w:ascii="Times New Roman" w:hAnsi="Times New Roman" w:cs="Times New Roman" w:eastAsia="Times New Roman"/>
          <w:b/>
          <w:sz w:val="24"/>
        </w:rPr>
        <w:t>La radice: la centrale di Lisbona e il suo capo.</w:t>
      </w:r>
      <w:r>
        <w:rPr>
          <w:rFonts w:ascii="Times New Roman" w:hAnsi="Times New Roman" w:cs="Times New Roman" w:eastAsia="Times New Roman"/>
          <w:b w:val="0"/>
          <w:sz w:val="24"/>
        </w:rPr>
        <w:t xml:space="preserve"> Il nodo-madre di tutto il lotto e' </w:t>
      </w:r>
      <w:r>
        <w:rPr>
          <w:rFonts w:ascii="Times New Roman" w:hAnsi="Times New Roman" w:cs="Times New Roman" w:eastAsia="Times New Roman"/>
          <w:b/>
          <w:sz w:val="24"/>
        </w:rPr>
        <w:t>Aginter Press</w:t>
      </w:r>
      <w:r>
        <w:rPr>
          <w:rFonts w:ascii="Times New Roman" w:hAnsi="Times New Roman" w:cs="Times New Roman" w:eastAsia="Times New Roman"/>
          <w:b w:val="0"/>
          <w:sz w:val="24"/>
        </w:rPr>
        <w:t xml:space="preserve">, la falsa agenzia di stampa fondata a Lisbona nel settembre del millenovecentosessantasei da </w:t>
      </w:r>
      <w:r>
        <w:rPr>
          <w:rFonts w:ascii="Times New Roman" w:hAnsi="Times New Roman" w:cs="Times New Roman" w:eastAsia="Times New Roman"/>
          <w:b/>
          <w:sz w:val="24"/>
        </w:rPr>
        <w:t>Yves Guerin-Serac</w:t>
      </w:r>
      <w:r>
        <w:rPr>
          <w:rFonts w:ascii="Times New Roman" w:hAnsi="Times New Roman" w:cs="Times New Roman" w:eastAsia="Times New Roman"/>
          <w:b w:val="0"/>
          <w:sz w:val="24"/>
        </w:rPr>
        <w:t xml:space="preserve">, vero nome Yves Guillou, ex capitano francese reduce d'Indocina, Corea e Algeria e membro fondatore dell'Organizzazione dell'esercito segreto. Dietro la copertura giornalistica operava una struttura di guerra non ortodossa: spionaggio, addestramento di mercenari, guerra psicologica e teoria del terrorismo sotto falsa bandiera. Il ruolo dottrinale della centrale e' un fatto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suo raccordo operativo internazionale e' </w:t>
      </w:r>
      <w:r>
        <w:rPr>
          <w:rFonts w:ascii="Times New Roman" w:hAnsi="Times New Roman" w:cs="Times New Roman" w:eastAsia="Times New Roman"/>
          <w:b/>
          <w:sz w:val="24"/>
        </w:rPr>
        <w:t>(Livello B, altamente probabile)</w:t>
      </w:r>
      <w:r>
        <w:rPr>
          <w:rFonts w:ascii="Times New Roman" w:hAnsi="Times New Roman" w:cs="Times New Roman" w:eastAsia="Times New Roman"/>
          <w:b w:val="0"/>
          <w:sz w:val="24"/>
        </w:rPr>
        <w:t xml:space="preserve">; molte attribuzioni di singoli attentati restano invece candidate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Entrambi questi nodi erano gia' inventariati nel registro-madre del dominio del terrorismo e della violenza politica: il lavoro non li ricrea, ma ne consolida la scheda e vi aggancia le sinapsi nuove. Guerin-Serac, mai catturato da alcun magistrato, e' morto il nove marzo del duemilaventidue.</w:t>
      </w:r>
    </w:p>
    <w:p>
      <w:pPr>
        <w:spacing w:line="276" w:lineRule="auto" w:before="0" w:after="0"/>
        <w:ind w:firstLine="425"/>
        <w:jc w:val="both"/>
      </w:pPr>
      <w:r>
        <w:rPr>
          <w:rFonts w:ascii="Times New Roman" w:hAnsi="Times New Roman" w:cs="Times New Roman" w:eastAsia="Times New Roman"/>
          <w:b/>
          <w:sz w:val="24"/>
        </w:rPr>
        <w:t>Il braccio dottrinale e la sua matrice religiosa.</w:t>
      </w:r>
      <w:r>
        <w:rPr>
          <w:rFonts w:ascii="Times New Roman" w:hAnsi="Times New Roman" w:cs="Times New Roman" w:eastAsia="Times New Roman"/>
          <w:b w:val="0"/>
          <w:sz w:val="24"/>
        </w:rPr>
        <w:t xml:space="preserve"> Attorno alla centrale il lavoro fissa tre nodi che ne spiegano la natura profonda. Il primo e' </w:t>
      </w:r>
      <w:r>
        <w:rPr>
          <w:rFonts w:ascii="Times New Roman" w:hAnsi="Times New Roman" w:cs="Times New Roman" w:eastAsia="Times New Roman"/>
          <w:b/>
          <w:sz w:val="24"/>
        </w:rPr>
        <w:t>Ordre et Tradition</w:t>
      </w:r>
      <w:r>
        <w:rPr>
          <w:rFonts w:ascii="Times New Roman" w:hAnsi="Times New Roman" w:cs="Times New Roman" w:eastAsia="Times New Roman"/>
          <w:b w:val="0"/>
          <w:sz w:val="24"/>
        </w:rPr>
        <w:t xml:space="preserve">, che non fu un'organizzazione separata ma la denominazione dottrinale interna di Aginter, con il suo braccio clandestino armato, l'Organizzazione d'azione contro il comunismo internazionale </w:t>
      </w:r>
      <w:r>
        <w:rPr>
          <w:rFonts w:ascii="Times New Roman" w:hAnsi="Times New Roman" w:cs="Times New Roman" w:eastAsia="Times New Roman"/>
          <w:b/>
          <w:sz w:val="24"/>
        </w:rPr>
        <w:t>(Livello A quanto all'esistenza)</w:t>
      </w:r>
      <w:r>
        <w:rPr>
          <w:rFonts w:ascii="Times New Roman" w:hAnsi="Times New Roman" w:cs="Times New Roman" w:eastAsia="Times New Roman"/>
          <w:b w:val="0"/>
          <w:sz w:val="24"/>
        </w:rPr>
        <w:t xml:space="preserve">. Il secondo e' il documento </w:t>
      </w:r>
      <w:r>
        <w:rPr>
          <w:rFonts w:ascii="Times New Roman" w:hAnsi="Times New Roman" w:cs="Times New Roman" w:eastAsia="Times New Roman"/>
          <w:b/>
          <w:sz w:val="24"/>
        </w:rPr>
        <w:t>«La nostra azione politica»</w:t>
      </w:r>
      <w:r>
        <w:rPr>
          <w:rFonts w:ascii="Times New Roman" w:hAnsi="Times New Roman" w:cs="Times New Roman" w:eastAsia="Times New Roman"/>
          <w:b w:val="0"/>
          <w:sz w:val="24"/>
        </w:rPr>
        <w:t xml:space="preserve">, sequestrato nel forte di Caxias dopo la Rivoluzione dei Garofani, che teorizza con lucidita' agghiacciante la creazione del caos e la distruzione dello Stato democratico sotto copertura di attivita' comuniste e filo-cinesi: e' il manuale della provocazione controrivoluzionaria </w:t>
      </w:r>
      <w:r>
        <w:rPr>
          <w:rFonts w:ascii="Times New Roman" w:hAnsi="Times New Roman" w:cs="Times New Roman" w:eastAsia="Times New Roman"/>
          <w:b/>
          <w:sz w:val="24"/>
        </w:rPr>
        <w:t>(Livello A quanto all'esistenza del testo)</w:t>
      </w:r>
      <w:r>
        <w:rPr>
          <w:rFonts w:ascii="Times New Roman" w:hAnsi="Times New Roman" w:cs="Times New Roman" w:eastAsia="Times New Roman"/>
          <w:b w:val="0"/>
          <w:sz w:val="24"/>
        </w:rPr>
        <w:t xml:space="preserve">. Il terzo e' la </w:t>
      </w:r>
      <w:r>
        <w:rPr>
          <w:rFonts w:ascii="Times New Roman" w:hAnsi="Times New Roman" w:cs="Times New Roman" w:eastAsia="Times New Roman"/>
          <w:b/>
          <w:sz w:val="24"/>
        </w:rPr>
        <w:t>matrice religiosa</w:t>
      </w:r>
      <w:r>
        <w:rPr>
          <w:rFonts w:ascii="Times New Roman" w:hAnsi="Times New Roman" w:cs="Times New Roman" w:eastAsia="Times New Roman"/>
          <w:b w:val="0"/>
          <w:sz w:val="24"/>
        </w:rPr>
        <w:t xml:space="preserve">: la dottrina della guerra rivoluzionaria francese d'Algeria e Indocina, fusa con l'integralismo cattolico della Citta' Cattolica di Jean Ousset, fa da asse ideologico portante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Ma qui lo statuto impone una frenata: l'idea che Ordre et Tradition fosse un vero e proprio ordine religioso-militare monastico e' piu' etichetta mitopoietica che struttura confessionale, e resta iscritta tra i reperti da verificare, cosi' come la deriva neo-templare resta soltanto possibile.</w:t>
      </w:r>
    </w:p>
    <w:p>
      <w:pPr>
        <w:spacing w:line="276" w:lineRule="auto" w:before="0" w:after="0"/>
        <w:ind w:firstLine="425"/>
        <w:jc w:val="both"/>
      </w:pPr>
      <w:r>
        <w:rPr>
          <w:rFonts w:ascii="Times New Roman" w:hAnsi="Times New Roman" w:cs="Times New Roman" w:eastAsia="Times New Roman"/>
          <w:b/>
          <w:sz w:val="24"/>
        </w:rPr>
        <w:t>La spina italiana: cio' che le note di verifica avevano gia' accertato.</w:t>
      </w:r>
      <w:r>
        <w:rPr>
          <w:rFonts w:ascii="Times New Roman" w:hAnsi="Times New Roman" w:cs="Times New Roman" w:eastAsia="Times New Roman"/>
          <w:b w:val="0"/>
          <w:sz w:val="24"/>
        </w:rPr>
        <w:t xml:space="preserve"> Il lotto salda i propri nodi alla spina italiana gia' verificata. </w:t>
      </w:r>
      <w:r>
        <w:rPr>
          <w:rFonts w:ascii="Times New Roman" w:hAnsi="Times New Roman" w:cs="Times New Roman" w:eastAsia="Times New Roman"/>
          <w:b/>
          <w:sz w:val="24"/>
        </w:rPr>
        <w:t>Ordine Nuovo</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Avanguardia Nazionale</w:t>
      </w:r>
      <w:r>
        <w:rPr>
          <w:rFonts w:ascii="Times New Roman" w:hAnsi="Times New Roman" w:cs="Times New Roman" w:eastAsia="Times New Roman"/>
          <w:b w:val="0"/>
          <w:sz w:val="24"/>
        </w:rPr>
        <w:t xml:space="preserve"> — i cui militanti furono addestrati all'uso di esplosivi da istruttori di Aginter venuti a Roma tra il millenovecentosessantasette e il millenovecentosessantotto — sono nodi gia' registrati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Cosi' </w:t>
      </w:r>
      <w:r>
        <w:rPr>
          <w:rFonts w:ascii="Times New Roman" w:hAnsi="Times New Roman" w:cs="Times New Roman" w:eastAsia="Times New Roman"/>
          <w:b/>
          <w:sz w:val="24"/>
        </w:rPr>
        <w:t>Guido Giannettini</w:t>
      </w:r>
      <w:r>
        <w:rPr>
          <w:rFonts w:ascii="Times New Roman" w:hAnsi="Times New Roman" w:cs="Times New Roman" w:eastAsia="Times New Roman"/>
          <w:b w:val="0"/>
          <w:sz w:val="24"/>
        </w:rPr>
        <w:t xml:space="preserve">, che conobbe Guerin-Serac a Lisbona nel millenovecentosessantaquattro, e </w:t>
      </w:r>
      <w:r>
        <w:rPr>
          <w:rFonts w:ascii="Times New Roman" w:hAnsi="Times New Roman" w:cs="Times New Roman" w:eastAsia="Times New Roman"/>
          <w:b/>
          <w:sz w:val="24"/>
        </w:rPr>
        <w:t>Stefano Delle Chiaie</w:t>
      </w:r>
      <w:r>
        <w:rPr>
          <w:rFonts w:ascii="Times New Roman" w:hAnsi="Times New Roman" w:cs="Times New Roman" w:eastAsia="Times New Roman"/>
          <w:b w:val="0"/>
          <w:sz w:val="24"/>
        </w:rPr>
        <w:t>. Su quest'ultimo il lavoro incorpora una correzione decisiva, coerente con la nota dedicata al suo profilo: la tesi del «membro fondatore» di Aginter e' una distorsione di origine enciclopedica — la fonte militante di Stuart Christie parla soltanto di «agente chiave» — e la verita' giudiziaria e' fatta di assoluzioni, da Piazza Fontana al golpe Borghese, dall'omicidio Leighton alla strage di Bologna. Il principio dell'opera vale in pieno: l'allegazione non e' la sentenza, e il nodo si registra con il grado che la storia processuale consente, non con quello che la leggenda pretende.</w:t>
      </w:r>
    </w:p>
    <w:p>
      <w:pPr>
        <w:spacing w:line="276" w:lineRule="auto" w:before="0" w:after="0"/>
        <w:ind w:firstLine="425"/>
        <w:jc w:val="both"/>
      </w:pPr>
      <w:r>
        <w:rPr>
          <w:rFonts w:ascii="Times New Roman" w:hAnsi="Times New Roman" w:cs="Times New Roman" w:eastAsia="Times New Roman"/>
          <w:b/>
          <w:sz w:val="24"/>
        </w:rPr>
        <w:t>La seconda filiera: da Thiriart all'eurasiatismo, la linea che arriva al presente.</w:t>
      </w:r>
      <w:r>
        <w:rPr>
          <w:rFonts w:ascii="Times New Roman" w:hAnsi="Times New Roman" w:cs="Times New Roman" w:eastAsia="Times New Roman"/>
          <w:b w:val="0"/>
          <w:sz w:val="24"/>
        </w:rPr>
        <w:t xml:space="preserve"> La monografia di sintesi apre un fronte distinto e, sul piano dell'opera, prezioso: accanto alla filiera atlantista di Aginter corre una filiera antiatlantista e nazionaleuropea che parte da </w:t>
      </w:r>
      <w:r>
        <w:rPr>
          <w:rFonts w:ascii="Times New Roman" w:hAnsi="Times New Roman" w:cs="Times New Roman" w:eastAsia="Times New Roman"/>
          <w:b/>
          <w:sz w:val="24"/>
        </w:rPr>
        <w:t>Jean Thiriart</w:t>
      </w:r>
      <w:r>
        <w:rPr>
          <w:rFonts w:ascii="Times New Roman" w:hAnsi="Times New Roman" w:cs="Times New Roman" w:eastAsia="Times New Roman"/>
          <w:b w:val="0"/>
          <w:sz w:val="24"/>
        </w:rPr>
        <w:t xml:space="preserve"> e da Jeune Europe, prosegue con </w:t>
      </w:r>
      <w:r>
        <w:rPr>
          <w:rFonts w:ascii="Times New Roman" w:hAnsi="Times New Roman" w:cs="Times New Roman" w:eastAsia="Times New Roman"/>
          <w:b/>
          <w:sz w:val="24"/>
        </w:rPr>
        <w:t>Claudio Mutti</w:t>
      </w:r>
      <w:r>
        <w:rPr>
          <w:rFonts w:ascii="Times New Roman" w:hAnsi="Times New Roman" w:cs="Times New Roman" w:eastAsia="Times New Roman"/>
          <w:b w:val="0"/>
          <w:sz w:val="24"/>
        </w:rPr>
        <w:t xml:space="preserve"> e «La Nazione Europea», attraversa il nazionalrivoluzionarismo carcerario della rivista clandestina </w:t>
      </w:r>
      <w:r>
        <w:rPr>
          <w:rFonts w:ascii="Times New Roman" w:hAnsi="Times New Roman" w:cs="Times New Roman" w:eastAsia="Times New Roman"/>
          <w:b/>
          <w:sz w:val="24"/>
        </w:rPr>
        <w:t>QUEX</w:t>
      </w:r>
      <w:r>
        <w:rPr>
          <w:rFonts w:ascii="Times New Roman" w:hAnsi="Times New Roman" w:cs="Times New Roman" w:eastAsia="Times New Roman"/>
          <w:b w:val="0"/>
          <w:sz w:val="24"/>
        </w:rPr>
        <w:t xml:space="preserve"> e l'esperienza editoriale di </w:t>
      </w:r>
      <w:r>
        <w:rPr>
          <w:rFonts w:ascii="Times New Roman" w:hAnsi="Times New Roman" w:cs="Times New Roman" w:eastAsia="Times New Roman"/>
          <w:b/>
          <w:sz w:val="24"/>
        </w:rPr>
        <w:t>Maurizio Murelli</w:t>
      </w:r>
      <w:r>
        <w:rPr>
          <w:rFonts w:ascii="Times New Roman" w:hAnsi="Times New Roman" w:cs="Times New Roman" w:eastAsia="Times New Roman"/>
          <w:b w:val="0"/>
          <w:sz w:val="24"/>
        </w:rPr>
        <w:t xml:space="preserve"> con Orion, e sfocia nell'eurasiatismo di </w:t>
      </w:r>
      <w:r>
        <w:rPr>
          <w:rFonts w:ascii="Times New Roman" w:hAnsi="Times New Roman" w:cs="Times New Roman" w:eastAsia="Times New Roman"/>
          <w:b/>
          <w:sz w:val="24"/>
        </w:rPr>
        <w:t>Aleksandr Dugin</w:t>
      </w:r>
      <w:r>
        <w:rPr>
          <w:rFonts w:ascii="Times New Roman" w:hAnsi="Times New Roman" w:cs="Times New Roman" w:eastAsia="Times New Roman"/>
          <w:b w:val="0"/>
          <w:sz w:val="24"/>
        </w:rPr>
        <w:t xml:space="preserve">, introdotto in Italia dallo stesso Murelli nel millenovecentonovantadue </w:t>
      </w:r>
      <w:r>
        <w:rPr>
          <w:rFonts w:ascii="Times New Roman" w:hAnsi="Times New Roman" w:cs="Times New Roman" w:eastAsia="Times New Roman"/>
          <w:b/>
          <w:sz w:val="24"/>
        </w:rPr>
        <w:t>(Livello B lungo la catena, con i singoli passaggi biografici a Livello A)</w:t>
      </w:r>
      <w:r>
        <w:rPr>
          <w:rFonts w:ascii="Times New Roman" w:hAnsi="Times New Roman" w:cs="Times New Roman" w:eastAsia="Times New Roman"/>
          <w:b w:val="0"/>
          <w:sz w:val="24"/>
        </w:rPr>
        <w:t xml:space="preserve">. Le due filiere sono ideologicamente opposte — Aginter e' filo-occidentale, persino filo-israeliana secondo l'istruttoria Salvini; Thiriart e' anti-americano e filoarabo — e vanno tenute rigorosamente distinte. Ma proprio questa seconda linea, tramite Dugin, riconnette al nodo gia' verificato di </w:t>
      </w:r>
      <w:r>
        <w:rPr>
          <w:rFonts w:ascii="Times New Roman" w:hAnsi="Times New Roman" w:cs="Times New Roman" w:eastAsia="Times New Roman"/>
          <w:b/>
          <w:sz w:val="24"/>
        </w:rPr>
        <w:t>Gianluca Savoini</w:t>
      </w:r>
      <w:r>
        <w:rPr>
          <w:rFonts w:ascii="Times New Roman" w:hAnsi="Times New Roman" w:cs="Times New Roman" w:eastAsia="Times New Roman"/>
          <w:b w:val="0"/>
          <w:sz w:val="24"/>
        </w:rPr>
        <w:t>, dell'Associazione Lombardia-Russia e dell'affare Metropol: e' l'arco che porta la storia degli anni di piombo fino all'interferenza filorussa contemporanea, in continuita' con la nota sulla minaccia ibrida.</w:t>
      </w:r>
    </w:p>
    <w:p>
      <w:pPr>
        <w:spacing w:line="276" w:lineRule="auto" w:before="0" w:after="0"/>
        <w:ind w:firstLine="425"/>
        <w:jc w:val="both"/>
      </w:pPr>
      <w:r>
        <w:rPr>
          <w:rFonts w:ascii="Times New Roman" w:hAnsi="Times New Roman" w:cs="Times New Roman" w:eastAsia="Times New Roman"/>
          <w:b/>
          <w:sz w:val="24"/>
        </w:rPr>
        <w:t>I servizi: distinguere la liaison certa dalla leggenda a fonte unica.</w:t>
      </w:r>
      <w:r>
        <w:rPr>
          <w:rFonts w:ascii="Times New Roman" w:hAnsi="Times New Roman" w:cs="Times New Roman" w:eastAsia="Times New Roman"/>
          <w:b w:val="0"/>
          <w:sz w:val="24"/>
        </w:rPr>
        <w:t xml:space="preserve"> Sul dominio dell'intelligence il lotto compie l'operazione critica piu' importante. E' un fatto che Aginter fosse protetta e finanziata dalla polizia politica portoghese, la Direzione generale di sicurezza, con un contratto firmato ritrovato negli archivi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ed e' un fatto che quella polizia avesse una liaison istituzionale con la Central Intelligence Agency fin dal millenovecentocinquantasette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Da qui, pero', la pubblicistica ha tratto la formula popolare secondo cui Aginter sarebbe stata «un centro direttamente collegato alla Central Intelligence Agency»: e questa e' una leggenda a fonte debole. Nessun documento americano declassificato nomina Aginter, Guerin-Serac o Guillou; l'affermazione nasce dal rapporto del servizio portoghese del dopo-rivoluzione e rimbalza lungo la catena che da quel rapporto passa a Frederic Laurent, a Christie e a Daniele Ganser, creando un'illusione di corroborazione indipendente. Il </w:t>
      </w:r>
      <w:r>
        <w:rPr>
          <w:rFonts w:ascii="Times New Roman" w:hAnsi="Times New Roman" w:cs="Times New Roman" w:eastAsia="Times New Roman"/>
          <w:b/>
          <w:sz w:val="24"/>
        </w:rPr>
        <w:t>rapporto del servizio portoghese</w:t>
      </w:r>
      <w:r>
        <w:rPr>
          <w:rFonts w:ascii="Times New Roman" w:hAnsi="Times New Roman" w:cs="Times New Roman" w:eastAsia="Times New Roman"/>
          <w:b w:val="0"/>
          <w:sz w:val="24"/>
        </w:rPr>
        <w:t xml:space="preserve"> e la sua catena entrano dunque nel foglio come nodo di grado intermedio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e non come prova; il legame diretto fra l'agenzia americana e Aginter e' iscritto tra i reperti negativi.</w:t>
      </w:r>
    </w:p>
    <w:p>
      <w:pPr>
        <w:spacing w:line="276" w:lineRule="auto" w:before="0" w:after="0"/>
        <w:ind w:firstLine="425"/>
        <w:jc w:val="both"/>
      </w:pPr>
      <w:r>
        <w:rPr>
          <w:rFonts w:ascii="Times New Roman" w:hAnsi="Times New Roman" w:cs="Times New Roman" w:eastAsia="Times New Roman"/>
          <w:b/>
          <w:sz w:val="24"/>
        </w:rPr>
        <w:t>Le Cercle e l'unico ponte verso il Sudafrica.</w:t>
      </w:r>
      <w:r>
        <w:rPr>
          <w:rFonts w:ascii="Times New Roman" w:hAnsi="Times New Roman" w:cs="Times New Roman" w:eastAsia="Times New Roman"/>
          <w:b w:val="0"/>
          <w:sz w:val="24"/>
        </w:rPr>
        <w:t xml:space="preserve"> Il dominio dei servizi ospita anche il nodo di </w:t>
      </w:r>
      <w:r>
        <w:rPr>
          <w:rFonts w:ascii="Times New Roman" w:hAnsi="Times New Roman" w:cs="Times New Roman" w:eastAsia="Times New Roman"/>
          <w:b/>
          <w:sz w:val="24"/>
        </w:rPr>
        <w:t>Le Cercle</w:t>
      </w:r>
      <w:r>
        <w:rPr>
          <w:rFonts w:ascii="Times New Roman" w:hAnsi="Times New Roman" w:cs="Times New Roman" w:eastAsia="Times New Roman"/>
          <w:b w:val="0"/>
          <w:sz w:val="24"/>
        </w:rPr>
        <w:t xml:space="preserve">, il circolo Pinay, e con esso il lato piu' solido del cosiddetto triangolo apartheid. E' certo che il regime sudafricano finanzio' Le Cercle e ne ospito' riunioni in territorio proprio, a Stellenbosch, nel millenovecentottantaquattro e ancora alla fine del decennio, come attesta il Comitato Khan del millenovecentonovantuno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invece soltanto probabile e circoscritto il ponte fra l'ambiente di Aginter e quello del Cercle: un unico contatto personale, quello fra Guerin-Serac e il belga </w:t>
      </w:r>
      <w:r>
        <w:rPr>
          <w:rFonts w:ascii="Times New Roman" w:hAnsi="Times New Roman" w:cs="Times New Roman" w:eastAsia="Times New Roman"/>
          <w:b/>
          <w:sz w:val="24"/>
        </w:rPr>
        <w:t>Florimond Damman</w:t>
      </w:r>
      <w:r>
        <w:rPr>
          <w:rFonts w:ascii="Times New Roman" w:hAnsi="Times New Roman" w:cs="Times New Roman" w:eastAsia="Times New Roman"/>
          <w:b w:val="0"/>
          <w:sz w:val="24"/>
        </w:rPr>
        <w:t xml:space="preserve"> a Bruxelles nel gennaio del millenovecentosessantanove, culminato in un progetto comune mai realizzato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Al di la' di questo filo, ogni legame fra Aginter e il dossier sudafricano-namibiano resta non documentato: e' un punto che va detto con nettezza, perche' ne' l'alleanza militare segreta fra Portogallo, Sudafrica e Rhodesia, ne' la mediazione del Cercle bastano a colmarlo.</w:t>
      </w:r>
    </w:p>
    <w:p>
      <w:pPr>
        <w:spacing w:line="276" w:lineRule="auto" w:before="0" w:after="0"/>
        <w:ind w:firstLine="425"/>
        <w:jc w:val="both"/>
      </w:pPr>
      <w:r>
        <w:rPr>
          <w:rFonts w:ascii="Times New Roman" w:hAnsi="Times New Roman" w:cs="Times New Roman" w:eastAsia="Times New Roman"/>
          <w:b/>
          <w:sz w:val="24"/>
        </w:rPr>
        <w:t>Gli assi dell'apartheid: armi, nucleare, denaro.</w:t>
      </w:r>
      <w:r>
        <w:rPr>
          <w:rFonts w:ascii="Times New Roman" w:hAnsi="Times New Roman" w:cs="Times New Roman" w:eastAsia="Times New Roman"/>
          <w:b w:val="0"/>
          <w:sz w:val="24"/>
        </w:rPr>
        <w:t xml:space="preserve"> La parte piu' corposa delle monografie ricostruisce la macchina di aggiramento dell'embargo, e da qui il lavoro estrae i nodi dei domini delle forze armate e della finanza. Nel nucleare si fissano l'asse tedesco-occidentale della tecnologia d'arricchimento a getto ugello, l'uranio namibiano della miniera di Rossing esportato attraverso il consorzio anglo-olandese-tedesco in violazione del Decreto numero uno delle Nazioni Unite, e l'affare dei sottomarini tra i cantieri di Kiel e Pretoria accertato dalla commissione d'inchiesta del Bundestag </w:t>
      </w:r>
      <w:r>
        <w:rPr>
          <w:rFonts w:ascii="Times New Roman" w:hAnsi="Times New Roman" w:cs="Times New Roman" w:eastAsia="Times New Roman"/>
          <w:b/>
          <w:sz w:val="24"/>
        </w:rPr>
        <w:t>(Livello A e B)</w:t>
      </w:r>
      <w:r>
        <w:rPr>
          <w:rFonts w:ascii="Times New Roman" w:hAnsi="Times New Roman" w:cs="Times New Roman" w:eastAsia="Times New Roman"/>
          <w:b w:val="0"/>
          <w:sz w:val="24"/>
        </w:rPr>
        <w:t xml:space="preserve">. Nell'asse israelo-sudafricano si registra l'accordo militare segreto del tre aprile del millenovecentosettantacinque, con le motovedette, i fucili prodotti su licenza e il caccia derivato dal Kfir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ma l'offerta di missili Jericho «in tre taglie» e l'ipotesi di una vendita nucleare restano candidate e contestate, perche' la transazione non ebbe luogo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 l'incidente del doppio lampo del satellite Vela nel millenovecentosettantanove resta un evento nucleare altamente probabile ma di attribuzione da verificare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Completano il quadro l'obice belga di Gerald Bull, i broker petroliferi del contrabbando — l'italiano Chiavelli, l'olandese Deuss, Marc Rich — e il nodo italiano dell'addestratore-caccia costruito su licenza in Sudafrica, con il suo controcampo solidale del gemellaggio fra Reggio Emilia e il Congresso nazionale africano.</w:t>
      </w:r>
    </w:p>
    <w:p>
      <w:pPr>
        <w:spacing w:line="276" w:lineRule="auto" w:before="0" w:after="0"/>
        <w:ind w:firstLine="425"/>
        <w:jc w:val="both"/>
      </w:pPr>
      <w:r>
        <w:rPr>
          <w:rFonts w:ascii="Times New Roman" w:hAnsi="Times New Roman" w:cs="Times New Roman" w:eastAsia="Times New Roman"/>
          <w:b/>
          <w:sz w:val="24"/>
        </w:rPr>
        <w:t>Il controcampo e il paradosso dei diamanti.</w:t>
      </w:r>
      <w:r>
        <w:rPr>
          <w:rFonts w:ascii="Times New Roman" w:hAnsi="Times New Roman" w:cs="Times New Roman" w:eastAsia="Times New Roman"/>
          <w:b w:val="0"/>
          <w:sz w:val="24"/>
        </w:rPr>
        <w:t xml:space="preserve"> Perche' il quadro non scada in una galleria di complicita', il lotto registra con pari cura il fronte opposto: il </w:t>
      </w:r>
      <w:r>
        <w:rPr>
          <w:rFonts w:ascii="Times New Roman" w:hAnsi="Times New Roman" w:cs="Times New Roman" w:eastAsia="Times New Roman"/>
          <w:b/>
          <w:sz w:val="24"/>
        </w:rPr>
        <w:t>controcampo comunista</w:t>
      </w:r>
      <w:r>
        <w:rPr>
          <w:rFonts w:ascii="Times New Roman" w:hAnsi="Times New Roman" w:cs="Times New Roman" w:eastAsia="Times New Roman"/>
          <w:b w:val="0"/>
          <w:sz w:val="24"/>
        </w:rPr>
        <w:t xml:space="preserve">, con l'Unione Sovietica unico fornitore d'armi al braccio armato del Congresso nazionale africano, la Repubblica Democratica Tedesca come secondo pilastro, l'anomalia cinese che sostenne le fazioni rivali e Taiwan nel ruolo di partner-pariah del regime bianco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Qui si annida uno dei nodi piu' istruttivi dell'intero lotto, il </w:t>
      </w:r>
      <w:r>
        <w:rPr>
          <w:rFonts w:ascii="Times New Roman" w:hAnsi="Times New Roman" w:cs="Times New Roman" w:eastAsia="Times New Roman"/>
          <w:b/>
          <w:sz w:val="24"/>
        </w:rPr>
        <w:t>paradosso dei diamanti</w:t>
      </w:r>
      <w:r>
        <w:rPr>
          <w:rFonts w:ascii="Times New Roman" w:hAnsi="Times New Roman" w:cs="Times New Roman" w:eastAsia="Times New Roman"/>
          <w:b w:val="0"/>
          <w:sz w:val="24"/>
        </w:rPr>
        <w:t xml:space="preserve">: la centrale di vendita di De Beers, a Londra, commercializzava i diamanti sovietici, cosicche' lo stesso Stato che armava la liberazione finanziava, attraverso il mercato, il circuito che sosteneva il regime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E' il tipo di cortocircuito che l'opera esiste per illuminare, e che si registra senza forzarne oltre le prove il significato.</w:t>
      </w:r>
    </w:p>
    <w:p>
      <w:pPr>
        <w:spacing w:line="276" w:lineRule="auto" w:before="0" w:after="0"/>
        <w:ind w:firstLine="425"/>
        <w:jc w:val="both"/>
      </w:pPr>
      <w:r>
        <w:rPr>
          <w:rFonts w:ascii="Times New Roman" w:hAnsi="Times New Roman" w:cs="Times New Roman" w:eastAsia="Times New Roman"/>
          <w:b/>
          <w:sz w:val="24"/>
        </w:rPr>
        <w:t>I reperti negativi come risultato a pieno titolo.</w:t>
      </w:r>
      <w:r>
        <w:rPr>
          <w:rFonts w:ascii="Times New Roman" w:hAnsi="Times New Roman" w:cs="Times New Roman" w:eastAsia="Times New Roman"/>
          <w:b w:val="0"/>
          <w:sz w:val="24"/>
        </w:rPr>
        <w:t xml:space="preserve"> L'ultimo, e forse piu' rigoroso, contributo di questo lotto e' la tavola dei reperti negativi. Diverse monografie sono, per impianto, stress-test di attribuzioni che non reggono: l'assenza di ogni presenza operativa di Aginter in Asia — dal sud-est asiatico alla Cina e a Macao, dal Giappone e la Corea al subcontinente indiano — dove i legami sono solo biografici e dottrinali; l'assenza di rapporti con gli Stati arabi, sunniti o sciiti, filo-sovietici, perche' il teatro di Aginter fu l'Africa subsahariana, l'America Latina e l'Europa; la non-connessione con Henry Kissinger, ridotta a mera convergenza strutturale; il falso conclamato del manuale da campo attribuito agli americani, in realta' disinformazione; l'impossibilita' cronologica del legame con l'omicidio Kennedy, dato che Aginter nacque quasi tre anni dopo Dallas; e la fabbricazione del nome del comandante sovietico a Cuito Cuanavale, dietro cui c'era in realta' il generale Gusev. Nello statuto dell'opera queste non sono lacune ma esiti: l'assenza di riscontro, quando e' dichiarata e motivata, e' una conquista di conoscenza quanto un fatto accertato, ed e' l'antidoto piu' efficace alla suggestione complottista.</w:t>
      </w:r>
    </w:p>
    <w:p>
      <w:pPr>
        <w:spacing w:line="276" w:lineRule="auto" w:before="0" w:after="0"/>
        <w:ind w:firstLine="425"/>
        <w:jc w:val="both"/>
      </w:pPr>
      <w:r>
        <w:rPr>
          <w:rFonts w:ascii="Times New Roman" w:hAnsi="Times New Roman" w:cs="Times New Roman" w:eastAsia="Times New Roman"/>
          <w:b/>
          <w:sz w:val="24"/>
        </w:rPr>
        <w:t>Esito.</w:t>
      </w:r>
      <w:r>
        <w:rPr>
          <w:rFonts w:ascii="Times New Roman" w:hAnsi="Times New Roman" w:cs="Times New Roman" w:eastAsia="Times New Roman"/>
          <w:b w:val="0"/>
          <w:sz w:val="24"/>
        </w:rPr>
        <w:t xml:space="preserve"> L'intero materiale delle monografie su Aginter Press e sugli assi dell'apartheid e' stato nodizzato in cinquantasette nodi, distribuiti sui domini del terrorismo e della violenza politica, dell'intelligence, delle forze armate, della finanza, della politica e della guerra cognitiva, e connesso da ventiquattro archi che agganciano il materiale nuovo alla spina gia' verificata dalle note. Quattordici reperti negativi registrano, con pari dignita', cio' che le fonti non consentono di affermare. Lo statuto e' rispettato in ogni passaggio: la centrale di Lisbona e il suo capo sono nodi certi; le filiere atlantista e antiatlantista restano distinte; la liaison portoghese-americana e' certa mentre il legame diretto con Aginter e' leggenda; gli assi dell'apartheid sono documentati nella loro dimensione economico-militare e dichiarati non documentati nella loro pretesa saldatura con la galassia Aginter. Se ne certifica la nodizzazione con questo esito. E' la venticinquesima voce d'integrazione della sessione, e apre nell'opera il grande fronte transnazionale della controrivoluzione e dell'apartheid, tenuto insieme dal rigore del suo stesso metodo.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Monografia di sintesi — Aginter Press: anatomia di una centrale occulta (Lisbona, 1966-1974) — corpus/opera/Aginter_Press__Anatomy_of_a_Covert_CounterRevolutionary_Hub_in.md</w:t>
      </w:r>
    </w:p>
    <w:p>
      <w:pPr>
        <w:spacing w:line="276" w:lineRule="auto" w:before="0" w:after="0"/>
        <w:ind w:firstLine="425"/>
        <w:jc w:val="both"/>
      </w:pPr>
      <w:r>
        <w:rPr>
          <w:rFonts w:ascii="Times New Roman" w:hAnsi="Times New Roman" w:cs="Times New Roman" w:eastAsia="Times New Roman"/>
          <w:b w:val="0"/>
          <w:sz w:val="24"/>
        </w:rPr>
        <w:t>Aginter Press e i servizi statunitensi — adjudicazione della tesi «copertura CIA» — corpus/opera/Aginter_Press_and_US_Intelligence__Adjudicating_the_CIA_NSA_an.md</w:t>
      </w:r>
    </w:p>
    <w:p>
      <w:pPr>
        <w:spacing w:line="276" w:lineRule="auto" w:before="0" w:after="0"/>
        <w:ind w:firstLine="425"/>
        <w:jc w:val="both"/>
      </w:pPr>
      <w:r>
        <w:rPr>
          <w:rFonts w:ascii="Times New Roman" w:hAnsi="Times New Roman" w:cs="Times New Roman" w:eastAsia="Times New Roman"/>
          <w:b w:val="0"/>
          <w:sz w:val="24"/>
        </w:rPr>
        <w:t>Il triangolo Sudafrica/Namibia - Le Cercle - Ordre et Tradition — corpus/opera/Il_Triangolo_SudafricaNamibia_Le_Cercle_e_Ordre_et_Tradition_.md</w:t>
      </w:r>
    </w:p>
    <w:p>
      <w:pPr>
        <w:spacing w:line="276" w:lineRule="auto" w:before="0" w:after="0"/>
        <w:ind w:firstLine="425"/>
        <w:jc w:val="both"/>
      </w:pPr>
      <w:r>
        <w:rPr>
          <w:rFonts w:ascii="Times New Roman" w:hAnsi="Times New Roman" w:cs="Times New Roman" w:eastAsia="Times New Roman"/>
          <w:b w:val="0"/>
          <w:sz w:val="24"/>
        </w:rPr>
        <w:t>Aginter Press e la religione — l'asse cattolico-integralista — corpus/opera/Aginter_Press_e_la_Religione__LAsse_CattolicoIntegralista_di_G.md</w:t>
      </w:r>
    </w:p>
    <w:p>
      <w:pPr>
        <w:spacing w:line="276" w:lineRule="auto" w:before="0" w:after="0"/>
        <w:ind w:firstLine="425"/>
        <w:jc w:val="both"/>
      </w:pPr>
      <w:r>
        <w:rPr>
          <w:rFonts w:ascii="Times New Roman" w:hAnsi="Times New Roman" w:cs="Times New Roman" w:eastAsia="Times New Roman"/>
          <w:b w:val="0"/>
          <w:sz w:val="24"/>
        </w:rPr>
        <w:t>Stefano Delle Chiaie e Aginter Press — profilo monografico — corpus/opera/Stefano_Delle_Chiaie_e_Aginter_Press__Profilo_Monografico_di_un.md</w:t>
      </w:r>
    </w:p>
    <w:p>
      <w:pPr>
        <w:spacing w:line="276" w:lineRule="auto" w:before="0" w:after="0"/>
        <w:ind w:firstLine="425"/>
        <w:jc w:val="both"/>
      </w:pPr>
      <w:r>
        <w:rPr>
          <w:rFonts w:ascii="Times New Roman" w:hAnsi="Times New Roman" w:cs="Times New Roman" w:eastAsia="Times New Roman"/>
          <w:b w:val="0"/>
          <w:sz w:val="24"/>
        </w:rPr>
        <w:t>Italia Nera — da Aginter Press e Jeune Europe all'eurasiatismo — corpus/opera/Italia_Nera__Da_Aginter_Press_e_Jeune_Europe_allEurasiatismo_Fi.md</w:t>
      </w:r>
    </w:p>
    <w:p>
      <w:pPr>
        <w:spacing w:line="276" w:lineRule="auto" w:before="0" w:after="0"/>
        <w:ind w:firstLine="425"/>
        <w:jc w:val="both"/>
      </w:pPr>
      <w:r>
        <w:rPr>
          <w:rFonts w:ascii="Times New Roman" w:hAnsi="Times New Roman" w:cs="Times New Roman" w:eastAsia="Times New Roman"/>
          <w:b w:val="0"/>
          <w:sz w:val="24"/>
        </w:rPr>
        <w:t>La rete coperta dell'apartheid in Europa occidentale (sanctions-busting) — corpus/opera/Rete_Coperta_Apartheid_in_Europa_Occidentale__SanctionsBusting.md</w:t>
      </w:r>
    </w:p>
    <w:p>
      <w:pPr>
        <w:spacing w:line="276" w:lineRule="auto" w:before="0" w:after="0"/>
        <w:ind w:firstLine="425"/>
        <w:jc w:val="both"/>
      </w:pPr>
      <w:r>
        <w:rPr>
          <w:rFonts w:ascii="Times New Roman" w:hAnsi="Times New Roman" w:cs="Times New Roman" w:eastAsia="Times New Roman"/>
          <w:b w:val="0"/>
          <w:sz w:val="24"/>
        </w:rPr>
        <w:t>Germania e Africa australe dell'apartheid — nucleare, militare, finanza — corpus/opera/Germany_and_Apartheid_Southern_Africa__Nuclear_Military_Financ.md</w:t>
      </w:r>
    </w:p>
    <w:p>
      <w:pPr>
        <w:spacing w:line="276" w:lineRule="auto" w:before="0" w:after="0"/>
        <w:ind w:firstLine="425"/>
        <w:jc w:val="both"/>
      </w:pPr>
      <w:r>
        <w:rPr>
          <w:rFonts w:ascii="Times New Roman" w:hAnsi="Times New Roman" w:cs="Times New Roman" w:eastAsia="Times New Roman"/>
          <w:b w:val="0"/>
          <w:sz w:val="24"/>
        </w:rPr>
        <w:t>Sudafrica-Namibia, Israele e Regno Unito — due assi di complicita' — corpus/opera/Apartheid_South_Africa_and_Namibia__Israeli_and_British_Axes_of.md</w:t>
      </w:r>
    </w:p>
    <w:p>
      <w:pPr>
        <w:spacing w:line="276" w:lineRule="auto" w:before="0" w:after="0"/>
        <w:ind w:firstLine="425"/>
        <w:jc w:val="both"/>
      </w:pPr>
      <w:r>
        <w:rPr>
          <w:rFonts w:ascii="Times New Roman" w:hAnsi="Times New Roman" w:cs="Times New Roman" w:eastAsia="Times New Roman"/>
          <w:b w:val="0"/>
          <w:sz w:val="24"/>
        </w:rPr>
        <w:t>L'asse sovietico — URSS, Sudafrica e Namibia dell'apartheid — corpus/opera/LAsse_Sovietico__URSS_Sudafrica_e_Namibia_dellApartheid_1899.md</w:t>
      </w:r>
    </w:p>
    <w:p>
      <w:pPr>
        <w:spacing w:line="276" w:lineRule="auto" w:before="0" w:after="0"/>
        <w:ind w:firstLine="425"/>
        <w:jc w:val="both"/>
      </w:pPr>
      <w:r>
        <w:rPr>
          <w:rFonts w:ascii="Times New Roman" w:hAnsi="Times New Roman" w:cs="Times New Roman" w:eastAsia="Times New Roman"/>
          <w:b w:val="0"/>
          <w:sz w:val="24"/>
        </w:rPr>
        <w:t>Monografie dei reperti negativi asiatici e arabi (Cold War Asia, Macao e Cina, Giappone-Corea, subcontinente indiano, sud-est asiatico, sunniti, sciiti, Kissinger) — corpus/opera/</w:t>
      </w:r>
    </w:p>
    <w:p>
      <w:pPr>
        <w:spacing w:line="276" w:lineRule="auto" w:before="0" w:after="0"/>
        <w:ind w:firstLine="425"/>
        <w:jc w:val="both"/>
      </w:pPr>
      <w:r>
        <w:rPr>
          <w:rFonts w:ascii="Times New Roman" w:hAnsi="Times New Roman" w:cs="Times New Roman" w:eastAsia="Times New Roman"/>
          <w:b w:val="0"/>
          <w:sz w:val="24"/>
        </w:rPr>
        <w:t>Registro-madre dei nodi per dominio (statuto neuronale) — corpus/opera/ITALIA_NERA_CENSIMENTO_NODI_PER_DOMINIO_2AGO2026.docx</w:t>
      </w:r>
    </w:p>
    <w:p>
      <w:pPr>
        <w:spacing w:line="276" w:lineRule="auto" w:before="0" w:after="0"/>
        <w:ind w:firstLine="425"/>
        <w:jc w:val="both"/>
      </w:pPr>
      <w:r>
        <w:rPr>
          <w:rFonts w:ascii="Times New Roman" w:hAnsi="Times New Roman" w:cs="Times New Roman" w:eastAsia="Times New Roman"/>
          <w:b w:val="0"/>
          <w:sz w:val="24"/>
        </w:rPr>
        <w:t>Registro di servizio allegato — repertorio/ITALIA_NERA_NODI_AGINTER_APARTHEID_INTEGRAZIONE.xlsx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