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ALDO MORO</w:t>
      </w:r>
    </w:p>
    <w:p>
      <w:pPr>
        <w:spacing w:line="276" w:lineRule="auto" w:after="0"/>
        <w:ind w:firstLine="0"/>
        <w:jc w:val="center"/>
      </w:pPr>
      <w:r>
        <w:rPr>
          <w:rFonts w:ascii="Times New Roman" w:hAnsi="Times New Roman" w:cs="Times New Roman" w:eastAsia="Times New Roman"/>
          <w:b w:val="0"/>
          <w:sz w:val="24"/>
        </w:rPr>
        <w:t>IL REGISTRO DEI CINQUANTACINQUE GIORNI</w:t>
      </w:r>
    </w:p>
    <w:p>
      <w:pPr>
        <w:spacing w:line="276" w:lineRule="auto" w:after="0"/>
        <w:ind w:firstLine="0"/>
        <w:jc w:val="center"/>
      </w:pPr>
      <w:r>
        <w:rPr>
          <w:rFonts w:ascii="Times New Roman" w:hAnsi="Times New Roman" w:cs="Times New Roman" w:eastAsia="Times New Roman"/>
          <w:b/>
          <w:sz w:val="24"/>
        </w:rPr>
        <w:t>APPENDICE ALLA FASE SETTIMA</w:t>
      </w:r>
    </w:p>
    <w:p>
      <w:pPr>
        <w:spacing w:line="276" w:lineRule="auto" w:after="0"/>
        <w:ind w:firstLine="0"/>
        <w:jc w:val="center"/>
      </w:pPr>
      <w:r>
        <w:rPr>
          <w:rFonts w:ascii="Times New Roman" w:hAnsi="Times New Roman" w:cs="Times New Roman" w:eastAsia="Times New Roman"/>
          <w:b w:val="0"/>
          <w:sz w:val="24"/>
        </w:rPr>
        <w:t>Tavola accresciuta delle acquisizioni necessarie</w:t>
      </w:r>
    </w:p>
    <w:p>
      <w:pPr>
        <w:spacing w:line="276" w:lineRule="auto" w:after="0"/>
        <w:ind w:firstLine="0"/>
        <w:jc w:val="center"/>
      </w:pPr>
      <w:r>
        <w:rPr>
          <w:rFonts w:ascii="Times New Roman" w:hAnsi="Times New Roman" w:cs="Times New Roman" w:eastAsia="Times New Roman"/>
          <w:b w:val="0"/>
          <w:sz w:val="24"/>
        </w:rPr>
        <w:t>Diciannove voci, con condizione di chiusura e condizione di smentita</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15 agosto 2026</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Atto di edizione dell'appendice</w:t>
      </w:r>
    </w:p>
    <w:p>
      <w:pPr>
        <w:spacing w:line="276" w:lineRule="auto" w:after="0"/>
        <w:ind w:firstLine="425"/>
        <w:jc w:val="both"/>
      </w:pPr>
      <w:r>
        <w:rPr>
          <w:rFonts w:ascii="Times New Roman" w:hAnsi="Times New Roman" w:cs="Times New Roman" w:eastAsia="Times New Roman"/>
          <w:b w:val="0"/>
          <w:sz w:val="24"/>
        </w:rPr>
        <w:t>La presente è appendice alla Fase Settima e ne accresce il Capitolo sessantanovesimo, dedicato alla tavola delle acquisizioni necessarie e non conseguite. Essa non modifica alcun Capitolo dell'opera e non ne aggiunge di nuovi: i settanta restano settanta.</w:t>
      </w:r>
    </w:p>
    <w:p>
      <w:pPr>
        <w:spacing w:line="276" w:lineRule="auto" w:after="0"/>
        <w:ind w:firstLine="425"/>
        <w:jc w:val="both"/>
      </w:pPr>
      <w:r>
        <w:rPr>
          <w:rFonts w:ascii="Times New Roman" w:hAnsi="Times New Roman" w:cs="Times New Roman" w:eastAsia="Times New Roman"/>
          <w:b w:val="0"/>
          <w:sz w:val="24"/>
        </w:rPr>
        <w:t>L'accrescimento discende da una ricognizione condotta il quindici agosto duemilaventisei, la quale ha prodotto un memorandum operativo destinato a chi conduca ricerche archivistiche. Quel memorandum è documento estraneo all'opera e non vi entra. Ne entra qui la sola parte che appartenga al genere dell'opera, ed è la tavola degli obiettivi documentali.</w:t>
      </w:r>
    </w:p>
    <w:p>
      <w:pPr>
        <w:spacing w:line="276" w:lineRule="auto" w:after="0"/>
        <w:ind w:firstLine="0"/>
        <w:jc w:val="both"/>
      </w:pPr>
      <w:r>
        <w:rPr>
          <w:rFonts w:ascii="Times New Roman" w:hAnsi="Times New Roman" w:cs="Times New Roman" w:eastAsia="Times New Roman"/>
          <w:b/>
          <w:sz w:val="24"/>
        </w:rPr>
        <w:t>Il confine, dichiarato prima di ogni altra cosa</w:t>
      </w:r>
    </w:p>
    <w:p>
      <w:pPr>
        <w:spacing w:line="276" w:lineRule="auto" w:after="0"/>
        <w:ind w:firstLine="425"/>
        <w:jc w:val="both"/>
      </w:pPr>
      <w:r>
        <w:rPr>
          <w:rFonts w:ascii="Times New Roman" w:hAnsi="Times New Roman" w:cs="Times New Roman" w:eastAsia="Times New Roman"/>
          <w:b w:val="0"/>
          <w:sz w:val="24"/>
        </w:rPr>
        <w:t>Il memorandum contiene una distribuzione di propensioni soggettive fra scenari alternativi, espressa in percentuali, e una rinormalizzazione di tali propensioni condotta su ordine del committente escludendo uno degli scenari.</w:t>
      </w:r>
    </w:p>
    <w:p>
      <w:pPr>
        <w:spacing w:line="276" w:lineRule="auto" w:after="0"/>
        <w:ind w:firstLine="425"/>
        <w:jc w:val="both"/>
      </w:pPr>
      <w:r>
        <w:rPr>
          <w:rFonts w:ascii="Times New Roman" w:hAnsi="Times New Roman" w:cs="Times New Roman" w:eastAsia="Times New Roman"/>
          <w:b w:val="0"/>
          <w:sz w:val="24"/>
        </w:rPr>
        <w:t>Nulla di ciò entra nell'opera, e la ragione va enunciata perché non si tratta di cautela ma di natura.</w:t>
      </w:r>
    </w:p>
    <w:p>
      <w:pPr>
        <w:spacing w:line="276" w:lineRule="auto" w:after="0"/>
        <w:ind w:firstLine="425"/>
        <w:jc w:val="both"/>
      </w:pPr>
      <w:r>
        <w:rPr>
          <w:rFonts w:ascii="Times New Roman" w:hAnsi="Times New Roman" w:cs="Times New Roman" w:eastAsia="Times New Roman"/>
          <w:b w:val="0"/>
          <w:sz w:val="24"/>
        </w:rPr>
        <w:t>L'opera non gradua le proprie aspettative. Essa gradua le proposizioni secondo le fonti che le sostengono, e non secondo la fiducia che l'autore ripone in esse. Una percentuale di propensione è una misura dello stato mentale di chi ricerca, non dello stato degli atti; e per quanto onestamente dichiarata, essa non ha alcun posto in un registro che si è dato la regola di non affermare oltre la fonte.</w:t>
      </w:r>
    </w:p>
    <w:p>
      <w:pPr>
        <w:spacing w:line="276" w:lineRule="auto" w:after="0"/>
        <w:ind w:firstLine="425"/>
        <w:jc w:val="both"/>
      </w:pPr>
      <w:r>
        <w:rPr>
          <w:rFonts w:ascii="Times New Roman" w:hAnsi="Times New Roman" w:cs="Times New Roman" w:eastAsia="Times New Roman"/>
          <w:b w:val="0"/>
          <w:sz w:val="24"/>
        </w:rPr>
        <w:t>Vi è inoltre una ragione pratica, che l'esperienza di questa materia impone. Una propensione soggettiva pubblicata dentro un'opera documentale viene letta, dal lettore successivo, come una risultanza dell'opera. Essa acquista, per sola collocazione, un'autorità che chi la formulò non intendeva conferirle. È il meccanismo per il quale opinioni prudenti diventano, a distanza di anni, tesi attribuite.</w:t>
      </w:r>
    </w:p>
    <w:p>
      <w:pPr>
        <w:spacing w:line="276" w:lineRule="auto" w:after="0"/>
        <w:ind w:firstLine="425"/>
        <w:jc w:val="both"/>
      </w:pPr>
      <w:r>
        <w:rPr>
          <w:rFonts w:ascii="Times New Roman" w:hAnsi="Times New Roman" w:cs="Times New Roman" w:eastAsia="Times New Roman"/>
          <w:b w:val="0"/>
          <w:sz w:val="24"/>
        </w:rPr>
        <w:t>Entrano invece nell'opera gli obiettivi documentali, poiché essi appartengono al genere che l'opera già pratica: la Fase Quinta ne ha iscritti sei, la Fase Settima nove. Un obiettivo documentale non è una convinzione: è l'indicazione di un documento, di una sede e di una procedura, ed è verificabile da chiunque.</w:t>
      </w:r>
    </w:p>
    <w:p>
      <w:pPr>
        <w:spacing w:line="276" w:lineRule="auto" w:after="0"/>
        <w:ind w:firstLine="0"/>
        <w:jc w:val="both"/>
      </w:pPr>
      <w:r>
        <w:rPr>
          <w:rFonts w:ascii="Times New Roman" w:hAnsi="Times New Roman" w:cs="Times New Roman" w:eastAsia="Times New Roman"/>
          <w:b/>
          <w:sz w:val="24"/>
        </w:rPr>
        <w:t>La tavola accresciuta</w:t>
      </w:r>
    </w:p>
    <w:p>
      <w:pPr>
        <w:spacing w:line="276" w:lineRule="auto" w:after="0"/>
        <w:ind w:firstLine="425"/>
        <w:jc w:val="both"/>
      </w:pPr>
      <w:r>
        <w:rPr>
          <w:rFonts w:ascii="Times New Roman" w:hAnsi="Times New Roman" w:cs="Times New Roman" w:eastAsia="Times New Roman"/>
          <w:b w:val="0"/>
          <w:sz w:val="24"/>
        </w:rPr>
        <w:t>Si riporta la tavola nella sua estensione attuale. Le voci dalla prima alla nona sono quelle già iscritte al Capitolo sessantanovesimo e sono qui ripetute per intero, poiché la cumulatività preservativa vieta il rinvio abbreviato in materia di lacune: chi legga la tavola deve trovarla completa nel luogo in cui la trova. Le voci dalla decima alla diciannovesima sono nuove.</w:t>
      </w:r>
    </w:p>
    <w:p>
      <w:pPr>
        <w:spacing w:line="276" w:lineRule="auto" w:after="0"/>
        <w:ind w:firstLine="425"/>
        <w:jc w:val="both"/>
      </w:pPr>
      <w:r>
        <w:rPr>
          <w:rFonts w:ascii="Times New Roman" w:hAnsi="Times New Roman" w:cs="Times New Roman" w:eastAsia="Times New Roman"/>
          <w:b w:val="0"/>
          <w:sz w:val="24"/>
        </w:rPr>
        <w:t>Per ciascuna voce si indicano l'oggetto, la sede e la condizione della sua chiusura. Per le voci nuove si indica altresì, ove ricorra, la condizione della sua smentita, secondo la disciplina che impone di dichiarare in anticipo che cosa costituirebbe esito contrario.</w:t>
      </w:r>
    </w:p>
    <w:p>
      <w:pPr>
        <w:spacing w:line="276" w:lineRule="auto" w:after="0"/>
        <w:ind w:firstLine="0"/>
        <w:jc w:val="both"/>
      </w:pPr>
      <w:r>
        <w:rPr>
          <w:rFonts w:ascii="Times New Roman" w:hAnsi="Times New Roman" w:cs="Times New Roman" w:eastAsia="Times New Roman"/>
          <w:b/>
          <w:sz w:val="24"/>
        </w:rPr>
        <w:t>Voce prima — I verbali della perquisizione dell'ottobre 1978</w:t>
      </w:r>
    </w:p>
    <w:p>
      <w:pPr>
        <w:spacing w:line="276" w:lineRule="auto" w:after="0"/>
        <w:ind w:firstLine="425"/>
        <w:jc w:val="both"/>
      </w:pPr>
      <w:r>
        <w:rPr>
          <w:rFonts w:ascii="Times New Roman" w:hAnsi="Times New Roman" w:cs="Times New Roman" w:eastAsia="Times New Roman"/>
          <w:b w:val="0"/>
          <w:sz w:val="24"/>
        </w:rPr>
        <w:t>Verbali, rilievi, descrizione delle modalità e degli strumenti impiegati, confrontati con quelli del secondo rinvenimento del 1990. Sede: archivio del tribunale competente per territorio.</w:t>
      </w:r>
    </w:p>
    <w:p>
      <w:pPr>
        <w:spacing w:line="276" w:lineRule="auto" w:after="0"/>
        <w:ind w:firstLine="425"/>
        <w:jc w:val="both"/>
      </w:pPr>
      <w:r>
        <w:rPr>
          <w:rFonts w:ascii="Times New Roman" w:hAnsi="Times New Roman" w:cs="Times New Roman" w:eastAsia="Times New Roman"/>
          <w:b w:val="0"/>
          <w:sz w:val="24"/>
        </w:rPr>
        <w:t>È la sola voce della tavola per la quale la via di discriminazione sia indicata con precisione: due delle tre spiegazioni dell'incompletezza predicono che la documentazione non rechi menzione di esame delle strutture murarie; la terza predice il contrario.</w:t>
      </w:r>
    </w:p>
    <w:p>
      <w:pPr>
        <w:spacing w:line="276" w:lineRule="auto" w:after="0"/>
        <w:ind w:firstLine="0"/>
        <w:jc w:val="both"/>
      </w:pPr>
      <w:r>
        <w:rPr>
          <w:rFonts w:ascii="Times New Roman" w:hAnsi="Times New Roman" w:cs="Times New Roman" w:eastAsia="Times New Roman"/>
          <w:b/>
          <w:sz w:val="24"/>
        </w:rPr>
        <w:t>Voce seconda — Gli atti sull'indicazione toponomastica</w:t>
      </w:r>
    </w:p>
    <w:p>
      <w:pPr>
        <w:spacing w:line="276" w:lineRule="auto" w:after="0"/>
        <w:ind w:firstLine="425"/>
        <w:jc w:val="both"/>
      </w:pPr>
      <w:r>
        <w:rPr>
          <w:rFonts w:ascii="Times New Roman" w:hAnsi="Times New Roman" w:cs="Times New Roman" w:eastAsia="Times New Roman"/>
          <w:b w:val="0"/>
          <w:sz w:val="24"/>
        </w:rPr>
        <w:t>Ricezione, valutazione, decisione sulla destinazione delle ricerche, e documentazione dei flussi informativi fra gli uffici coinvolti nel periodo.</w:t>
      </w:r>
    </w:p>
    <w:p>
      <w:pPr>
        <w:spacing w:line="276" w:lineRule="auto" w:after="0"/>
        <w:ind w:firstLine="0"/>
        <w:jc w:val="both"/>
      </w:pPr>
      <w:r>
        <w:rPr>
          <w:rFonts w:ascii="Times New Roman" w:hAnsi="Times New Roman" w:cs="Times New Roman" w:eastAsia="Times New Roman"/>
          <w:b/>
          <w:sz w:val="24"/>
        </w:rPr>
        <w:t>Voce terza — Le direttive dei controlli</w:t>
      </w:r>
    </w:p>
    <w:p>
      <w:pPr>
        <w:spacing w:line="276" w:lineRule="auto" w:after="0"/>
        <w:ind w:firstLine="425"/>
        <w:jc w:val="both"/>
      </w:pPr>
      <w:r>
        <w:rPr>
          <w:rFonts w:ascii="Times New Roman" w:hAnsi="Times New Roman" w:cs="Times New Roman" w:eastAsia="Times New Roman"/>
          <w:b w:val="0"/>
          <w:sz w:val="24"/>
        </w:rPr>
        <w:t>Le direttive impartite per i controlli generalizzati e la documentazione del controllo effettuato nella via poi risultata sede di una base. Senza di esse il test si arresta al secondo tempo, non potendosi distinguere l'inadempimento dall'insuccesso.</w:t>
      </w:r>
    </w:p>
    <w:p>
      <w:pPr>
        <w:spacing w:line="276" w:lineRule="auto" w:after="0"/>
        <w:ind w:firstLine="0"/>
        <w:jc w:val="both"/>
      </w:pPr>
      <w:r>
        <w:rPr>
          <w:rFonts w:ascii="Times New Roman" w:hAnsi="Times New Roman" w:cs="Times New Roman" w:eastAsia="Times New Roman"/>
          <w:b/>
          <w:sz w:val="24"/>
        </w:rPr>
        <w:t>Voce quarta — La documentazione analitica della ricerca</w:t>
      </w:r>
    </w:p>
    <w:p>
      <w:pPr>
        <w:spacing w:line="276" w:lineRule="auto" w:after="0"/>
        <w:ind w:firstLine="425"/>
        <w:jc w:val="both"/>
      </w:pPr>
      <w:r>
        <w:rPr>
          <w:rFonts w:ascii="Times New Roman" w:hAnsi="Times New Roman" w:cs="Times New Roman" w:eastAsia="Times New Roman"/>
          <w:b w:val="0"/>
          <w:sz w:val="24"/>
        </w:rPr>
        <w:t>Zone controllate, modalità, criteri di selezione e motivazione delle esclusioni durante i cinquantacinque giorni. È l'acquisizione che colmerebbe il difetto di termine di riferimento.</w:t>
      </w:r>
    </w:p>
    <w:p>
      <w:pPr>
        <w:spacing w:line="276" w:lineRule="auto" w:after="0"/>
        <w:ind w:firstLine="0"/>
        <w:jc w:val="both"/>
      </w:pPr>
      <w:r>
        <w:rPr>
          <w:rFonts w:ascii="Times New Roman" w:hAnsi="Times New Roman" w:cs="Times New Roman" w:eastAsia="Times New Roman"/>
          <w:b/>
          <w:sz w:val="24"/>
        </w:rPr>
        <w:t>Voce quinta — Le due vie comparative</w:t>
      </w:r>
    </w:p>
    <w:p>
      <w:pPr>
        <w:spacing w:line="276" w:lineRule="auto" w:after="0"/>
        <w:ind w:firstLine="425"/>
        <w:jc w:val="both"/>
      </w:pPr>
      <w:r>
        <w:rPr>
          <w:rFonts w:ascii="Times New Roman" w:hAnsi="Times New Roman" w:cs="Times New Roman" w:eastAsia="Times New Roman"/>
          <w:b w:val="0"/>
          <w:sz w:val="24"/>
        </w:rPr>
        <w:t>Documentazione idonea alla comparazione con operazioni analoghe dei medesimi uffici nel medesimo biennio, e comparazione interna fra adempimenti diligenti e non diligenti entro la medesima operazione.</w:t>
      </w:r>
    </w:p>
    <w:p>
      <w:pPr>
        <w:spacing w:line="276" w:lineRule="auto" w:after="0"/>
        <w:ind w:firstLine="425"/>
        <w:jc w:val="both"/>
      </w:pPr>
      <w:r>
        <w:rPr>
          <w:rFonts w:ascii="Times New Roman" w:hAnsi="Times New Roman" w:cs="Times New Roman" w:eastAsia="Times New Roman"/>
          <w:b w:val="0"/>
          <w:sz w:val="24"/>
        </w:rPr>
        <w:t>Si segnala che questa voce ha assunto, nella ricognizione successiva, rango superiore a quello che le fu attribuito. Essa è oggi da ritenersi la voce dalla quale dipende l'intera valutazione delle omissioni: finché non è conseguita, la questione se gli inadempimenti riscontrati siano ordinari o anomali resta indecidibile, e ogni discussione su di essa è contrapposizione di impressioni.</w:t>
      </w:r>
    </w:p>
    <w:p>
      <w:pPr>
        <w:spacing w:line="276" w:lineRule="auto" w:after="0"/>
        <w:ind w:firstLine="0"/>
        <w:jc w:val="both"/>
      </w:pPr>
      <w:r>
        <w:rPr>
          <w:rFonts w:ascii="Times New Roman" w:hAnsi="Times New Roman" w:cs="Times New Roman" w:eastAsia="Times New Roman"/>
          <w:b/>
          <w:sz w:val="24"/>
        </w:rPr>
        <w:t>Voce sesta — L'esame materiale del documento apocrifo</w:t>
      </w:r>
    </w:p>
    <w:p>
      <w:pPr>
        <w:spacing w:line="276" w:lineRule="auto" w:after="0"/>
        <w:ind w:firstLine="425"/>
        <w:jc w:val="both"/>
      </w:pPr>
      <w:r>
        <w:rPr>
          <w:rFonts w:ascii="Times New Roman" w:hAnsi="Times New Roman" w:cs="Times New Roman" w:eastAsia="Times New Roman"/>
          <w:b w:val="0"/>
          <w:sz w:val="24"/>
        </w:rPr>
        <w:t>Supporto, mezzo di scrittura, modalità di confezione, confrontati con quelli dei documenti autentici e con le disponibilità dei diversi ambienti; documentazione della via e dei tempi di immissione; atti degli accertamenti condotti all'epoca sulla provenienza.</w:t>
      </w:r>
    </w:p>
    <w:p>
      <w:pPr>
        <w:spacing w:line="276" w:lineRule="auto" w:after="0"/>
        <w:ind w:firstLine="0"/>
        <w:jc w:val="both"/>
      </w:pPr>
      <w:r>
        <w:rPr>
          <w:rFonts w:ascii="Times New Roman" w:hAnsi="Times New Roman" w:cs="Times New Roman" w:eastAsia="Times New Roman"/>
          <w:b/>
          <w:sz w:val="24"/>
        </w:rPr>
        <w:t>Voce settima — La verifica genealogica delle fonti</w:t>
      </w:r>
    </w:p>
    <w:p>
      <w:pPr>
        <w:spacing w:line="276" w:lineRule="auto" w:after="0"/>
        <w:ind w:firstLine="425"/>
        <w:jc w:val="both"/>
      </w:pPr>
      <w:r>
        <w:rPr>
          <w:rFonts w:ascii="Times New Roman" w:hAnsi="Times New Roman" w:cs="Times New Roman" w:eastAsia="Times New Roman"/>
          <w:b w:val="0"/>
          <w:sz w:val="24"/>
        </w:rPr>
        <w:t>Risalita di ciascuna fonte al proprio evento originario, per stabilire quante catene realmente indipendenti sussistano. È condizione preliminare di qualunque computo di convergenza.</w:t>
      </w:r>
    </w:p>
    <w:p>
      <w:pPr>
        <w:spacing w:line="276" w:lineRule="auto" w:after="0"/>
        <w:ind w:firstLine="0"/>
        <w:jc w:val="both"/>
      </w:pPr>
      <w:r>
        <w:rPr>
          <w:rFonts w:ascii="Times New Roman" w:hAnsi="Times New Roman" w:cs="Times New Roman" w:eastAsia="Times New Roman"/>
          <w:b/>
          <w:sz w:val="24"/>
        </w:rPr>
        <w:t>Voce ottava — Le direttrici dichiarate aperte</w:t>
      </w:r>
    </w:p>
    <w:p>
      <w:pPr>
        <w:spacing w:line="276" w:lineRule="auto" w:after="0"/>
        <w:ind w:firstLine="425"/>
        <w:jc w:val="both"/>
      </w:pPr>
      <w:r>
        <w:rPr>
          <w:rFonts w:ascii="Times New Roman" w:hAnsi="Times New Roman" w:cs="Times New Roman" w:eastAsia="Times New Roman"/>
          <w:b w:val="0"/>
          <w:sz w:val="24"/>
        </w:rPr>
        <w:t>Cinque unità documentali presso un archivio storico parlamentare, fra le quali un supporto fonico di audizioni; cinque protocolli di due servizi informativi relativi ai giorni immediatamente anteriori ai fatti; tre protocolli relativi a una pratica del maggio-settembre 1978; l'identificazione di una seconda funzione di interpretariato; due edizioni critiche non possedute; tredici archivi remoti non trasferibili con gli strumenti impiegati.</w:t>
      </w:r>
    </w:p>
    <w:p>
      <w:pPr>
        <w:spacing w:line="276" w:lineRule="auto" w:after="0"/>
        <w:ind w:firstLine="0"/>
        <w:jc w:val="both"/>
      </w:pPr>
      <w:r>
        <w:rPr>
          <w:rFonts w:ascii="Times New Roman" w:hAnsi="Times New Roman" w:cs="Times New Roman" w:eastAsia="Times New Roman"/>
          <w:b/>
          <w:sz w:val="24"/>
        </w:rPr>
        <w:t>Voce nona — Il repertorio delle denominazioni</w:t>
      </w:r>
    </w:p>
    <w:p>
      <w:pPr>
        <w:spacing w:line="276" w:lineRule="auto" w:after="0"/>
        <w:ind w:firstLine="425"/>
        <w:jc w:val="both"/>
      </w:pPr>
      <w:r>
        <w:rPr>
          <w:rFonts w:ascii="Times New Roman" w:hAnsi="Times New Roman" w:cs="Times New Roman" w:eastAsia="Times New Roman"/>
          <w:b w:val="0"/>
          <w:sz w:val="24"/>
        </w:rPr>
        <w:t>Compilazione del repertorio delle denominazioni delle regole e delle figure dell'opera anteriore, per chiudere lo Stato Zero sulle due misure di consistenza rimaste non verificate.</w:t>
      </w:r>
    </w:p>
    <w:p>
      <w:pPr>
        <w:spacing w:line="276" w:lineRule="auto" w:after="0"/>
        <w:ind w:firstLine="0"/>
        <w:jc w:val="both"/>
      </w:pPr>
      <w:r>
        <w:rPr>
          <w:rFonts w:ascii="Times New Roman" w:hAnsi="Times New Roman" w:cs="Times New Roman" w:eastAsia="Times New Roman"/>
          <w:b/>
          <w:sz w:val="24"/>
        </w:rPr>
        <w:t>Voce decima — Il documento cifrato del diciassette febbraio 1978</w:t>
      </w:r>
    </w:p>
    <w:p>
      <w:pPr>
        <w:spacing w:line="276" w:lineRule="auto" w:after="0"/>
        <w:ind w:firstLine="425"/>
        <w:jc w:val="both"/>
      </w:pPr>
      <w:r>
        <w:rPr>
          <w:rFonts w:ascii="Times New Roman" w:hAnsi="Times New Roman" w:cs="Times New Roman" w:eastAsia="Times New Roman"/>
          <w:b w:val="0"/>
          <w:sz w:val="24"/>
        </w:rPr>
        <w:t>Oggetto: un documento datato un mese anteriore ai fatti, proveniente da fonte cifrata la cui identità è stata sciolta, rintracciato da una Commissione parlamentare. Sede: archivio storico della Camera dei deputati, fondi della Commissione che lo rintracciò.</w:t>
      </w:r>
    </w:p>
    <w:p>
      <w:pPr>
        <w:spacing w:line="276" w:lineRule="auto" w:after="0"/>
        <w:ind w:firstLine="425"/>
        <w:jc w:val="both"/>
      </w:pPr>
      <w:r>
        <w:rPr>
          <w:rFonts w:ascii="Times New Roman" w:hAnsi="Times New Roman" w:cs="Times New Roman" w:eastAsia="Times New Roman"/>
          <w:b w:val="0"/>
          <w:sz w:val="24"/>
        </w:rPr>
        <w:t>Chiusura: acquisizione del testo integrale, dei destinatari italiani, del protocollo di ricezione, e degli atti che ne documentino la trasmissione, la valutazione o l'archiviazione.</w:t>
      </w:r>
    </w:p>
    <w:p>
      <w:pPr>
        <w:spacing w:line="276" w:lineRule="auto" w:after="0"/>
        <w:ind w:firstLine="425"/>
        <w:jc w:val="both"/>
      </w:pPr>
      <w:r>
        <w:rPr>
          <w:rFonts w:ascii="Times New Roman" w:hAnsi="Times New Roman" w:cs="Times New Roman" w:eastAsia="Times New Roman"/>
          <w:b w:val="0"/>
          <w:sz w:val="24"/>
        </w:rPr>
        <w:t>Smentita: contenuto generico, del genere che i canali informativi producono in quantità; ovvero presenza regolare degli atti di trasmissione conseguenti.</w:t>
      </w:r>
    </w:p>
    <w:p>
      <w:pPr>
        <w:spacing w:line="276" w:lineRule="auto" w:after="0"/>
        <w:ind w:firstLine="0"/>
        <w:jc w:val="both"/>
      </w:pPr>
      <w:r>
        <w:rPr>
          <w:rFonts w:ascii="Times New Roman" w:hAnsi="Times New Roman" w:cs="Times New Roman" w:eastAsia="Times New Roman"/>
          <w:b/>
          <w:sz w:val="24"/>
        </w:rPr>
        <w:t>Voce undicesima — I flussi informativi dei cinquantacinque giorni</w:t>
      </w:r>
    </w:p>
    <w:p>
      <w:pPr>
        <w:spacing w:line="276" w:lineRule="auto" w:after="0"/>
        <w:ind w:firstLine="425"/>
        <w:jc w:val="both"/>
      </w:pPr>
      <w:r>
        <w:rPr>
          <w:rFonts w:ascii="Times New Roman" w:hAnsi="Times New Roman" w:cs="Times New Roman" w:eastAsia="Times New Roman"/>
          <w:b w:val="0"/>
          <w:sz w:val="24"/>
        </w:rPr>
        <w:t>Oggetto: non i contenuti delle informazioni ma la loro circolazione; quali trasmissioni risultino agli atti e quali no. Sede: registri di protocollo in entrata e in uscita degli uffici coinvolti, per il periodo dei fatti e per il mese successivo.</w:t>
      </w:r>
    </w:p>
    <w:p>
      <w:pPr>
        <w:spacing w:line="276" w:lineRule="auto" w:after="0"/>
        <w:ind w:firstLine="425"/>
        <w:jc w:val="both"/>
      </w:pPr>
      <w:r>
        <w:rPr>
          <w:rFonts w:ascii="Times New Roman" w:hAnsi="Times New Roman" w:cs="Times New Roman" w:eastAsia="Times New Roman"/>
          <w:b w:val="0"/>
          <w:sz w:val="24"/>
        </w:rPr>
        <w:t>Chiusura: individuazione di atti entrati in un ufficio e non usciti, in assenza di annotazione che ne dia ragione.</w:t>
      </w:r>
    </w:p>
    <w:p>
      <w:pPr>
        <w:spacing w:line="276" w:lineRule="auto" w:after="0"/>
        <w:ind w:firstLine="425"/>
        <w:jc w:val="both"/>
      </w:pPr>
      <w:r>
        <w:rPr>
          <w:rFonts w:ascii="Times New Roman" w:hAnsi="Times New Roman" w:cs="Times New Roman" w:eastAsia="Times New Roman"/>
          <w:b w:val="0"/>
          <w:sz w:val="24"/>
        </w:rPr>
        <w:t>Smentita: rinvenimento degli atti di trasmissione, ovvero constatazione che il flusso non fosse dovuto.</w:t>
      </w:r>
    </w:p>
    <w:p>
      <w:pPr>
        <w:spacing w:line="276" w:lineRule="auto" w:after="0"/>
        <w:ind w:firstLine="0"/>
        <w:jc w:val="both"/>
      </w:pPr>
      <w:r>
        <w:rPr>
          <w:rFonts w:ascii="Times New Roman" w:hAnsi="Times New Roman" w:cs="Times New Roman" w:eastAsia="Times New Roman"/>
          <w:b/>
          <w:sz w:val="24"/>
        </w:rPr>
        <w:t>Voce dodicesima — Il registro delle segnalazioni archiviate</w:t>
      </w:r>
    </w:p>
    <w:p>
      <w:pPr>
        <w:spacing w:line="276" w:lineRule="auto" w:after="0"/>
        <w:ind w:firstLine="425"/>
        <w:jc w:val="both"/>
      </w:pPr>
      <w:r>
        <w:rPr>
          <w:rFonts w:ascii="Times New Roman" w:hAnsi="Times New Roman" w:cs="Times New Roman" w:eastAsia="Times New Roman"/>
          <w:b w:val="0"/>
          <w:sz w:val="24"/>
        </w:rPr>
        <w:t>Oggetto: il rapporto fra segnalazioni verificate e segnalazioni archiviate senza verifica, e l'autorità che dispose l'archiviazione. Sede: uffici che raccoglievano le segnalazioni.</w:t>
      </w:r>
    </w:p>
    <w:p>
      <w:pPr>
        <w:spacing w:line="276" w:lineRule="auto" w:after="0"/>
        <w:ind w:firstLine="425"/>
        <w:jc w:val="both"/>
      </w:pPr>
      <w:r>
        <w:rPr>
          <w:rFonts w:ascii="Times New Roman" w:hAnsi="Times New Roman" w:cs="Times New Roman" w:eastAsia="Times New Roman"/>
          <w:b w:val="0"/>
          <w:sz w:val="24"/>
        </w:rPr>
        <w:t>Chiusura: accertamento della distribuzione delle archiviazioni.</w:t>
      </w:r>
    </w:p>
    <w:p>
      <w:pPr>
        <w:spacing w:line="276" w:lineRule="auto" w:after="0"/>
        <w:ind w:firstLine="425"/>
        <w:jc w:val="both"/>
      </w:pPr>
      <w:r>
        <w:rPr>
          <w:rFonts w:ascii="Times New Roman" w:hAnsi="Times New Roman" w:cs="Times New Roman" w:eastAsia="Times New Roman"/>
          <w:b w:val="0"/>
          <w:sz w:val="24"/>
        </w:rPr>
        <w:t>Smentita: distribuzione proporzionata al volume e alla qualità delle segnalazioni ricevute.</w:t>
      </w:r>
    </w:p>
    <w:p>
      <w:pPr>
        <w:spacing w:line="276" w:lineRule="auto" w:after="0"/>
        <w:ind w:firstLine="0"/>
        <w:jc w:val="both"/>
      </w:pPr>
      <w:r>
        <w:rPr>
          <w:rFonts w:ascii="Times New Roman" w:hAnsi="Times New Roman" w:cs="Times New Roman" w:eastAsia="Times New Roman"/>
          <w:b/>
          <w:sz w:val="24"/>
        </w:rPr>
        <w:t>Voce tredicesima — Il biglietto di via Gradoli</w:t>
      </w:r>
    </w:p>
    <w:p>
      <w:pPr>
        <w:spacing w:line="276" w:lineRule="auto" w:after="0"/>
        <w:ind w:firstLine="425"/>
        <w:jc w:val="both"/>
      </w:pPr>
      <w:r>
        <w:rPr>
          <w:rFonts w:ascii="Times New Roman" w:hAnsi="Times New Roman" w:cs="Times New Roman" w:eastAsia="Times New Roman"/>
          <w:b w:val="0"/>
          <w:sz w:val="24"/>
        </w:rPr>
        <w:t>Oggetto: identità del funzionario destinatario, ufficio di appartenenza, registro di corrispondenza del periodo. Sede: ufficio di servizio del funzionario; atti del procedimento nel quale la circostanza fu riferita.</w:t>
      </w:r>
    </w:p>
    <w:p>
      <w:pPr>
        <w:spacing w:line="276" w:lineRule="auto" w:after="0"/>
        <w:ind w:firstLine="425"/>
        <w:jc w:val="both"/>
      </w:pPr>
      <w:r>
        <w:rPr>
          <w:rFonts w:ascii="Times New Roman" w:hAnsi="Times New Roman" w:cs="Times New Roman" w:eastAsia="Times New Roman"/>
          <w:b w:val="0"/>
          <w:sz w:val="24"/>
        </w:rPr>
        <w:t>Chiusura: qualunque elemento documentale che muova la questione, oggi ferma allo stallo fra due dichiarazioni opposte.</w:t>
      </w:r>
    </w:p>
    <w:p>
      <w:pPr>
        <w:spacing w:line="276" w:lineRule="auto" w:after="0"/>
        <w:ind w:firstLine="425"/>
        <w:jc w:val="both"/>
      </w:pPr>
      <w:r>
        <w:rPr>
          <w:rFonts w:ascii="Times New Roman" w:hAnsi="Times New Roman" w:cs="Times New Roman" w:eastAsia="Times New Roman"/>
          <w:b w:val="0"/>
          <w:sz w:val="24"/>
        </w:rPr>
        <w:t>Smentita: elementi che qualifichino la testimonianza come deformata da narrazioni successive, ipotesi sostenuta da ricercatori che hanno riletto le carte e non verificata.</w:t>
      </w:r>
    </w:p>
    <w:p>
      <w:pPr>
        <w:spacing w:line="276" w:lineRule="auto" w:after="0"/>
        <w:ind w:firstLine="0"/>
        <w:jc w:val="both"/>
      </w:pPr>
      <w:r>
        <w:rPr>
          <w:rFonts w:ascii="Times New Roman" w:hAnsi="Times New Roman" w:cs="Times New Roman" w:eastAsia="Times New Roman"/>
          <w:b/>
          <w:sz w:val="24"/>
        </w:rPr>
        <w:t>Voce quattordicesima — Le fonti confidenziali attive nel marzo 1978</w:t>
      </w:r>
    </w:p>
    <w:p>
      <w:pPr>
        <w:spacing w:line="276" w:lineRule="auto" w:after="0"/>
        <w:ind w:firstLine="425"/>
        <w:jc w:val="both"/>
      </w:pPr>
      <w:r>
        <w:rPr>
          <w:rFonts w:ascii="Times New Roman" w:hAnsi="Times New Roman" w:cs="Times New Roman" w:eastAsia="Times New Roman"/>
          <w:b w:val="0"/>
          <w:sz w:val="24"/>
        </w:rPr>
        <w:t>Oggetto: esistenza di una gestione di fonti nel periodo dei fatti, e destinazione delle informazioni da esse provenienti. Sede: archivi delle divisioni che trattavano le fonti; registri dei compensi, che sopravvivono là dove i fascicoli non sopravvivono.</w:t>
      </w:r>
    </w:p>
    <w:p>
      <w:pPr>
        <w:spacing w:line="276" w:lineRule="auto" w:after="0"/>
        <w:ind w:firstLine="425"/>
        <w:jc w:val="both"/>
      </w:pPr>
      <w:r>
        <w:rPr>
          <w:rFonts w:ascii="Times New Roman" w:hAnsi="Times New Roman" w:cs="Times New Roman" w:eastAsia="Times New Roman"/>
          <w:b w:val="0"/>
          <w:sz w:val="24"/>
        </w:rPr>
        <w:t>Chiusura: accertamento dell'esistenza della gestione e della trasmissione o mancata trasmissione delle informazioni.</w:t>
      </w:r>
    </w:p>
    <w:p>
      <w:pPr>
        <w:spacing w:line="276" w:lineRule="auto" w:after="0"/>
        <w:ind w:firstLine="425"/>
        <w:jc w:val="both"/>
      </w:pPr>
      <w:r>
        <w:rPr>
          <w:rFonts w:ascii="Times New Roman" w:hAnsi="Times New Roman" w:cs="Times New Roman" w:eastAsia="Times New Roman"/>
          <w:b w:val="0"/>
          <w:sz w:val="24"/>
        </w:rPr>
        <w:t>Smentita: assenza di gestione nel periodo, ovvero regolarità della trasmissione.</w:t>
      </w:r>
    </w:p>
    <w:p>
      <w:pPr>
        <w:spacing w:line="276" w:lineRule="auto" w:after="0"/>
        <w:ind w:firstLine="0"/>
        <w:jc w:val="both"/>
      </w:pPr>
      <w:r>
        <w:rPr>
          <w:rFonts w:ascii="Times New Roman" w:hAnsi="Times New Roman" w:cs="Times New Roman" w:eastAsia="Times New Roman"/>
          <w:b/>
          <w:sz w:val="24"/>
        </w:rPr>
        <w:t>Voce quindicesima — I documenti rinvenuti a Dusseldorf</w:t>
      </w:r>
    </w:p>
    <w:p>
      <w:pPr>
        <w:spacing w:line="276" w:lineRule="auto" w:after="0"/>
        <w:ind w:firstLine="425"/>
        <w:jc w:val="both"/>
      </w:pPr>
      <w:r>
        <w:rPr>
          <w:rFonts w:ascii="Times New Roman" w:hAnsi="Times New Roman" w:cs="Times New Roman" w:eastAsia="Times New Roman"/>
          <w:b w:val="0"/>
          <w:sz w:val="24"/>
        </w:rPr>
        <w:t>Oggetto: i documenti attestanti i contatti fra le due organizzazioni, rinvenuti sul corpo di un militante tedesco ucciso nel 1978, e i verbali relativi ai suoi movimenti in Italia nei mesi anteriori. Sede: archivi della polizia federale tedesca e della magistratura competente.</w:t>
      </w:r>
    </w:p>
    <w:p>
      <w:pPr>
        <w:spacing w:line="276" w:lineRule="auto" w:after="0"/>
        <w:ind w:firstLine="425"/>
        <w:jc w:val="both"/>
      </w:pPr>
      <w:r>
        <w:rPr>
          <w:rFonts w:ascii="Times New Roman" w:hAnsi="Times New Roman" w:cs="Times New Roman" w:eastAsia="Times New Roman"/>
          <w:b w:val="0"/>
          <w:sz w:val="24"/>
        </w:rPr>
        <w:t>Chiusura: acquisizione dei documenti e dei verbali di sorveglianza.</w:t>
      </w:r>
    </w:p>
    <w:p>
      <w:pPr>
        <w:spacing w:line="276" w:lineRule="auto" w:after="0"/>
        <w:ind w:firstLine="425"/>
        <w:jc w:val="both"/>
      </w:pPr>
      <w:r>
        <w:rPr>
          <w:rFonts w:ascii="Times New Roman" w:hAnsi="Times New Roman" w:cs="Times New Roman" w:eastAsia="Times New Roman"/>
          <w:b w:val="0"/>
          <w:sz w:val="24"/>
        </w:rPr>
        <w:t>Smentita: assenza di sorveglianza sui viaggi italiani.</w:t>
      </w:r>
    </w:p>
    <w:p>
      <w:pPr>
        <w:spacing w:line="276" w:lineRule="auto" w:after="0"/>
        <w:ind w:firstLine="425"/>
        <w:jc w:val="both"/>
      </w:pPr>
      <w:r>
        <w:rPr>
          <w:rFonts w:ascii="Times New Roman" w:hAnsi="Times New Roman" w:cs="Times New Roman" w:eastAsia="Times New Roman"/>
          <w:b w:val="0"/>
          <w:sz w:val="24"/>
        </w:rPr>
        <w:t>Si segnala che questo è l'arco internazionale meglio documentato dell'intera vicenda ed è fra i meno battuti.</w:t>
      </w:r>
    </w:p>
    <w:p>
      <w:pPr>
        <w:spacing w:line="276" w:lineRule="auto" w:after="0"/>
        <w:ind w:firstLine="0"/>
        <w:jc w:val="both"/>
      </w:pPr>
      <w:r>
        <w:rPr>
          <w:rFonts w:ascii="Times New Roman" w:hAnsi="Times New Roman" w:cs="Times New Roman" w:eastAsia="Times New Roman"/>
          <w:b/>
          <w:sz w:val="24"/>
        </w:rPr>
        <w:t>Voce sedicesima — Il trattamento del comprimario dell'autore del falso</w:t>
      </w:r>
    </w:p>
    <w:p>
      <w:pPr>
        <w:spacing w:line="276" w:lineRule="auto" w:after="0"/>
        <w:ind w:firstLine="425"/>
        <w:jc w:val="both"/>
      </w:pPr>
      <w:r>
        <w:rPr>
          <w:rFonts w:ascii="Times New Roman" w:hAnsi="Times New Roman" w:cs="Times New Roman" w:eastAsia="Times New Roman"/>
          <w:b w:val="0"/>
          <w:sz w:val="24"/>
        </w:rPr>
        <w:t>Oggetto: quale ufficio trattasse come fonte confidenziale il comprimario dell'autore del documento apocrifo, qualificato negli atti come confidente anche a significativi livelli. Sede: archivi delle divisioni che trattavano le fonti; annotazioni di servizio.</w:t>
      </w:r>
    </w:p>
    <w:p>
      <w:pPr>
        <w:spacing w:line="276" w:lineRule="auto" w:after="0"/>
        <w:ind w:firstLine="425"/>
        <w:jc w:val="both"/>
      </w:pPr>
      <w:r>
        <w:rPr>
          <w:rFonts w:ascii="Times New Roman" w:hAnsi="Times New Roman" w:cs="Times New Roman" w:eastAsia="Times New Roman"/>
          <w:b w:val="0"/>
          <w:sz w:val="24"/>
        </w:rPr>
        <w:t>Chiusura: accertamento della relazione fiduciaria e della sua epoca. Si precisa che rilevano le annotazioni del 1978 e del 1979, e non quelle successive al 1984, quando la vicenda era già emersa e le annotazioni potevano essere redatte in funzione di essa.</w:t>
      </w:r>
    </w:p>
    <w:p>
      <w:pPr>
        <w:spacing w:line="276" w:lineRule="auto" w:after="0"/>
        <w:ind w:firstLine="425"/>
        <w:jc w:val="both"/>
      </w:pPr>
      <w:r>
        <w:rPr>
          <w:rFonts w:ascii="Times New Roman" w:hAnsi="Times New Roman" w:cs="Times New Roman" w:eastAsia="Times New Roman"/>
          <w:b w:val="0"/>
          <w:sz w:val="24"/>
        </w:rPr>
        <w:t>Smentita: assenza di trattamento nel periodo, ovvero trattamento avviato soltanto dopo i fatti.</w:t>
      </w:r>
    </w:p>
    <w:p>
      <w:pPr>
        <w:spacing w:line="276" w:lineRule="auto" w:after="0"/>
        <w:ind w:firstLine="0"/>
        <w:jc w:val="both"/>
      </w:pPr>
      <w:r>
        <w:rPr>
          <w:rFonts w:ascii="Times New Roman" w:hAnsi="Times New Roman" w:cs="Times New Roman" w:eastAsia="Times New Roman"/>
          <w:b/>
          <w:sz w:val="24"/>
        </w:rPr>
        <w:t>Voce diciassettesima — La serie dei documenti apocrifi successivi</w:t>
      </w:r>
    </w:p>
    <w:p>
      <w:pPr>
        <w:spacing w:line="276" w:lineRule="auto" w:after="0"/>
        <w:ind w:firstLine="425"/>
        <w:jc w:val="both"/>
      </w:pPr>
      <w:r>
        <w:rPr>
          <w:rFonts w:ascii="Times New Roman" w:hAnsi="Times New Roman" w:cs="Times New Roman" w:eastAsia="Times New Roman"/>
          <w:b w:val="0"/>
          <w:sz w:val="24"/>
        </w:rPr>
        <w:t>Oggetto: le date, i destinatari, il contenuto e gli effetti dei documenti apocrifi di apparente provenienza brigatista che il medesimo autore fece rinvenire, in almeno quattro occasioni distinte, negli anni successivi al 1978. Sede: atti dei procedimenti relativi a ciascun episodio.</w:t>
      </w:r>
    </w:p>
    <w:p>
      <w:pPr>
        <w:spacing w:line="276" w:lineRule="auto" w:after="0"/>
        <w:ind w:firstLine="425"/>
        <w:jc w:val="both"/>
      </w:pPr>
      <w:r>
        <w:rPr>
          <w:rFonts w:ascii="Times New Roman" w:hAnsi="Times New Roman" w:cs="Times New Roman" w:eastAsia="Times New Roman"/>
          <w:b w:val="0"/>
          <w:sz w:val="24"/>
        </w:rPr>
        <w:t>Chiusura: trattamento dei quattro episodi come serie unitaria anziché come episodi separati, con accertamento della direzione degli effetti prodotti.</w:t>
      </w:r>
    </w:p>
    <w:p>
      <w:pPr>
        <w:spacing w:line="276" w:lineRule="auto" w:after="0"/>
        <w:ind w:firstLine="425"/>
        <w:jc w:val="both"/>
      </w:pPr>
      <w:r>
        <w:rPr>
          <w:rFonts w:ascii="Times New Roman" w:hAnsi="Times New Roman" w:cs="Times New Roman" w:eastAsia="Times New Roman"/>
          <w:b w:val="0"/>
          <w:sz w:val="24"/>
        </w:rPr>
        <w:t>Smentita: effetti divergenti fra loro, che indicherebbero iniziativa autonoma per fini propri.</w:t>
      </w:r>
    </w:p>
    <w:p>
      <w:pPr>
        <w:spacing w:line="276" w:lineRule="auto" w:after="0"/>
        <w:ind w:firstLine="0"/>
        <w:jc w:val="both"/>
      </w:pPr>
      <w:r>
        <w:rPr>
          <w:rFonts w:ascii="Times New Roman" w:hAnsi="Times New Roman" w:cs="Times New Roman" w:eastAsia="Times New Roman"/>
          <w:b/>
          <w:sz w:val="24"/>
        </w:rPr>
        <w:t>Voce diciottesima — La catena delle armi</w:t>
      </w:r>
    </w:p>
    <w:p>
      <w:pPr>
        <w:spacing w:line="276" w:lineRule="auto" w:after="0"/>
        <w:ind w:firstLine="425"/>
        <w:jc w:val="both"/>
      </w:pPr>
      <w:r>
        <w:rPr>
          <w:rFonts w:ascii="Times New Roman" w:hAnsi="Times New Roman" w:cs="Times New Roman" w:eastAsia="Times New Roman"/>
          <w:b w:val="0"/>
          <w:sz w:val="24"/>
        </w:rPr>
        <w:t>Oggetto: la ricostruzione completa del lotto al quale appartiene l'arma impiegata il nove maggio: importazione, via, detenzioni successive, riemersioni in altri procedimenti. Sede: archivi balistici; atti dei procedimenti nei quali armi del lotto sono riemerse.</w:t>
      </w:r>
    </w:p>
    <w:p>
      <w:pPr>
        <w:spacing w:line="276" w:lineRule="auto" w:after="0"/>
        <w:ind w:firstLine="425"/>
        <w:jc w:val="both"/>
      </w:pPr>
      <w:r>
        <w:rPr>
          <w:rFonts w:ascii="Times New Roman" w:hAnsi="Times New Roman" w:cs="Times New Roman" w:eastAsia="Times New Roman"/>
          <w:b w:val="0"/>
          <w:sz w:val="24"/>
        </w:rPr>
        <w:t>Chiusura: compilazione della catena per intero.</w:t>
      </w:r>
    </w:p>
    <w:p>
      <w:pPr>
        <w:spacing w:line="276" w:lineRule="auto" w:after="0"/>
        <w:ind w:firstLine="425"/>
        <w:jc w:val="both"/>
      </w:pPr>
      <w:r>
        <w:rPr>
          <w:rFonts w:ascii="Times New Roman" w:hAnsi="Times New Roman" w:cs="Times New Roman" w:eastAsia="Times New Roman"/>
          <w:b w:val="0"/>
          <w:sz w:val="24"/>
        </w:rPr>
        <w:t>Smentita: catena che resti interna al medesimo ambiente.</w:t>
      </w:r>
    </w:p>
    <w:p>
      <w:pPr>
        <w:spacing w:line="276" w:lineRule="auto" w:after="0"/>
        <w:ind w:firstLine="425"/>
        <w:jc w:val="both"/>
      </w:pPr>
      <w:r>
        <w:rPr>
          <w:rFonts w:ascii="Times New Roman" w:hAnsi="Times New Roman" w:cs="Times New Roman" w:eastAsia="Times New Roman"/>
          <w:b w:val="0"/>
          <w:sz w:val="24"/>
        </w:rPr>
        <w:t>Si ricorda che il dato tecnico sulla fabbricazione è al grado massimo e ogni inferenza sulla provenienza operativa al grado minimo, e che la presente voce non è diretta a promuovere la seconda ma a documentare la circolazione.</w:t>
      </w:r>
    </w:p>
    <w:p>
      <w:pPr>
        <w:spacing w:line="276" w:lineRule="auto" w:after="0"/>
        <w:ind w:firstLine="0"/>
        <w:jc w:val="both"/>
      </w:pPr>
      <w:r>
        <w:rPr>
          <w:rFonts w:ascii="Times New Roman" w:hAnsi="Times New Roman" w:cs="Times New Roman" w:eastAsia="Times New Roman"/>
          <w:b/>
          <w:sz w:val="24"/>
        </w:rPr>
        <w:t>Voce diciannovesima — Il lotto degli ordigni sottratti nel 1972</w:t>
      </w:r>
    </w:p>
    <w:p>
      <w:pPr>
        <w:spacing w:line="276" w:lineRule="auto" w:after="0"/>
        <w:ind w:firstLine="425"/>
        <w:jc w:val="both"/>
      </w:pPr>
      <w:r>
        <w:rPr>
          <w:rFonts w:ascii="Times New Roman" w:hAnsi="Times New Roman" w:cs="Times New Roman" w:eastAsia="Times New Roman"/>
          <w:b w:val="0"/>
          <w:sz w:val="24"/>
        </w:rPr>
        <w:t>Oggetto: la mappa completa delle riemersioni dello stock di centotrentacinque bombe a mano sottratte da un deposito militare elvetico il sedici novembre 1972, con data, luogo e ambiente detentore di ciascuna. Sede: archivi elvetici e italiani; atti dei procedimenti in cui ordigni del lotto sono riemersi.</w:t>
      </w:r>
    </w:p>
    <w:p>
      <w:pPr>
        <w:spacing w:line="276" w:lineRule="auto" w:after="0"/>
        <w:ind w:firstLine="425"/>
        <w:jc w:val="both"/>
      </w:pPr>
      <w:r>
        <w:rPr>
          <w:rFonts w:ascii="Times New Roman" w:hAnsi="Times New Roman" w:cs="Times New Roman" w:eastAsia="Times New Roman"/>
          <w:b w:val="0"/>
          <w:sz w:val="24"/>
        </w:rPr>
        <w:t>Chiusura: compilazione della mappa.</w:t>
      </w:r>
    </w:p>
    <w:p>
      <w:pPr>
        <w:spacing w:line="276" w:lineRule="auto" w:after="0"/>
        <w:ind w:firstLine="425"/>
        <w:jc w:val="both"/>
      </w:pPr>
      <w:r>
        <w:rPr>
          <w:rFonts w:ascii="Times New Roman" w:hAnsi="Times New Roman" w:cs="Times New Roman" w:eastAsia="Times New Roman"/>
          <w:b w:val="0"/>
          <w:sz w:val="24"/>
        </w:rPr>
        <w:t>Smentita: distribuzione concentrata in un solo ambiente.</w:t>
      </w:r>
    </w:p>
    <w:p>
      <w:pPr>
        <w:spacing w:line="276" w:lineRule="auto" w:after="0"/>
        <w:ind w:firstLine="425"/>
        <w:jc w:val="both"/>
      </w:pPr>
      <w:r>
        <w:rPr>
          <w:rFonts w:ascii="Times New Roman" w:hAnsi="Times New Roman" w:cs="Times New Roman" w:eastAsia="Times New Roman"/>
          <w:b w:val="0"/>
          <w:sz w:val="24"/>
        </w:rPr>
        <w:t>Si segnala che è il solo filone dell'intera vicenda che poggi su oggetti numerati, e che non risulta mai essere stato compilato per intero.</w:t>
      </w:r>
    </w:p>
    <w:p>
      <w:pPr>
        <w:spacing w:line="276" w:lineRule="auto" w:after="0"/>
        <w:ind w:firstLine="0"/>
        <w:jc w:val="both"/>
      </w:pPr>
      <w:r>
        <w:rPr>
          <w:rFonts w:ascii="Times New Roman" w:hAnsi="Times New Roman" w:cs="Times New Roman" w:eastAsia="Times New Roman"/>
          <w:b/>
          <w:sz w:val="24"/>
        </w:rPr>
        <w:t>Nota sulla tavola accresciuta</w:t>
      </w:r>
    </w:p>
    <w:p>
      <w:pPr>
        <w:spacing w:line="276" w:lineRule="auto" w:after="0"/>
        <w:ind w:firstLine="425"/>
        <w:jc w:val="both"/>
      </w:pPr>
      <w:r>
        <w:rPr>
          <w:rFonts w:ascii="Times New Roman" w:hAnsi="Times New Roman" w:cs="Times New Roman" w:eastAsia="Times New Roman"/>
          <w:b w:val="0"/>
          <w:sz w:val="24"/>
        </w:rPr>
        <w:t>Si conferma quanto già osservato al Capitolo sessantanovesimo, e con maggior forza ora che le voci sono diciannove: nessuna di esse richiede una decisione metodologica. Tutte richiedono un accesso.</w:t>
      </w:r>
    </w:p>
    <w:p>
      <w:pPr>
        <w:spacing w:line="276" w:lineRule="auto" w:after="0"/>
        <w:ind w:firstLine="425"/>
        <w:jc w:val="both"/>
      </w:pPr>
      <w:r>
        <w:rPr>
          <w:rFonts w:ascii="Times New Roman" w:hAnsi="Times New Roman" w:cs="Times New Roman" w:eastAsia="Times New Roman"/>
          <w:b w:val="0"/>
          <w:sz w:val="24"/>
        </w:rPr>
        <w:t>Giunta al termine dei settanta Capitoli, e accresciuta la tavola di dieci voci, l'opera non è ferma per difetto di metodo. È ferma davanti a porte di archivio, e le porte sono ora nominate una per una.</w:t>
      </w:r>
    </w:p>
    <w:p>
      <w:pPr>
        <w:spacing w:line="276" w:lineRule="auto" w:after="0"/>
        <w:ind w:firstLine="0"/>
        <w:jc w:val="both"/>
      </w:pPr>
      <w:r>
        <w:rPr>
          <w:rFonts w:ascii="Times New Roman" w:hAnsi="Times New Roman" w:cs="Times New Roman" w:eastAsia="Times New Roman"/>
          <w:b/>
          <w:sz w:val="24"/>
        </w:rPr>
        <w:t>Riga di giornale</w:t>
      </w:r>
    </w:p>
    <w:p>
      <w:pPr>
        <w:spacing w:line="276" w:lineRule="auto" w:after="0"/>
        <w:ind w:firstLine="425"/>
        <w:jc w:val="both"/>
      </w:pPr>
      <w:r>
        <w:rPr>
          <w:rFonts w:ascii="Times New Roman" w:hAnsi="Times New Roman" w:cs="Times New Roman" w:eastAsia="Times New Roman"/>
          <w:b w:val="0"/>
          <w:sz w:val="24"/>
        </w:rPr>
        <w:t>Riga del quindici agosto duemilaventisei. Cantiere: tavola delle acquisizioni necessarie. Materia: accrescimento da nove a diciannove voci per recepimento della sola parte documentale di una ricognizione operativa esterna.</w:t>
      </w:r>
    </w:p>
    <w:p>
      <w:pPr>
        <w:spacing w:line="276" w:lineRule="auto" w:after="0"/>
        <w:ind w:firstLine="425"/>
        <w:jc w:val="both"/>
      </w:pPr>
      <w:r>
        <w:rPr>
          <w:rFonts w:ascii="Times New Roman" w:hAnsi="Times New Roman" w:cs="Times New Roman" w:eastAsia="Times New Roman"/>
          <w:b w:val="0"/>
          <w:sz w:val="24"/>
        </w:rPr>
        <w:t>Esito: dieci voci nuove, ciascuna con oggetto, sede, condizione di chiusura e condizione di smentita. Una voce anteriore, la quinta, è elevata di rango per riconoscimento della sua natura pregiudiziale rispetto all'intera valutazione delle omissioni.</w:t>
      </w:r>
    </w:p>
    <w:p>
      <w:pPr>
        <w:spacing w:line="276" w:lineRule="auto" w:after="0"/>
        <w:ind w:firstLine="425"/>
        <w:jc w:val="both"/>
      </w:pPr>
      <w:r>
        <w:rPr>
          <w:rFonts w:ascii="Times New Roman" w:hAnsi="Times New Roman" w:cs="Times New Roman" w:eastAsia="Times New Roman"/>
          <w:b w:val="0"/>
          <w:sz w:val="24"/>
        </w:rPr>
        <w:t>Riga di esclusione dichiarata. Non sono recepiti nell'opera, e restano nel documento operativo esterno, la distribuzione di propensioni soggettive fra scenari alternativi e la sua rinormalizzazione. L'esclusione è motivata al principio della presente appendice e non è di cautela ma di natura: l'opera gradua le proposizioni secondo le fonti e non secondo la fiducia dell'autore.</w:t>
      </w:r>
    </w:p>
    <w:p>
      <w:pPr>
        <w:spacing w:line="276" w:lineRule="auto" w:after="0"/>
        <w:ind w:firstLine="425"/>
        <w:jc w:val="both"/>
      </w:pPr>
      <w:r>
        <w:rPr>
          <w:rFonts w:ascii="Times New Roman" w:hAnsi="Times New Roman" w:cs="Times New Roman" w:eastAsia="Times New Roman"/>
          <w:b w:val="0"/>
          <w:sz w:val="24"/>
        </w:rPr>
        <w:t>Riga di avvertenza. Chi conduca gli accertamenti qui iscritti registri gli esiti negativi con la medesima precisione degli esiti positivi, e tenga distinto ciò che il documento attesta da ciò che egli ne inferisce. La seconda distinzione va scritta e non tenuta a mente.</w:t>
      </w:r>
    </w:p>
    <w:p>
      <w:pPr>
        <w:spacing w:line="276" w:lineRule="auto" w:after="0"/>
        <w:ind w:firstLine="0"/>
        <w:jc w:val="both"/>
      </w:pPr>
      <w:r>
        <w:rPr>
          <w:rFonts w:ascii="Times New Roman" w:hAnsi="Times New Roman" w:cs="Times New Roman" w:eastAsia="Times New Roman"/>
          <w:b/>
          <w:sz w:val="24"/>
        </w:rPr>
        <w:t>Colophon</w:t>
      </w:r>
    </w:p>
    <w:p>
      <w:pPr>
        <w:spacing w:line="276" w:lineRule="auto" w:after="0"/>
        <w:ind w:firstLine="425"/>
        <w:jc w:val="both"/>
      </w:pPr>
      <w:r>
        <w:rPr>
          <w:rFonts w:ascii="Times New Roman" w:hAnsi="Times New Roman" w:cs="Times New Roman" w:eastAsia="Times New Roman"/>
          <w:b w:val="0"/>
          <w:sz w:val="24"/>
        </w:rPr>
        <w:t>APPENDICE ALLA FASE SETTIMA, tavola accresciuta delle acquisizioni necessarie, quindici agosto duemilaventisei. I settanta Capitoli restano settanta. Resta sovrana la Regola di Ferro: dove la fonte documenta, l'opera certifica; dove la fonte tace, l'opera indaga e non afferma.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ALDO MORO — Appendice alla Fase Settima: tavola accresciuta</dc:title>
  <dc:subject/>
  <dc:creator>Luigi De Michele</dc:creator>
  <cp:keywords/>
  <dc:description>generated by python-docx</dc:description>
  <cp:lastModifiedBy/>
  <cp:revision>1</cp:revision>
  <dcterms:created xsi:type="dcterms:W3CDTF">2013-12-23T23:15:00Z</dcterms:created>
  <dcterms:modified xsi:type="dcterms:W3CDTF">2013-12-23T23:15:00Z</dcterms:modified>
  <cp:category/>
</cp:coreProperties>
</file>